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C88EEA" w14:textId="77777777" w:rsidR="00E55F0F" w:rsidRPr="00107C19" w:rsidRDefault="00E55F0F" w:rsidP="00E55F0F">
      <w:pPr>
        <w:pStyle w:val="BodyText"/>
        <w:ind w:left="0"/>
        <w:rPr>
          <w:rFonts w:ascii="Cambria"/>
          <w:b/>
          <w:color w:val="000000" w:themeColor="text1"/>
          <w:sz w:val="84"/>
        </w:rPr>
      </w:pPr>
    </w:p>
    <w:p w14:paraId="451F8F88" w14:textId="77777777" w:rsidR="00E55F0F" w:rsidRPr="00107C19" w:rsidRDefault="00E55F0F" w:rsidP="00E55F0F">
      <w:pPr>
        <w:pStyle w:val="BodyText"/>
        <w:ind w:left="0"/>
        <w:rPr>
          <w:rFonts w:ascii="Cambria"/>
          <w:b/>
          <w:color w:val="000000" w:themeColor="text1"/>
          <w:sz w:val="84"/>
        </w:rPr>
      </w:pPr>
    </w:p>
    <w:p w14:paraId="66D23D27" w14:textId="77777777" w:rsidR="00E55F0F" w:rsidRPr="00107C19" w:rsidRDefault="00E55F0F" w:rsidP="00E55F0F">
      <w:pPr>
        <w:pStyle w:val="BodyText"/>
        <w:ind w:left="0"/>
        <w:rPr>
          <w:rFonts w:ascii="Cambria"/>
          <w:b/>
          <w:color w:val="000000" w:themeColor="text1"/>
          <w:sz w:val="84"/>
        </w:rPr>
      </w:pPr>
    </w:p>
    <w:p w14:paraId="2A80FED3" w14:textId="4CFC5961" w:rsidR="00E55F0F" w:rsidRPr="00107C19" w:rsidRDefault="00705CE9" w:rsidP="007B153D">
      <w:pPr>
        <w:pStyle w:val="Title"/>
        <w:rPr>
          <w:rFonts w:ascii="Cambria" w:hAnsi="Cambria"/>
          <w:b w:val="0"/>
          <w:color w:val="000000" w:themeColor="text1"/>
          <w:sz w:val="96"/>
          <w:szCs w:val="96"/>
        </w:rPr>
      </w:pPr>
      <w:bookmarkStart w:id="0" w:name="_Toc114128476"/>
      <w:bookmarkStart w:id="1" w:name="_Toc114646668"/>
      <w:bookmarkStart w:id="2" w:name="_Toc160185937"/>
      <w:r w:rsidRPr="00107C19">
        <w:rPr>
          <w:rFonts w:ascii="Cambria" w:hAnsi="Cambria"/>
          <w:color w:val="000000" w:themeColor="text1"/>
          <w:sz w:val="96"/>
          <w:szCs w:val="96"/>
        </w:rPr>
        <w:t>FY 202</w:t>
      </w:r>
      <w:r w:rsidR="007D188C" w:rsidRPr="00107C19">
        <w:rPr>
          <w:rFonts w:ascii="Cambria" w:hAnsi="Cambria"/>
          <w:color w:val="000000" w:themeColor="text1"/>
          <w:sz w:val="96"/>
          <w:szCs w:val="96"/>
        </w:rPr>
        <w:t>3</w:t>
      </w:r>
      <w:r w:rsidR="002F1CD3" w:rsidRPr="00107C19">
        <w:rPr>
          <w:rFonts w:ascii="Cambria" w:hAnsi="Cambria"/>
          <w:color w:val="000000" w:themeColor="text1"/>
          <w:sz w:val="96"/>
          <w:szCs w:val="96"/>
        </w:rPr>
        <w:t xml:space="preserve">       </w:t>
      </w:r>
      <w:r w:rsidRPr="00107C19">
        <w:rPr>
          <w:rFonts w:ascii="Cambria" w:hAnsi="Cambria"/>
          <w:color w:val="000000" w:themeColor="text1"/>
          <w:sz w:val="96"/>
          <w:szCs w:val="96"/>
        </w:rPr>
        <w:t>Technology Transfer Annual Report</w:t>
      </w:r>
      <w:bookmarkEnd w:id="0"/>
      <w:bookmarkEnd w:id="1"/>
      <w:bookmarkEnd w:id="2"/>
    </w:p>
    <w:p w14:paraId="74C55767" w14:textId="51B6FF3B" w:rsidR="007B153D" w:rsidRPr="00107C19" w:rsidRDefault="007B153D" w:rsidP="00E55F0F">
      <w:pPr>
        <w:pStyle w:val="BodyText"/>
        <w:ind w:left="0"/>
        <w:rPr>
          <w:rFonts w:ascii="Cambria"/>
          <w:b/>
          <w:color w:val="000000" w:themeColor="text1"/>
          <w:sz w:val="67"/>
        </w:rPr>
      </w:pPr>
    </w:p>
    <w:p w14:paraId="746A5B2A" w14:textId="2F384734" w:rsidR="007B153D" w:rsidRPr="00107C19" w:rsidRDefault="007B153D" w:rsidP="00E55F0F">
      <w:pPr>
        <w:pStyle w:val="BodyText"/>
        <w:ind w:left="0"/>
        <w:rPr>
          <w:rFonts w:ascii="Cambria"/>
          <w:b/>
          <w:color w:val="000000" w:themeColor="text1"/>
          <w:sz w:val="67"/>
        </w:rPr>
      </w:pPr>
    </w:p>
    <w:p w14:paraId="1D370BB7" w14:textId="64FA7052" w:rsidR="00E55F0F" w:rsidRPr="00107C19" w:rsidRDefault="00E55F0F" w:rsidP="00E55F0F">
      <w:pPr>
        <w:pStyle w:val="BodyText"/>
        <w:ind w:left="0"/>
        <w:rPr>
          <w:rFonts w:ascii="Cambria"/>
          <w:color w:val="000000" w:themeColor="text1"/>
          <w:sz w:val="20"/>
        </w:rPr>
      </w:pPr>
    </w:p>
    <w:p w14:paraId="115EE1B5" w14:textId="0005A60A" w:rsidR="00C52E06" w:rsidRPr="00107C19" w:rsidRDefault="00C52E06" w:rsidP="00E55F0F">
      <w:pPr>
        <w:pStyle w:val="BodyText"/>
        <w:ind w:left="0"/>
        <w:rPr>
          <w:rFonts w:ascii="Cambria"/>
          <w:color w:val="000000" w:themeColor="text1"/>
          <w:sz w:val="20"/>
        </w:rPr>
      </w:pPr>
    </w:p>
    <w:p w14:paraId="73BF7378" w14:textId="12BDB863" w:rsidR="00C52E06" w:rsidRPr="00107C19" w:rsidRDefault="00C52E06" w:rsidP="00E55F0F">
      <w:pPr>
        <w:pStyle w:val="BodyText"/>
        <w:ind w:left="0"/>
        <w:rPr>
          <w:rFonts w:ascii="Cambria"/>
          <w:color w:val="000000" w:themeColor="text1"/>
          <w:sz w:val="20"/>
        </w:rPr>
      </w:pPr>
    </w:p>
    <w:p w14:paraId="13575DB2" w14:textId="19B24431" w:rsidR="00C52E06" w:rsidRPr="00107C19" w:rsidRDefault="00C52E06" w:rsidP="00E55F0F">
      <w:pPr>
        <w:pStyle w:val="BodyText"/>
        <w:ind w:left="0"/>
        <w:rPr>
          <w:rFonts w:ascii="Cambria"/>
          <w:color w:val="000000" w:themeColor="text1"/>
          <w:sz w:val="20"/>
        </w:rPr>
      </w:pPr>
    </w:p>
    <w:p w14:paraId="66EECD10" w14:textId="723DC0AB" w:rsidR="00C52E06" w:rsidRPr="00107C19" w:rsidRDefault="00C52E06" w:rsidP="00E55F0F">
      <w:pPr>
        <w:pStyle w:val="BodyText"/>
        <w:ind w:left="0"/>
        <w:rPr>
          <w:rFonts w:ascii="Cambria"/>
          <w:color w:val="000000" w:themeColor="text1"/>
          <w:sz w:val="20"/>
        </w:rPr>
      </w:pPr>
    </w:p>
    <w:p w14:paraId="63C91B22" w14:textId="77777777" w:rsidR="00E55F0F" w:rsidRPr="00107C19" w:rsidRDefault="00E55F0F" w:rsidP="00E55F0F">
      <w:pPr>
        <w:pStyle w:val="BodyText"/>
        <w:spacing w:before="3"/>
        <w:ind w:left="0"/>
        <w:rPr>
          <w:rFonts w:ascii="Cambria"/>
          <w:color w:val="000000" w:themeColor="text1"/>
          <w:sz w:val="23"/>
        </w:rPr>
      </w:pPr>
      <w:r w:rsidRPr="00107C19">
        <w:rPr>
          <w:noProof/>
          <w:color w:val="000000" w:themeColor="text1"/>
        </w:rPr>
        <w:drawing>
          <wp:inline distT="0" distB="0" distL="0" distR="0" wp14:anchorId="145CA3D1" wp14:editId="1081CD14">
            <wp:extent cx="1543050" cy="1049274"/>
            <wp:effectExtent l="0" t="0" r="0" b="0"/>
            <wp:docPr id="22" name="image2.png" descr="US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USDA logo"/>
                    <pic:cNvPicPr/>
                  </pic:nvPicPr>
                  <pic:blipFill>
                    <a:blip r:embed="rId8" cstate="print"/>
                    <a:stretch>
                      <a:fillRect/>
                    </a:stretch>
                  </pic:blipFill>
                  <pic:spPr>
                    <a:xfrm>
                      <a:off x="0" y="0"/>
                      <a:ext cx="1545024" cy="1050616"/>
                    </a:xfrm>
                    <a:prstGeom prst="rect">
                      <a:avLst/>
                    </a:prstGeom>
                  </pic:spPr>
                </pic:pic>
              </a:graphicData>
            </a:graphic>
          </wp:inline>
        </w:drawing>
      </w:r>
    </w:p>
    <w:sdt>
      <w:sdtPr>
        <w:rPr>
          <w:rFonts w:cstheme="minorHAnsi"/>
          <w:color w:val="000000" w:themeColor="text1"/>
        </w:rPr>
        <w:id w:val="-1005285236"/>
        <w:docPartObj>
          <w:docPartGallery w:val="Table of Contents"/>
          <w:docPartUnique/>
        </w:docPartObj>
      </w:sdtPr>
      <w:sdtEndPr>
        <w:rPr>
          <w:b/>
          <w:noProof/>
        </w:rPr>
      </w:sdtEndPr>
      <w:sdtContent>
        <w:p w14:paraId="5BCF444F" w14:textId="757957F7" w:rsidR="00103268" w:rsidRPr="00107C19" w:rsidRDefault="00103268" w:rsidP="00103268">
          <w:pPr>
            <w:pageBreakBefore/>
            <w:autoSpaceDE w:val="0"/>
            <w:autoSpaceDN w:val="0"/>
            <w:adjustRightInd w:val="0"/>
            <w:spacing w:before="240" w:after="240" w:line="264" w:lineRule="auto"/>
            <w:ind w:left="432" w:hanging="432"/>
            <w:rPr>
              <w:rFonts w:eastAsia="Times New Roman" w:cstheme="minorHAnsi"/>
              <w:bCs/>
              <w:color w:val="000000" w:themeColor="text1"/>
              <w:kern w:val="32"/>
              <w:sz w:val="36"/>
              <w:szCs w:val="32"/>
            </w:rPr>
          </w:pPr>
          <w:r w:rsidRPr="00107C19">
            <w:rPr>
              <w:rFonts w:eastAsia="Times New Roman" w:cstheme="minorHAnsi"/>
              <w:bCs/>
              <w:color w:val="000000" w:themeColor="text1"/>
              <w:kern w:val="32"/>
              <w:sz w:val="36"/>
              <w:szCs w:val="32"/>
            </w:rPr>
            <w:t>Table of Contents</w:t>
          </w:r>
        </w:p>
        <w:p w14:paraId="68A768E8" w14:textId="318D20C4" w:rsidR="00B906AE" w:rsidRDefault="00103268">
          <w:pPr>
            <w:pStyle w:val="TOC1"/>
            <w:rPr>
              <w:rFonts w:eastAsiaTheme="minorEastAsia" w:cstheme="minorBidi"/>
              <w:b w:val="0"/>
              <w:noProof/>
              <w:kern w:val="2"/>
              <w:sz w:val="22"/>
              <w14:ligatures w14:val="standardContextual"/>
            </w:rPr>
          </w:pPr>
          <w:r w:rsidRPr="00107C19">
            <w:rPr>
              <w:rFonts w:cstheme="minorHAnsi"/>
              <w:b w:val="0"/>
              <w:color w:val="000000" w:themeColor="text1"/>
            </w:rPr>
            <w:fldChar w:fldCharType="begin"/>
          </w:r>
          <w:r w:rsidRPr="00107C19">
            <w:rPr>
              <w:rFonts w:cstheme="minorHAnsi"/>
              <w:color w:val="000000" w:themeColor="text1"/>
            </w:rPr>
            <w:instrText xml:space="preserve"> TOC \o \h \z \u </w:instrText>
          </w:r>
          <w:r w:rsidRPr="00107C19">
            <w:rPr>
              <w:rFonts w:cstheme="minorHAnsi"/>
              <w:b w:val="0"/>
              <w:color w:val="000000" w:themeColor="text1"/>
            </w:rPr>
            <w:fldChar w:fldCharType="separate"/>
          </w:r>
          <w:hyperlink w:anchor="_Toc160185937" w:history="1">
            <w:r w:rsidR="00B906AE" w:rsidRPr="00EC0361">
              <w:rPr>
                <w:rStyle w:val="Hyperlink"/>
                <w:rFonts w:ascii="Cambria" w:hAnsi="Cambria"/>
                <w:noProof/>
                <w:lang w:bidi="en-US"/>
              </w:rPr>
              <w:t>FY 2023       Technology Transfer Annual Report</w:t>
            </w:r>
            <w:r w:rsidR="00B906AE">
              <w:rPr>
                <w:noProof/>
                <w:webHidden/>
              </w:rPr>
              <w:tab/>
            </w:r>
            <w:r w:rsidR="00B906AE">
              <w:rPr>
                <w:noProof/>
                <w:webHidden/>
              </w:rPr>
              <w:fldChar w:fldCharType="begin"/>
            </w:r>
            <w:r w:rsidR="00B906AE">
              <w:rPr>
                <w:noProof/>
                <w:webHidden/>
              </w:rPr>
              <w:instrText xml:space="preserve"> PAGEREF _Toc160185937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p>
        <w:p w14:paraId="79706BBD" w14:textId="5B465E30" w:rsidR="00B906AE" w:rsidRDefault="00B2178E">
          <w:pPr>
            <w:pStyle w:val="TOC1"/>
            <w:rPr>
              <w:rFonts w:eastAsiaTheme="minorEastAsia" w:cstheme="minorBidi"/>
              <w:b w:val="0"/>
              <w:noProof/>
              <w:kern w:val="2"/>
              <w:sz w:val="22"/>
              <w14:ligatures w14:val="standardContextual"/>
            </w:rPr>
          </w:pPr>
          <w:hyperlink w:anchor="_Toc160185938" w:history="1">
            <w:r w:rsidR="00B906AE" w:rsidRPr="00EC0361">
              <w:rPr>
                <w:rStyle w:val="Hyperlink"/>
                <w:noProof/>
              </w:rPr>
              <w:t>1</w:t>
            </w:r>
            <w:r w:rsidR="00B906AE">
              <w:rPr>
                <w:rFonts w:eastAsiaTheme="minorEastAsia" w:cstheme="minorBidi"/>
                <w:b w:val="0"/>
                <w:noProof/>
                <w:kern w:val="2"/>
                <w:sz w:val="22"/>
                <w14:ligatures w14:val="standardContextual"/>
              </w:rPr>
              <w:tab/>
            </w:r>
            <w:r w:rsidR="00B906AE" w:rsidRPr="00EC0361">
              <w:rPr>
                <w:rStyle w:val="Hyperlink"/>
                <w:noProof/>
              </w:rPr>
              <w:t>Introduction</w:t>
            </w:r>
            <w:r w:rsidR="00B906AE">
              <w:rPr>
                <w:noProof/>
                <w:webHidden/>
              </w:rPr>
              <w:tab/>
            </w:r>
            <w:r w:rsidR="00B906AE">
              <w:rPr>
                <w:noProof/>
                <w:webHidden/>
              </w:rPr>
              <w:fldChar w:fldCharType="begin"/>
            </w:r>
            <w:r w:rsidR="00B906AE">
              <w:rPr>
                <w:noProof/>
                <w:webHidden/>
              </w:rPr>
              <w:instrText xml:space="preserve"> PAGEREF _Toc160185938 \h </w:instrText>
            </w:r>
            <w:r w:rsidR="00B906AE">
              <w:rPr>
                <w:noProof/>
                <w:webHidden/>
              </w:rPr>
            </w:r>
            <w:r w:rsidR="00B906AE">
              <w:rPr>
                <w:noProof/>
                <w:webHidden/>
              </w:rPr>
              <w:fldChar w:fldCharType="separate"/>
            </w:r>
            <w:r w:rsidR="009033D2">
              <w:rPr>
                <w:noProof/>
                <w:webHidden/>
              </w:rPr>
              <w:t>10</w:t>
            </w:r>
            <w:r w:rsidR="00B906AE">
              <w:rPr>
                <w:noProof/>
                <w:webHidden/>
              </w:rPr>
              <w:fldChar w:fldCharType="end"/>
            </w:r>
          </w:hyperlink>
        </w:p>
        <w:p w14:paraId="68E21B3B" w14:textId="2AEF1F3C" w:rsidR="00B906AE" w:rsidRDefault="00B2178E">
          <w:pPr>
            <w:pStyle w:val="TOC1"/>
            <w:rPr>
              <w:rFonts w:eastAsiaTheme="minorEastAsia" w:cstheme="minorBidi"/>
              <w:b w:val="0"/>
              <w:noProof/>
              <w:kern w:val="2"/>
              <w:sz w:val="22"/>
              <w14:ligatures w14:val="standardContextual"/>
            </w:rPr>
          </w:pPr>
          <w:hyperlink w:anchor="_Toc160185939" w:history="1">
            <w:r w:rsidR="00B906AE" w:rsidRPr="00EC0361">
              <w:rPr>
                <w:rStyle w:val="Hyperlink"/>
                <w:noProof/>
              </w:rPr>
              <w:t>2</w:t>
            </w:r>
            <w:r w:rsidR="00B906AE">
              <w:rPr>
                <w:rFonts w:eastAsiaTheme="minorEastAsia" w:cstheme="minorBidi"/>
                <w:b w:val="0"/>
                <w:noProof/>
                <w:kern w:val="2"/>
                <w:sz w:val="22"/>
                <w14:ligatures w14:val="standardContextual"/>
              </w:rPr>
              <w:tab/>
            </w:r>
            <w:r w:rsidR="00B906AE" w:rsidRPr="00EC0361">
              <w:rPr>
                <w:rStyle w:val="Hyperlink"/>
                <w:noProof/>
              </w:rPr>
              <w:t>Combined Fiscal Year Metric Tables</w:t>
            </w:r>
            <w:r w:rsidR="00B906AE">
              <w:rPr>
                <w:noProof/>
                <w:webHidden/>
              </w:rPr>
              <w:tab/>
            </w:r>
            <w:r w:rsidR="00B906AE">
              <w:rPr>
                <w:noProof/>
                <w:webHidden/>
              </w:rPr>
              <w:fldChar w:fldCharType="begin"/>
            </w:r>
            <w:r w:rsidR="00B906AE">
              <w:rPr>
                <w:noProof/>
                <w:webHidden/>
              </w:rPr>
              <w:instrText xml:space="preserve"> PAGEREF _Toc160185939 \h </w:instrText>
            </w:r>
            <w:r w:rsidR="00B906AE">
              <w:rPr>
                <w:noProof/>
                <w:webHidden/>
              </w:rPr>
            </w:r>
            <w:r w:rsidR="00B906AE">
              <w:rPr>
                <w:noProof/>
                <w:webHidden/>
              </w:rPr>
              <w:fldChar w:fldCharType="separate"/>
            </w:r>
            <w:r w:rsidR="009033D2">
              <w:rPr>
                <w:noProof/>
                <w:webHidden/>
              </w:rPr>
              <w:t>12</w:t>
            </w:r>
            <w:r w:rsidR="00B906AE">
              <w:rPr>
                <w:noProof/>
                <w:webHidden/>
              </w:rPr>
              <w:fldChar w:fldCharType="end"/>
            </w:r>
          </w:hyperlink>
        </w:p>
        <w:p w14:paraId="453BA417" w14:textId="5DAEB0C4" w:rsidR="00B906AE" w:rsidRDefault="00B2178E">
          <w:pPr>
            <w:pStyle w:val="TOC1"/>
            <w:rPr>
              <w:rFonts w:eastAsiaTheme="minorEastAsia" w:cstheme="minorBidi"/>
              <w:b w:val="0"/>
              <w:noProof/>
              <w:kern w:val="2"/>
              <w:sz w:val="22"/>
              <w14:ligatures w14:val="standardContextual"/>
            </w:rPr>
          </w:pPr>
          <w:hyperlink w:anchor="_Toc160185940" w:history="1">
            <w:r w:rsidR="00B906AE" w:rsidRPr="00EC0361">
              <w:rPr>
                <w:rStyle w:val="Hyperlink"/>
                <w:rFonts w:cstheme="minorHAnsi"/>
                <w:noProof/>
              </w:rPr>
              <w:t>3</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Agricultural Marketing Service</w:t>
            </w:r>
            <w:r w:rsidR="00B906AE">
              <w:rPr>
                <w:noProof/>
                <w:webHidden/>
              </w:rPr>
              <w:tab/>
            </w:r>
            <w:r w:rsidR="00B906AE">
              <w:rPr>
                <w:noProof/>
                <w:webHidden/>
              </w:rPr>
              <w:fldChar w:fldCharType="begin"/>
            </w:r>
            <w:r w:rsidR="00B906AE">
              <w:rPr>
                <w:noProof/>
                <w:webHidden/>
              </w:rPr>
              <w:instrText xml:space="preserve"> PAGEREF _Toc160185940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B73EE5">
            <w:rPr>
              <w:noProof/>
            </w:rPr>
            <w:t>5</w:t>
          </w:r>
        </w:p>
        <w:p w14:paraId="1C12D149" w14:textId="59E6D21D"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5941" w:history="1">
            <w:r w:rsidR="00B906AE" w:rsidRPr="00EC0361">
              <w:rPr>
                <w:rStyle w:val="Hyperlink"/>
                <w:noProof/>
              </w:rPr>
              <w:t>3.1</w:t>
            </w:r>
            <w:r w:rsidR="00B906AE">
              <w:rPr>
                <w:rFonts w:eastAsiaTheme="minorEastAsia" w:cstheme="minorBidi"/>
                <w:noProof/>
                <w:kern w:val="2"/>
                <w:sz w:val="22"/>
                <w14:ligatures w14:val="standardContextual"/>
              </w:rPr>
              <w:tab/>
            </w:r>
            <w:r w:rsidR="00B906AE" w:rsidRPr="00EC0361">
              <w:rPr>
                <w:rStyle w:val="Hyperlink"/>
                <w:noProof/>
              </w:rPr>
              <w:t>Mission Statement</w:t>
            </w:r>
            <w:r w:rsidR="00B906AE">
              <w:rPr>
                <w:noProof/>
                <w:webHidden/>
              </w:rPr>
              <w:tab/>
            </w:r>
            <w:r w:rsidR="00B906AE">
              <w:rPr>
                <w:noProof/>
                <w:webHidden/>
              </w:rPr>
              <w:fldChar w:fldCharType="begin"/>
            </w:r>
            <w:r w:rsidR="00B906AE">
              <w:rPr>
                <w:noProof/>
                <w:webHidden/>
              </w:rPr>
              <w:instrText xml:space="preserve"> PAGEREF _Toc160185941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C813A8">
            <w:rPr>
              <w:noProof/>
            </w:rPr>
            <w:t>5</w:t>
          </w:r>
        </w:p>
        <w:p w14:paraId="18F3A993" w14:textId="2A1CAB48"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5942" w:history="1">
            <w:r w:rsidR="00B906AE" w:rsidRPr="00EC0361">
              <w:rPr>
                <w:rStyle w:val="Hyperlink"/>
                <w:rFonts w:cstheme="minorHAnsi"/>
                <w:noProof/>
              </w:rPr>
              <w:t>3.2</w:t>
            </w:r>
            <w:r w:rsidR="00B906AE">
              <w:rPr>
                <w:rFonts w:eastAsiaTheme="minorEastAsia" w:cstheme="minorBidi"/>
                <w:noProof/>
                <w:kern w:val="2"/>
                <w:sz w:val="22"/>
                <w14:ligatures w14:val="standardContextual"/>
              </w:rPr>
              <w:tab/>
            </w:r>
            <w:r w:rsidR="00B906AE" w:rsidRPr="00EC0361">
              <w:rPr>
                <w:rStyle w:val="Hyperlink"/>
                <w:rFonts w:cstheme="minorHAnsi"/>
                <w:noProof/>
              </w:rPr>
              <w:t>Nature and Structure of Program</w:t>
            </w:r>
            <w:r w:rsidR="00B906AE">
              <w:rPr>
                <w:noProof/>
                <w:webHidden/>
              </w:rPr>
              <w:tab/>
            </w:r>
            <w:r w:rsidR="00B906AE">
              <w:rPr>
                <w:noProof/>
                <w:webHidden/>
              </w:rPr>
              <w:fldChar w:fldCharType="begin"/>
            </w:r>
            <w:r w:rsidR="00B906AE">
              <w:rPr>
                <w:noProof/>
                <w:webHidden/>
              </w:rPr>
              <w:instrText xml:space="preserve"> PAGEREF _Toc160185942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C813A8">
            <w:rPr>
              <w:noProof/>
            </w:rPr>
            <w:t>5</w:t>
          </w:r>
        </w:p>
        <w:p w14:paraId="56BD2DE3" w14:textId="442FA8A5"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43" w:history="1">
            <w:r w:rsidR="00B906AE" w:rsidRPr="00EC0361">
              <w:rPr>
                <w:rStyle w:val="Hyperlink"/>
                <w:noProof/>
              </w:rPr>
              <w:t>3.2.1</w:t>
            </w:r>
            <w:r w:rsidR="00B906AE">
              <w:rPr>
                <w:rFonts w:eastAsiaTheme="minorEastAsia" w:cstheme="minorBidi"/>
                <w:noProof/>
                <w:kern w:val="2"/>
                <w:sz w:val="22"/>
                <w14:ligatures w14:val="standardContextual"/>
              </w:rPr>
              <w:tab/>
            </w:r>
            <w:r w:rsidR="00B906AE" w:rsidRPr="00EC0361">
              <w:rPr>
                <w:rStyle w:val="Hyperlink"/>
                <w:noProof/>
              </w:rPr>
              <w:t>AMS Producer-Consumer Focus</w:t>
            </w:r>
            <w:r w:rsidR="00B906AE">
              <w:rPr>
                <w:noProof/>
                <w:webHidden/>
              </w:rPr>
              <w:tab/>
            </w:r>
            <w:r w:rsidR="00B906AE">
              <w:rPr>
                <w:noProof/>
                <w:webHidden/>
              </w:rPr>
              <w:fldChar w:fldCharType="begin"/>
            </w:r>
            <w:r w:rsidR="00B906AE">
              <w:rPr>
                <w:noProof/>
                <w:webHidden/>
              </w:rPr>
              <w:instrText xml:space="preserve"> PAGEREF _Toc160185943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C813A8">
            <w:rPr>
              <w:noProof/>
            </w:rPr>
            <w:t>5</w:t>
          </w:r>
        </w:p>
        <w:p w14:paraId="3296543A" w14:textId="1D88E8A6"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44" w:history="1">
            <w:r w:rsidR="00B906AE" w:rsidRPr="00EC0361">
              <w:rPr>
                <w:rStyle w:val="Hyperlink"/>
                <w:noProof/>
              </w:rPr>
              <w:t>3.2.2</w:t>
            </w:r>
            <w:r w:rsidR="00B906AE">
              <w:rPr>
                <w:rFonts w:eastAsiaTheme="minorEastAsia" w:cstheme="minorBidi"/>
                <w:noProof/>
                <w:kern w:val="2"/>
                <w:sz w:val="22"/>
                <w14:ligatures w14:val="standardContextual"/>
              </w:rPr>
              <w:tab/>
            </w:r>
            <w:r w:rsidR="00B906AE" w:rsidRPr="00EC0361">
              <w:rPr>
                <w:rStyle w:val="Hyperlink"/>
                <w:noProof/>
              </w:rPr>
              <w:t>Market News</w:t>
            </w:r>
            <w:r w:rsidR="00B906AE">
              <w:rPr>
                <w:noProof/>
                <w:webHidden/>
              </w:rPr>
              <w:tab/>
            </w:r>
            <w:r w:rsidR="00B906AE">
              <w:rPr>
                <w:noProof/>
                <w:webHidden/>
              </w:rPr>
              <w:fldChar w:fldCharType="begin"/>
            </w:r>
            <w:r w:rsidR="00B906AE">
              <w:rPr>
                <w:noProof/>
                <w:webHidden/>
              </w:rPr>
              <w:instrText xml:space="preserve"> PAGEREF _Toc160185944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C813A8">
            <w:rPr>
              <w:noProof/>
            </w:rPr>
            <w:t>6</w:t>
          </w:r>
        </w:p>
        <w:p w14:paraId="4C2A0B16" w14:textId="02741218"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45" w:history="1">
            <w:r w:rsidR="00B906AE" w:rsidRPr="00EC0361">
              <w:rPr>
                <w:rStyle w:val="Hyperlink"/>
                <w:noProof/>
              </w:rPr>
              <w:t>3.2.3</w:t>
            </w:r>
            <w:r w:rsidR="00B906AE">
              <w:rPr>
                <w:rFonts w:eastAsiaTheme="minorEastAsia" w:cstheme="minorBidi"/>
                <w:noProof/>
                <w:kern w:val="2"/>
                <w:sz w:val="22"/>
                <w14:ligatures w14:val="standardContextual"/>
              </w:rPr>
              <w:tab/>
            </w:r>
            <w:r w:rsidR="00B906AE" w:rsidRPr="00EC0361">
              <w:rPr>
                <w:rStyle w:val="Hyperlink"/>
                <w:noProof/>
              </w:rPr>
              <w:t>Shell Egg Surveillance</w:t>
            </w:r>
            <w:r w:rsidR="00B906AE">
              <w:rPr>
                <w:noProof/>
                <w:webHidden/>
              </w:rPr>
              <w:tab/>
            </w:r>
            <w:r w:rsidR="00B906AE">
              <w:rPr>
                <w:noProof/>
                <w:webHidden/>
              </w:rPr>
              <w:fldChar w:fldCharType="begin"/>
            </w:r>
            <w:r w:rsidR="00B906AE">
              <w:rPr>
                <w:noProof/>
                <w:webHidden/>
              </w:rPr>
              <w:instrText xml:space="preserve"> PAGEREF _Toc160185945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C20DA1">
            <w:rPr>
              <w:noProof/>
            </w:rPr>
            <w:t>7</w:t>
          </w:r>
        </w:p>
        <w:p w14:paraId="03F838EA" w14:textId="401EA49F"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46" w:history="1">
            <w:r w:rsidR="00B906AE" w:rsidRPr="00EC0361">
              <w:rPr>
                <w:rStyle w:val="Hyperlink"/>
                <w:noProof/>
              </w:rPr>
              <w:t>3.2.4</w:t>
            </w:r>
            <w:r w:rsidR="00B906AE">
              <w:rPr>
                <w:rFonts w:eastAsiaTheme="minorEastAsia" w:cstheme="minorBidi"/>
                <w:noProof/>
                <w:kern w:val="2"/>
                <w:sz w:val="22"/>
                <w14:ligatures w14:val="standardContextual"/>
              </w:rPr>
              <w:tab/>
            </w:r>
            <w:r w:rsidR="00B906AE" w:rsidRPr="00EC0361">
              <w:rPr>
                <w:rStyle w:val="Hyperlink"/>
                <w:noProof/>
              </w:rPr>
              <w:t>Standardization</w:t>
            </w:r>
            <w:r w:rsidR="00B906AE">
              <w:rPr>
                <w:noProof/>
                <w:webHidden/>
              </w:rPr>
              <w:tab/>
            </w:r>
            <w:r w:rsidR="00B906AE">
              <w:rPr>
                <w:noProof/>
                <w:webHidden/>
              </w:rPr>
              <w:fldChar w:fldCharType="begin"/>
            </w:r>
            <w:r w:rsidR="00B906AE">
              <w:rPr>
                <w:noProof/>
                <w:webHidden/>
              </w:rPr>
              <w:instrText xml:space="preserve"> PAGEREF _Toc160185946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2332EA">
            <w:rPr>
              <w:noProof/>
            </w:rPr>
            <w:t>7</w:t>
          </w:r>
        </w:p>
        <w:p w14:paraId="64AC2E64" w14:textId="3E2A6CE4"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47" w:history="1">
            <w:r w:rsidR="00B906AE" w:rsidRPr="00EC0361">
              <w:rPr>
                <w:rStyle w:val="Hyperlink"/>
                <w:noProof/>
              </w:rPr>
              <w:t>3.2.4.1</w:t>
            </w:r>
            <w:r w:rsidR="00B906AE">
              <w:rPr>
                <w:rFonts w:eastAsiaTheme="minorEastAsia" w:cstheme="minorBidi"/>
                <w:noProof/>
                <w:kern w:val="2"/>
                <w:sz w:val="22"/>
                <w14:ligatures w14:val="standardContextual"/>
              </w:rPr>
              <w:tab/>
            </w:r>
            <w:r w:rsidR="00B906AE" w:rsidRPr="00EC0361">
              <w:rPr>
                <w:rStyle w:val="Hyperlink"/>
                <w:noProof/>
              </w:rPr>
              <w:t>National Standardization</w:t>
            </w:r>
            <w:r w:rsidR="00B906AE">
              <w:rPr>
                <w:noProof/>
                <w:webHidden/>
              </w:rPr>
              <w:tab/>
            </w:r>
            <w:r w:rsidR="00B906AE">
              <w:rPr>
                <w:noProof/>
                <w:webHidden/>
              </w:rPr>
              <w:fldChar w:fldCharType="begin"/>
            </w:r>
            <w:r w:rsidR="00B906AE">
              <w:rPr>
                <w:noProof/>
                <w:webHidden/>
              </w:rPr>
              <w:instrText xml:space="preserve"> PAGEREF _Toc160185947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2332EA">
            <w:rPr>
              <w:noProof/>
            </w:rPr>
            <w:t>7</w:t>
          </w:r>
        </w:p>
        <w:p w14:paraId="3C7C93CF" w14:textId="2A8D356A"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48" w:history="1">
            <w:r w:rsidR="00B906AE" w:rsidRPr="00EC0361">
              <w:rPr>
                <w:rStyle w:val="Hyperlink"/>
                <w:noProof/>
              </w:rPr>
              <w:t>3.2.4.2</w:t>
            </w:r>
            <w:r w:rsidR="00B906AE">
              <w:rPr>
                <w:rFonts w:eastAsiaTheme="minorEastAsia" w:cstheme="minorBidi"/>
                <w:noProof/>
                <w:kern w:val="2"/>
                <w:sz w:val="22"/>
                <w14:ligatures w14:val="standardContextual"/>
              </w:rPr>
              <w:tab/>
            </w:r>
            <w:r w:rsidR="00B906AE" w:rsidRPr="00EC0361">
              <w:rPr>
                <w:rStyle w:val="Hyperlink"/>
                <w:noProof/>
              </w:rPr>
              <w:t>International Standardization</w:t>
            </w:r>
            <w:r w:rsidR="00B906AE">
              <w:rPr>
                <w:noProof/>
                <w:webHidden/>
              </w:rPr>
              <w:tab/>
            </w:r>
            <w:r w:rsidR="00B906AE">
              <w:rPr>
                <w:noProof/>
                <w:webHidden/>
              </w:rPr>
              <w:fldChar w:fldCharType="begin"/>
            </w:r>
            <w:r w:rsidR="00B906AE">
              <w:rPr>
                <w:noProof/>
                <w:webHidden/>
              </w:rPr>
              <w:instrText xml:space="preserve"> PAGEREF _Toc160185948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2332EA">
            <w:rPr>
              <w:noProof/>
            </w:rPr>
            <w:t>9</w:t>
          </w:r>
        </w:p>
        <w:p w14:paraId="123F521B" w14:textId="1EDAA8E7"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49" w:history="1">
            <w:r w:rsidR="00B906AE" w:rsidRPr="00EC0361">
              <w:rPr>
                <w:rStyle w:val="Hyperlink"/>
                <w:noProof/>
              </w:rPr>
              <w:t>3.2.5</w:t>
            </w:r>
            <w:r w:rsidR="00B906AE">
              <w:rPr>
                <w:rFonts w:eastAsiaTheme="minorEastAsia" w:cstheme="minorBidi"/>
                <w:noProof/>
                <w:kern w:val="2"/>
                <w:sz w:val="22"/>
                <w14:ligatures w14:val="standardContextual"/>
              </w:rPr>
              <w:tab/>
            </w:r>
            <w:r w:rsidR="00B906AE" w:rsidRPr="00EC0361">
              <w:rPr>
                <w:rStyle w:val="Hyperlink"/>
                <w:noProof/>
              </w:rPr>
              <w:t>Federal Seed Act</w:t>
            </w:r>
            <w:r w:rsidR="00B906AE">
              <w:rPr>
                <w:noProof/>
                <w:webHidden/>
              </w:rPr>
              <w:tab/>
            </w:r>
            <w:r w:rsidR="00B906AE">
              <w:rPr>
                <w:noProof/>
                <w:webHidden/>
              </w:rPr>
              <w:fldChar w:fldCharType="begin"/>
            </w:r>
            <w:r w:rsidR="00B906AE">
              <w:rPr>
                <w:noProof/>
                <w:webHidden/>
              </w:rPr>
              <w:instrText xml:space="preserve"> PAGEREF _Toc160185949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1F1D8C">
            <w:rPr>
              <w:noProof/>
            </w:rPr>
            <w:t>2</w:t>
          </w:r>
        </w:p>
        <w:p w14:paraId="223D8A7C" w14:textId="5DAB9580"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50" w:history="1">
            <w:r w:rsidR="00B906AE" w:rsidRPr="00EC0361">
              <w:rPr>
                <w:rStyle w:val="Hyperlink"/>
                <w:noProof/>
              </w:rPr>
              <w:t>3.2.6</w:t>
            </w:r>
            <w:r w:rsidR="00B906AE">
              <w:rPr>
                <w:rFonts w:eastAsiaTheme="minorEastAsia" w:cstheme="minorBidi"/>
                <w:noProof/>
                <w:kern w:val="2"/>
                <w:sz w:val="22"/>
                <w14:ligatures w14:val="standardContextual"/>
              </w:rPr>
              <w:tab/>
            </w:r>
            <w:r w:rsidR="00B906AE" w:rsidRPr="00EC0361">
              <w:rPr>
                <w:rStyle w:val="Hyperlink"/>
                <w:noProof/>
              </w:rPr>
              <w:t>Country of Origin Labelling and the National Bioengineered Food Disclosure Standard</w:t>
            </w:r>
            <w:r w:rsidR="00B906AE">
              <w:rPr>
                <w:noProof/>
                <w:webHidden/>
              </w:rPr>
              <w:tab/>
            </w:r>
            <w:r w:rsidR="00B906AE">
              <w:rPr>
                <w:noProof/>
                <w:webHidden/>
              </w:rPr>
              <w:fldChar w:fldCharType="begin"/>
            </w:r>
            <w:r w:rsidR="00B906AE">
              <w:rPr>
                <w:noProof/>
                <w:webHidden/>
              </w:rPr>
              <w:instrText xml:space="preserve"> PAGEREF _Toc160185950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491054">
            <w:rPr>
              <w:noProof/>
            </w:rPr>
            <w:t>3</w:t>
          </w:r>
        </w:p>
        <w:p w14:paraId="2DF68520" w14:textId="1EAAD1F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51" w:history="1">
            <w:r w:rsidR="00B906AE" w:rsidRPr="00EC0361">
              <w:rPr>
                <w:rStyle w:val="Hyperlink"/>
                <w:noProof/>
              </w:rPr>
              <w:t>3.2.7</w:t>
            </w:r>
            <w:r w:rsidR="00B906AE">
              <w:rPr>
                <w:rFonts w:eastAsiaTheme="minorEastAsia" w:cstheme="minorBidi"/>
                <w:noProof/>
                <w:kern w:val="2"/>
                <w:sz w:val="22"/>
                <w14:ligatures w14:val="standardContextual"/>
              </w:rPr>
              <w:tab/>
            </w:r>
            <w:r w:rsidR="00B906AE" w:rsidRPr="00EC0361">
              <w:rPr>
                <w:rStyle w:val="Hyperlink"/>
                <w:noProof/>
              </w:rPr>
              <w:t>Pesticide Data Program</w:t>
            </w:r>
            <w:r w:rsidR="00B906AE">
              <w:rPr>
                <w:noProof/>
                <w:webHidden/>
              </w:rPr>
              <w:tab/>
            </w:r>
            <w:r w:rsidR="00B906AE">
              <w:rPr>
                <w:noProof/>
                <w:webHidden/>
              </w:rPr>
              <w:fldChar w:fldCharType="begin"/>
            </w:r>
            <w:r w:rsidR="00B906AE">
              <w:rPr>
                <w:noProof/>
                <w:webHidden/>
              </w:rPr>
              <w:instrText xml:space="preserve"> PAGEREF _Toc160185951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491054">
            <w:rPr>
              <w:noProof/>
            </w:rPr>
            <w:t>5</w:t>
          </w:r>
        </w:p>
        <w:p w14:paraId="655DDA70" w14:textId="3BBBC6B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52" w:history="1">
            <w:r w:rsidR="00B906AE" w:rsidRPr="00EC0361">
              <w:rPr>
                <w:rStyle w:val="Hyperlink"/>
                <w:noProof/>
              </w:rPr>
              <w:t>3.2.8</w:t>
            </w:r>
            <w:r w:rsidR="00B906AE">
              <w:rPr>
                <w:rFonts w:eastAsiaTheme="minorEastAsia" w:cstheme="minorBidi"/>
                <w:noProof/>
                <w:kern w:val="2"/>
                <w:sz w:val="22"/>
                <w14:ligatures w14:val="standardContextual"/>
              </w:rPr>
              <w:tab/>
            </w:r>
            <w:r w:rsidR="00B906AE" w:rsidRPr="00EC0361">
              <w:rPr>
                <w:rStyle w:val="Hyperlink"/>
                <w:noProof/>
              </w:rPr>
              <w:t>National Organic Program</w:t>
            </w:r>
            <w:r w:rsidR="00B906AE">
              <w:rPr>
                <w:noProof/>
                <w:webHidden/>
              </w:rPr>
              <w:tab/>
            </w:r>
            <w:r w:rsidR="00B906AE">
              <w:rPr>
                <w:noProof/>
                <w:webHidden/>
              </w:rPr>
              <w:fldChar w:fldCharType="begin"/>
            </w:r>
            <w:r w:rsidR="00B906AE">
              <w:rPr>
                <w:noProof/>
                <w:webHidden/>
              </w:rPr>
              <w:instrText xml:space="preserve"> PAGEREF _Toc160185952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726A8A">
            <w:rPr>
              <w:noProof/>
            </w:rPr>
            <w:t>5</w:t>
          </w:r>
        </w:p>
        <w:p w14:paraId="5C91F545" w14:textId="410971B8"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53" w:history="1">
            <w:r w:rsidR="00B906AE" w:rsidRPr="00EC0361">
              <w:rPr>
                <w:rStyle w:val="Hyperlink"/>
                <w:noProof/>
              </w:rPr>
              <w:t>3.2.8.1</w:t>
            </w:r>
            <w:r w:rsidR="00B906AE">
              <w:rPr>
                <w:rFonts w:eastAsiaTheme="minorEastAsia" w:cstheme="minorBidi"/>
                <w:noProof/>
                <w:kern w:val="2"/>
                <w:sz w:val="22"/>
                <w14:ligatures w14:val="standardContextual"/>
              </w:rPr>
              <w:tab/>
            </w:r>
            <w:r w:rsidR="00B906AE" w:rsidRPr="00EC0361">
              <w:rPr>
                <w:rStyle w:val="Hyperlink"/>
                <w:noProof/>
              </w:rPr>
              <w:t>Organic Integrity Database</w:t>
            </w:r>
            <w:r w:rsidR="00B906AE">
              <w:rPr>
                <w:noProof/>
                <w:webHidden/>
              </w:rPr>
              <w:tab/>
            </w:r>
            <w:r w:rsidR="00B906AE">
              <w:rPr>
                <w:noProof/>
                <w:webHidden/>
              </w:rPr>
              <w:fldChar w:fldCharType="begin"/>
            </w:r>
            <w:r w:rsidR="00B906AE">
              <w:rPr>
                <w:noProof/>
                <w:webHidden/>
              </w:rPr>
              <w:instrText xml:space="preserve"> PAGEREF _Toc160185953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726A8A">
            <w:rPr>
              <w:noProof/>
            </w:rPr>
            <w:t>6</w:t>
          </w:r>
        </w:p>
        <w:p w14:paraId="667B3833" w14:textId="522AAF6F"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54" w:history="1">
            <w:r w:rsidR="00B906AE" w:rsidRPr="00EC0361">
              <w:rPr>
                <w:rStyle w:val="Hyperlink"/>
                <w:noProof/>
              </w:rPr>
              <w:t>3.2.8.2</w:t>
            </w:r>
            <w:r w:rsidR="00B906AE">
              <w:rPr>
                <w:rFonts w:eastAsiaTheme="minorEastAsia" w:cstheme="minorBidi"/>
                <w:noProof/>
                <w:kern w:val="2"/>
                <w:sz w:val="22"/>
                <w14:ligatures w14:val="standardContextual"/>
              </w:rPr>
              <w:tab/>
            </w:r>
            <w:r w:rsidR="00B906AE" w:rsidRPr="00EC0361">
              <w:rPr>
                <w:rStyle w:val="Hyperlink"/>
                <w:noProof/>
              </w:rPr>
              <w:t>Compliance Database</w:t>
            </w:r>
            <w:r w:rsidR="00B906AE">
              <w:rPr>
                <w:noProof/>
                <w:webHidden/>
              </w:rPr>
              <w:tab/>
            </w:r>
            <w:r w:rsidR="00B906AE">
              <w:rPr>
                <w:noProof/>
                <w:webHidden/>
              </w:rPr>
              <w:fldChar w:fldCharType="begin"/>
            </w:r>
            <w:r w:rsidR="00B906AE">
              <w:rPr>
                <w:noProof/>
                <w:webHidden/>
              </w:rPr>
              <w:instrText xml:space="preserve"> PAGEREF _Toc160185954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726A8A">
            <w:rPr>
              <w:noProof/>
            </w:rPr>
            <w:t>6</w:t>
          </w:r>
        </w:p>
        <w:p w14:paraId="2027D818" w14:textId="6D0A0E60"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55" w:history="1">
            <w:r w:rsidR="00B906AE" w:rsidRPr="00EC0361">
              <w:rPr>
                <w:rStyle w:val="Hyperlink"/>
                <w:noProof/>
              </w:rPr>
              <w:t>3.2.8.3</w:t>
            </w:r>
            <w:r w:rsidR="00B906AE">
              <w:rPr>
                <w:rFonts w:eastAsiaTheme="minorEastAsia" w:cstheme="minorBidi"/>
                <w:noProof/>
                <w:kern w:val="2"/>
                <w:sz w:val="22"/>
                <w14:ligatures w14:val="standardContextual"/>
              </w:rPr>
              <w:tab/>
            </w:r>
            <w:r w:rsidR="00B906AE" w:rsidRPr="00EC0361">
              <w:rPr>
                <w:rStyle w:val="Hyperlink"/>
                <w:noProof/>
              </w:rPr>
              <w:t>ACCREDIT Database</w:t>
            </w:r>
            <w:r w:rsidR="00B906AE">
              <w:rPr>
                <w:noProof/>
                <w:webHidden/>
              </w:rPr>
              <w:tab/>
            </w:r>
            <w:r w:rsidR="00B906AE">
              <w:rPr>
                <w:noProof/>
                <w:webHidden/>
              </w:rPr>
              <w:fldChar w:fldCharType="begin"/>
            </w:r>
            <w:r w:rsidR="00B906AE">
              <w:rPr>
                <w:noProof/>
                <w:webHidden/>
              </w:rPr>
              <w:instrText xml:space="preserve"> PAGEREF _Toc160185955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726A8A">
            <w:rPr>
              <w:noProof/>
            </w:rPr>
            <w:t>6</w:t>
          </w:r>
        </w:p>
        <w:p w14:paraId="3399C2D9" w14:textId="133D4D9B"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56" w:history="1">
            <w:r w:rsidR="00B906AE" w:rsidRPr="00EC0361">
              <w:rPr>
                <w:rStyle w:val="Hyperlink"/>
                <w:noProof/>
              </w:rPr>
              <w:t>3.2.8.4</w:t>
            </w:r>
            <w:r w:rsidR="00B906AE">
              <w:rPr>
                <w:rFonts w:eastAsiaTheme="minorEastAsia" w:cstheme="minorBidi"/>
                <w:noProof/>
                <w:kern w:val="2"/>
                <w:sz w:val="22"/>
                <w14:ligatures w14:val="standardContextual"/>
              </w:rPr>
              <w:tab/>
            </w:r>
            <w:r w:rsidR="00B906AE" w:rsidRPr="00EC0361">
              <w:rPr>
                <w:rStyle w:val="Hyperlink"/>
                <w:noProof/>
              </w:rPr>
              <w:t>Organic Integrity Learning Center</w:t>
            </w:r>
            <w:r w:rsidR="00B906AE">
              <w:rPr>
                <w:noProof/>
                <w:webHidden/>
              </w:rPr>
              <w:tab/>
            </w:r>
            <w:r w:rsidR="00B906AE">
              <w:rPr>
                <w:noProof/>
                <w:webHidden/>
              </w:rPr>
              <w:fldChar w:fldCharType="begin"/>
            </w:r>
            <w:r w:rsidR="00B906AE">
              <w:rPr>
                <w:noProof/>
                <w:webHidden/>
              </w:rPr>
              <w:instrText xml:space="preserve"> PAGEREF _Toc160185956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694167">
            <w:rPr>
              <w:noProof/>
            </w:rPr>
            <w:t>7</w:t>
          </w:r>
        </w:p>
        <w:p w14:paraId="2CD4C62A" w14:textId="1B1BAD4F"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57" w:history="1">
            <w:r w:rsidR="00B906AE" w:rsidRPr="00EC0361">
              <w:rPr>
                <w:rStyle w:val="Hyperlink"/>
                <w:noProof/>
              </w:rPr>
              <w:t>3.2.8.5</w:t>
            </w:r>
            <w:r w:rsidR="00B906AE">
              <w:rPr>
                <w:rFonts w:eastAsiaTheme="minorEastAsia" w:cstheme="minorBidi"/>
                <w:noProof/>
                <w:kern w:val="2"/>
                <w:sz w:val="22"/>
                <w14:ligatures w14:val="standardContextual"/>
              </w:rPr>
              <w:tab/>
            </w:r>
            <w:r w:rsidR="00B906AE" w:rsidRPr="00EC0361">
              <w:rPr>
                <w:rStyle w:val="Hyperlink"/>
                <w:noProof/>
              </w:rPr>
              <w:t>U.S. Customs and Border Protection’s Automated Commercial Environment</w:t>
            </w:r>
            <w:r w:rsidR="00B906AE">
              <w:rPr>
                <w:noProof/>
                <w:webHidden/>
              </w:rPr>
              <w:tab/>
            </w:r>
            <w:r w:rsidR="00B906AE">
              <w:rPr>
                <w:noProof/>
                <w:webHidden/>
              </w:rPr>
              <w:fldChar w:fldCharType="begin"/>
            </w:r>
            <w:r w:rsidR="00B906AE">
              <w:rPr>
                <w:noProof/>
                <w:webHidden/>
              </w:rPr>
              <w:instrText xml:space="preserve"> PAGEREF _Toc160185957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694167">
            <w:rPr>
              <w:noProof/>
            </w:rPr>
            <w:t>7</w:t>
          </w:r>
        </w:p>
        <w:p w14:paraId="79C31019" w14:textId="7D80AD9A"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58" w:history="1">
            <w:r w:rsidR="00B906AE" w:rsidRPr="00EC0361">
              <w:rPr>
                <w:rStyle w:val="Hyperlink"/>
                <w:noProof/>
              </w:rPr>
              <w:t>3.2.8.6</w:t>
            </w:r>
            <w:r w:rsidR="00B906AE">
              <w:rPr>
                <w:rFonts w:eastAsiaTheme="minorEastAsia" w:cstheme="minorBidi"/>
                <w:noProof/>
                <w:kern w:val="2"/>
                <w:sz w:val="22"/>
                <w14:ligatures w14:val="standardContextual"/>
              </w:rPr>
              <w:tab/>
            </w:r>
            <w:r w:rsidR="00B906AE" w:rsidRPr="00EC0361">
              <w:rPr>
                <w:rStyle w:val="Hyperlink"/>
                <w:noProof/>
              </w:rPr>
              <w:t>Technology Modernization</w:t>
            </w:r>
            <w:r w:rsidR="00B906AE">
              <w:rPr>
                <w:noProof/>
                <w:webHidden/>
              </w:rPr>
              <w:tab/>
            </w:r>
            <w:r w:rsidR="00B906AE">
              <w:rPr>
                <w:noProof/>
                <w:webHidden/>
              </w:rPr>
              <w:fldChar w:fldCharType="begin"/>
            </w:r>
            <w:r w:rsidR="00B906AE">
              <w:rPr>
                <w:noProof/>
                <w:webHidden/>
              </w:rPr>
              <w:instrText xml:space="preserve"> PAGEREF _Toc160185958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357E04">
            <w:rPr>
              <w:noProof/>
            </w:rPr>
            <w:t>8</w:t>
          </w:r>
        </w:p>
        <w:p w14:paraId="4B4D7CED" w14:textId="70EEE511"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59" w:history="1">
            <w:r w:rsidR="00B906AE" w:rsidRPr="00EC0361">
              <w:rPr>
                <w:rStyle w:val="Hyperlink"/>
                <w:noProof/>
              </w:rPr>
              <w:t>3.2.9</w:t>
            </w:r>
            <w:r w:rsidR="00B906AE">
              <w:rPr>
                <w:rFonts w:eastAsiaTheme="minorEastAsia" w:cstheme="minorBidi"/>
                <w:noProof/>
                <w:kern w:val="2"/>
                <w:sz w:val="22"/>
                <w14:ligatures w14:val="standardContextual"/>
              </w:rPr>
              <w:tab/>
            </w:r>
            <w:r w:rsidR="00B906AE" w:rsidRPr="00EC0361">
              <w:rPr>
                <w:rStyle w:val="Hyperlink"/>
                <w:noProof/>
              </w:rPr>
              <w:t>Transportation and Marketing Development</w:t>
            </w:r>
            <w:r w:rsidR="00B906AE">
              <w:rPr>
                <w:noProof/>
                <w:webHidden/>
              </w:rPr>
              <w:tab/>
            </w:r>
            <w:r w:rsidR="00B906AE">
              <w:rPr>
                <w:noProof/>
                <w:webHidden/>
              </w:rPr>
              <w:fldChar w:fldCharType="begin"/>
            </w:r>
            <w:r w:rsidR="00B906AE">
              <w:rPr>
                <w:noProof/>
                <w:webHidden/>
              </w:rPr>
              <w:instrText xml:space="preserve"> PAGEREF _Toc160185959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357E04">
            <w:rPr>
              <w:noProof/>
            </w:rPr>
            <w:t>8</w:t>
          </w:r>
        </w:p>
        <w:p w14:paraId="76BE7506" w14:textId="218E4232"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60" w:history="1">
            <w:r w:rsidR="00B906AE" w:rsidRPr="00EC0361">
              <w:rPr>
                <w:rStyle w:val="Hyperlink"/>
                <w:noProof/>
              </w:rPr>
              <w:t>3.2.10</w:t>
            </w:r>
            <w:r w:rsidR="00B906AE">
              <w:rPr>
                <w:rFonts w:eastAsiaTheme="minorEastAsia" w:cstheme="minorBidi"/>
                <w:noProof/>
                <w:kern w:val="2"/>
                <w:sz w:val="22"/>
                <w14:ligatures w14:val="standardContextual"/>
              </w:rPr>
              <w:tab/>
            </w:r>
            <w:r w:rsidR="00B906AE" w:rsidRPr="00EC0361">
              <w:rPr>
                <w:rStyle w:val="Hyperlink"/>
                <w:noProof/>
              </w:rPr>
              <w:t>Acer Access and Development Program</w:t>
            </w:r>
            <w:r w:rsidR="00B906AE">
              <w:rPr>
                <w:noProof/>
                <w:webHidden/>
              </w:rPr>
              <w:tab/>
            </w:r>
            <w:r w:rsidR="00B906AE">
              <w:rPr>
                <w:noProof/>
                <w:webHidden/>
              </w:rPr>
              <w:fldChar w:fldCharType="begin"/>
            </w:r>
            <w:r w:rsidR="00B906AE">
              <w:rPr>
                <w:noProof/>
                <w:webHidden/>
              </w:rPr>
              <w:instrText xml:space="preserve"> PAGEREF _Toc160185960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357E04">
            <w:rPr>
              <w:noProof/>
            </w:rPr>
            <w:t>8</w:t>
          </w:r>
        </w:p>
        <w:p w14:paraId="039C5AB9" w14:textId="65320A9B"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61" w:history="1">
            <w:r w:rsidR="00B906AE" w:rsidRPr="00EC0361">
              <w:rPr>
                <w:rStyle w:val="Hyperlink"/>
                <w:noProof/>
              </w:rPr>
              <w:t>3.2.10.1</w:t>
            </w:r>
            <w:r w:rsidR="00B906AE">
              <w:rPr>
                <w:rFonts w:eastAsiaTheme="minorEastAsia" w:cstheme="minorBidi"/>
                <w:noProof/>
                <w:kern w:val="2"/>
                <w:sz w:val="22"/>
                <w14:ligatures w14:val="standardContextual"/>
              </w:rPr>
              <w:tab/>
            </w:r>
            <w:r w:rsidR="00B906AE" w:rsidRPr="00EC0361">
              <w:rPr>
                <w:rStyle w:val="Hyperlink"/>
                <w:noProof/>
              </w:rPr>
              <w:t>Recent progress</w:t>
            </w:r>
            <w:r w:rsidR="00B906AE">
              <w:rPr>
                <w:noProof/>
                <w:webHidden/>
              </w:rPr>
              <w:tab/>
            </w:r>
            <w:r w:rsidR="00B906AE">
              <w:rPr>
                <w:noProof/>
                <w:webHidden/>
              </w:rPr>
              <w:fldChar w:fldCharType="begin"/>
            </w:r>
            <w:r w:rsidR="00B906AE">
              <w:rPr>
                <w:noProof/>
                <w:webHidden/>
              </w:rPr>
              <w:instrText xml:space="preserve"> PAGEREF _Toc160185961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3A7B23">
            <w:rPr>
              <w:noProof/>
            </w:rPr>
            <w:t>9</w:t>
          </w:r>
        </w:p>
        <w:p w14:paraId="20512248" w14:textId="3080A292"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62" w:history="1">
            <w:r w:rsidR="00B906AE" w:rsidRPr="00EC0361">
              <w:rPr>
                <w:rStyle w:val="Hyperlink"/>
                <w:noProof/>
              </w:rPr>
              <w:t>3.2.11</w:t>
            </w:r>
            <w:r w:rsidR="00B906AE">
              <w:rPr>
                <w:rFonts w:eastAsiaTheme="minorEastAsia" w:cstheme="minorBidi"/>
                <w:noProof/>
                <w:kern w:val="2"/>
                <w:sz w:val="22"/>
                <w14:ligatures w14:val="standardContextual"/>
              </w:rPr>
              <w:tab/>
            </w:r>
            <w:r w:rsidR="00B906AE" w:rsidRPr="00EC0361">
              <w:rPr>
                <w:rStyle w:val="Hyperlink"/>
                <w:noProof/>
              </w:rPr>
              <w:t>Dairy Business Innovation Initiatives (DBI) Current Activities</w:t>
            </w:r>
            <w:r w:rsidR="00B906AE">
              <w:rPr>
                <w:noProof/>
                <w:webHidden/>
              </w:rPr>
              <w:tab/>
            </w:r>
            <w:r w:rsidR="00B906AE">
              <w:rPr>
                <w:noProof/>
                <w:webHidden/>
              </w:rPr>
              <w:fldChar w:fldCharType="begin"/>
            </w:r>
            <w:r w:rsidR="00B906AE">
              <w:rPr>
                <w:noProof/>
                <w:webHidden/>
              </w:rPr>
              <w:instrText xml:space="preserve"> PAGEREF _Toc160185962 \h </w:instrText>
            </w:r>
            <w:r w:rsidR="00B906AE">
              <w:rPr>
                <w:noProof/>
                <w:webHidden/>
              </w:rPr>
            </w:r>
            <w:r w:rsidR="00B906AE">
              <w:rPr>
                <w:noProof/>
                <w:webHidden/>
              </w:rPr>
              <w:fldChar w:fldCharType="separate"/>
            </w:r>
            <w:r w:rsidR="009033D2">
              <w:rPr>
                <w:noProof/>
                <w:webHidden/>
              </w:rPr>
              <w:t>2</w:t>
            </w:r>
            <w:r w:rsidR="00B906AE">
              <w:rPr>
                <w:noProof/>
                <w:webHidden/>
              </w:rPr>
              <w:fldChar w:fldCharType="end"/>
            </w:r>
          </w:hyperlink>
          <w:r w:rsidR="003A7B23">
            <w:rPr>
              <w:noProof/>
            </w:rPr>
            <w:t>9</w:t>
          </w:r>
        </w:p>
        <w:p w14:paraId="639CEB09" w14:textId="4A414594"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63" w:history="1">
            <w:r w:rsidR="00B906AE" w:rsidRPr="00EC0361">
              <w:rPr>
                <w:rStyle w:val="Hyperlink"/>
                <w:noProof/>
              </w:rPr>
              <w:t>3.2.12</w:t>
            </w:r>
            <w:r w:rsidR="00B906AE">
              <w:rPr>
                <w:rFonts w:eastAsiaTheme="minorEastAsia" w:cstheme="minorBidi"/>
                <w:noProof/>
                <w:kern w:val="2"/>
                <w:sz w:val="22"/>
                <w14:ligatures w14:val="standardContextual"/>
              </w:rPr>
              <w:tab/>
            </w:r>
            <w:r w:rsidR="00B906AE" w:rsidRPr="00EC0361">
              <w:rPr>
                <w:rStyle w:val="Hyperlink"/>
                <w:noProof/>
              </w:rPr>
              <w:t>Packers and Stockyards Program</w:t>
            </w:r>
            <w:r w:rsidR="00B906AE">
              <w:rPr>
                <w:noProof/>
                <w:webHidden/>
              </w:rPr>
              <w:tab/>
            </w:r>
            <w:r w:rsidR="00B906AE">
              <w:rPr>
                <w:noProof/>
                <w:webHidden/>
              </w:rPr>
              <w:fldChar w:fldCharType="begin"/>
            </w:r>
            <w:r w:rsidR="00B906AE">
              <w:rPr>
                <w:noProof/>
                <w:webHidden/>
              </w:rPr>
              <w:instrText xml:space="preserve"> PAGEREF _Toc160185963 \h </w:instrText>
            </w:r>
            <w:r w:rsidR="00B906AE">
              <w:rPr>
                <w:noProof/>
                <w:webHidden/>
              </w:rPr>
            </w:r>
            <w:r>
              <w:rPr>
                <w:noProof/>
                <w:webHidden/>
              </w:rPr>
              <w:fldChar w:fldCharType="separate"/>
            </w:r>
            <w:r w:rsidR="00B906AE">
              <w:rPr>
                <w:noProof/>
                <w:webHidden/>
              </w:rPr>
              <w:fldChar w:fldCharType="end"/>
            </w:r>
          </w:hyperlink>
          <w:r w:rsidR="00F30FAC">
            <w:rPr>
              <w:noProof/>
            </w:rPr>
            <w:t>30</w:t>
          </w:r>
        </w:p>
        <w:p w14:paraId="15F1B208" w14:textId="64BE9FB2"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64" w:history="1">
            <w:r w:rsidR="00B906AE" w:rsidRPr="00EC0361">
              <w:rPr>
                <w:rStyle w:val="Hyperlink"/>
                <w:noProof/>
              </w:rPr>
              <w:t>3.2.13</w:t>
            </w:r>
            <w:r w:rsidR="00B906AE">
              <w:rPr>
                <w:rFonts w:eastAsiaTheme="minorEastAsia" w:cstheme="minorBidi"/>
                <w:noProof/>
                <w:kern w:val="2"/>
                <w:sz w:val="22"/>
                <w14:ligatures w14:val="standardContextual"/>
              </w:rPr>
              <w:tab/>
            </w:r>
            <w:r w:rsidR="00B906AE" w:rsidRPr="00EC0361">
              <w:rPr>
                <w:rStyle w:val="Hyperlink"/>
                <w:noProof/>
              </w:rPr>
              <w:t>Hemp Production Program</w:t>
            </w:r>
            <w:r w:rsidR="00B906AE">
              <w:rPr>
                <w:noProof/>
                <w:webHidden/>
              </w:rPr>
              <w:tab/>
            </w:r>
            <w:r w:rsidR="00B906AE">
              <w:rPr>
                <w:noProof/>
                <w:webHidden/>
              </w:rPr>
              <w:fldChar w:fldCharType="begin"/>
            </w:r>
            <w:r w:rsidR="00B906AE">
              <w:rPr>
                <w:noProof/>
                <w:webHidden/>
              </w:rPr>
              <w:instrText xml:space="preserve"> PAGEREF _Toc160185964 \h </w:instrText>
            </w:r>
            <w:r w:rsidR="00B906AE">
              <w:rPr>
                <w:noProof/>
                <w:webHidden/>
              </w:rPr>
            </w:r>
            <w:r>
              <w:rPr>
                <w:noProof/>
                <w:webHidden/>
              </w:rPr>
              <w:fldChar w:fldCharType="separate"/>
            </w:r>
            <w:r w:rsidR="00B906AE">
              <w:rPr>
                <w:noProof/>
                <w:webHidden/>
              </w:rPr>
              <w:fldChar w:fldCharType="end"/>
            </w:r>
          </w:hyperlink>
          <w:r w:rsidR="00F30FAC">
            <w:rPr>
              <w:noProof/>
            </w:rPr>
            <w:t>30</w:t>
          </w:r>
        </w:p>
        <w:p w14:paraId="744796BF" w14:textId="014A77AA"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65" w:history="1">
            <w:r w:rsidR="00B906AE" w:rsidRPr="00EC0361">
              <w:rPr>
                <w:rStyle w:val="Hyperlink"/>
                <w:noProof/>
              </w:rPr>
              <w:t>3.2.14</w:t>
            </w:r>
            <w:r w:rsidR="00B906AE">
              <w:rPr>
                <w:rFonts w:eastAsiaTheme="minorEastAsia" w:cstheme="minorBidi"/>
                <w:noProof/>
                <w:kern w:val="2"/>
                <w:sz w:val="22"/>
                <w14:ligatures w14:val="standardContextual"/>
              </w:rPr>
              <w:tab/>
            </w:r>
            <w:r w:rsidR="00B906AE" w:rsidRPr="00EC0361">
              <w:rPr>
                <w:rStyle w:val="Hyperlink"/>
                <w:noProof/>
              </w:rPr>
              <w:t>Warehouse and Commodity Management</w:t>
            </w:r>
            <w:r w:rsidR="00B906AE">
              <w:rPr>
                <w:noProof/>
                <w:webHidden/>
              </w:rPr>
              <w:tab/>
            </w:r>
            <w:r w:rsidR="00B906AE">
              <w:rPr>
                <w:noProof/>
                <w:webHidden/>
              </w:rPr>
              <w:fldChar w:fldCharType="begin"/>
            </w:r>
            <w:r w:rsidR="00B906AE">
              <w:rPr>
                <w:noProof/>
                <w:webHidden/>
              </w:rPr>
              <w:instrText xml:space="preserve"> PAGEREF _Toc160185965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D73F32">
            <w:rPr>
              <w:noProof/>
            </w:rPr>
            <w:t>1</w:t>
          </w:r>
        </w:p>
        <w:p w14:paraId="796F2647" w14:textId="689E5B5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66" w:history="1">
            <w:r w:rsidR="00B906AE" w:rsidRPr="00EC0361">
              <w:rPr>
                <w:rStyle w:val="Hyperlink"/>
                <w:noProof/>
              </w:rPr>
              <w:t>3.2.15</w:t>
            </w:r>
            <w:r w:rsidR="00B906AE">
              <w:rPr>
                <w:rFonts w:eastAsiaTheme="minorEastAsia" w:cstheme="minorBidi"/>
                <w:noProof/>
                <w:kern w:val="2"/>
                <w:sz w:val="22"/>
                <w14:ligatures w14:val="standardContextual"/>
              </w:rPr>
              <w:tab/>
            </w:r>
            <w:r w:rsidR="00B906AE" w:rsidRPr="00EC0361">
              <w:rPr>
                <w:rStyle w:val="Hyperlink"/>
                <w:noProof/>
              </w:rPr>
              <w:t>International Food Procurement</w:t>
            </w:r>
            <w:r w:rsidR="00B906AE">
              <w:rPr>
                <w:noProof/>
                <w:webHidden/>
              </w:rPr>
              <w:tab/>
            </w:r>
            <w:r w:rsidR="00B906AE">
              <w:rPr>
                <w:noProof/>
                <w:webHidden/>
              </w:rPr>
              <w:fldChar w:fldCharType="begin"/>
            </w:r>
            <w:r w:rsidR="00B906AE">
              <w:rPr>
                <w:noProof/>
                <w:webHidden/>
              </w:rPr>
              <w:instrText xml:space="preserve"> PAGEREF _Toc160185966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D73F32">
            <w:rPr>
              <w:noProof/>
            </w:rPr>
            <w:t>2</w:t>
          </w:r>
        </w:p>
        <w:p w14:paraId="381C6C9A" w14:textId="4C2AFAE0"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67" w:history="1">
            <w:r w:rsidR="00B906AE" w:rsidRPr="00EC0361">
              <w:rPr>
                <w:rStyle w:val="Hyperlink"/>
                <w:noProof/>
              </w:rPr>
              <w:t>3.2.16</w:t>
            </w:r>
            <w:r w:rsidR="00B906AE">
              <w:rPr>
                <w:rFonts w:eastAsiaTheme="minorEastAsia" w:cstheme="minorBidi"/>
                <w:noProof/>
                <w:kern w:val="2"/>
                <w:sz w:val="22"/>
                <w14:ligatures w14:val="standardContextual"/>
              </w:rPr>
              <w:tab/>
            </w:r>
            <w:r w:rsidR="00B906AE" w:rsidRPr="00EC0361">
              <w:rPr>
                <w:rStyle w:val="Hyperlink"/>
                <w:noProof/>
              </w:rPr>
              <w:t>Research and Promotion Program</w:t>
            </w:r>
            <w:r w:rsidR="00B906AE">
              <w:rPr>
                <w:noProof/>
                <w:webHidden/>
              </w:rPr>
              <w:tab/>
            </w:r>
            <w:r w:rsidR="00B906AE">
              <w:rPr>
                <w:noProof/>
                <w:webHidden/>
              </w:rPr>
              <w:fldChar w:fldCharType="begin"/>
            </w:r>
            <w:r w:rsidR="00B906AE">
              <w:rPr>
                <w:noProof/>
                <w:webHidden/>
              </w:rPr>
              <w:instrText xml:space="preserve"> PAGEREF _Toc160185967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D73F32">
            <w:rPr>
              <w:noProof/>
            </w:rPr>
            <w:t>2</w:t>
          </w:r>
        </w:p>
        <w:p w14:paraId="357F1EB2" w14:textId="6D12F96D"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68" w:history="1">
            <w:r w:rsidR="00B906AE" w:rsidRPr="00EC0361">
              <w:rPr>
                <w:rStyle w:val="Hyperlink"/>
                <w:noProof/>
              </w:rPr>
              <w:t>3.2.16.1</w:t>
            </w:r>
            <w:r w:rsidR="00B906AE">
              <w:rPr>
                <w:rFonts w:eastAsiaTheme="minorEastAsia" w:cstheme="minorBidi"/>
                <w:noProof/>
                <w:kern w:val="2"/>
                <w:sz w:val="22"/>
                <w14:ligatures w14:val="standardContextual"/>
              </w:rPr>
              <w:tab/>
            </w:r>
            <w:r w:rsidR="00B906AE" w:rsidRPr="00EC0361">
              <w:rPr>
                <w:rStyle w:val="Hyperlink"/>
                <w:noProof/>
              </w:rPr>
              <w:t>Dairy and Fluid Milk Research and Promotion Programs</w:t>
            </w:r>
            <w:r w:rsidR="00B906AE">
              <w:rPr>
                <w:noProof/>
                <w:webHidden/>
              </w:rPr>
              <w:tab/>
            </w:r>
            <w:r w:rsidR="00B906AE">
              <w:rPr>
                <w:noProof/>
                <w:webHidden/>
              </w:rPr>
              <w:fldChar w:fldCharType="begin"/>
            </w:r>
            <w:r w:rsidR="00B906AE">
              <w:rPr>
                <w:noProof/>
                <w:webHidden/>
              </w:rPr>
              <w:instrText xml:space="preserve"> PAGEREF _Toc160185968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D73F32">
            <w:rPr>
              <w:noProof/>
            </w:rPr>
            <w:t>2</w:t>
          </w:r>
        </w:p>
        <w:p w14:paraId="68C968D4" w14:textId="3A0F8489"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69" w:history="1">
            <w:r w:rsidR="00B906AE" w:rsidRPr="00EC0361">
              <w:rPr>
                <w:rStyle w:val="Hyperlink"/>
                <w:noProof/>
              </w:rPr>
              <w:t>3.2.16.2</w:t>
            </w:r>
            <w:r w:rsidR="00B906AE">
              <w:rPr>
                <w:rFonts w:eastAsiaTheme="minorEastAsia" w:cstheme="minorBidi"/>
                <w:noProof/>
                <w:kern w:val="2"/>
                <w:sz w:val="22"/>
                <w14:ligatures w14:val="standardContextual"/>
              </w:rPr>
              <w:tab/>
            </w:r>
            <w:r w:rsidR="00B906AE" w:rsidRPr="00EC0361">
              <w:rPr>
                <w:rStyle w:val="Hyperlink"/>
                <w:noProof/>
              </w:rPr>
              <w:t>Specialty Crops Research and Promotion Programs</w:t>
            </w:r>
            <w:r w:rsidR="00B906AE">
              <w:rPr>
                <w:noProof/>
                <w:webHidden/>
              </w:rPr>
              <w:tab/>
            </w:r>
            <w:r w:rsidR="00B906AE">
              <w:rPr>
                <w:noProof/>
                <w:webHidden/>
              </w:rPr>
              <w:fldChar w:fldCharType="begin"/>
            </w:r>
            <w:r w:rsidR="00B906AE">
              <w:rPr>
                <w:noProof/>
                <w:webHidden/>
              </w:rPr>
              <w:instrText xml:space="preserve"> PAGEREF _Toc160185969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D73F32">
            <w:rPr>
              <w:noProof/>
            </w:rPr>
            <w:t>2</w:t>
          </w:r>
        </w:p>
        <w:p w14:paraId="11C788E0" w14:textId="244C69C4"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70" w:history="1">
            <w:r w:rsidR="00B906AE" w:rsidRPr="00EC0361">
              <w:rPr>
                <w:rStyle w:val="Hyperlink"/>
                <w:noProof/>
              </w:rPr>
              <w:t>3.2.17</w:t>
            </w:r>
            <w:r w:rsidR="00B906AE">
              <w:rPr>
                <w:rFonts w:eastAsiaTheme="minorEastAsia" w:cstheme="minorBidi"/>
                <w:noProof/>
                <w:kern w:val="2"/>
                <w:sz w:val="22"/>
                <w14:ligatures w14:val="standardContextual"/>
              </w:rPr>
              <w:tab/>
            </w:r>
            <w:r w:rsidR="00B906AE" w:rsidRPr="00EC0361">
              <w:rPr>
                <w:rStyle w:val="Hyperlink"/>
                <w:noProof/>
              </w:rPr>
              <w:t>Auditing, Certification, Grading, Testing and Verification Services</w:t>
            </w:r>
            <w:r w:rsidR="00B906AE">
              <w:rPr>
                <w:noProof/>
                <w:webHidden/>
              </w:rPr>
              <w:tab/>
            </w:r>
            <w:r w:rsidR="00B906AE">
              <w:rPr>
                <w:noProof/>
                <w:webHidden/>
              </w:rPr>
              <w:fldChar w:fldCharType="begin"/>
            </w:r>
            <w:r w:rsidR="00B906AE">
              <w:rPr>
                <w:noProof/>
                <w:webHidden/>
              </w:rPr>
              <w:instrText xml:space="preserve"> PAGEREF _Toc160185970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7148E">
            <w:rPr>
              <w:noProof/>
            </w:rPr>
            <w:t>3</w:t>
          </w:r>
        </w:p>
        <w:p w14:paraId="2EDAB685" w14:textId="797C35EC"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1" w:history="1">
            <w:r w:rsidR="00B906AE" w:rsidRPr="00EC0361">
              <w:rPr>
                <w:rStyle w:val="Hyperlink"/>
                <w:noProof/>
              </w:rPr>
              <w:t>3.2.17.1</w:t>
            </w:r>
            <w:r w:rsidR="00B906AE">
              <w:rPr>
                <w:rFonts w:eastAsiaTheme="minorEastAsia" w:cstheme="minorBidi"/>
                <w:noProof/>
                <w:kern w:val="2"/>
                <w:sz w:val="22"/>
                <w14:ligatures w14:val="standardContextual"/>
              </w:rPr>
              <w:tab/>
            </w:r>
            <w:r w:rsidR="00B906AE" w:rsidRPr="00EC0361">
              <w:rPr>
                <w:rStyle w:val="Hyperlink"/>
                <w:noProof/>
              </w:rPr>
              <w:t>Dairy Grading</w:t>
            </w:r>
            <w:r w:rsidR="00B906AE">
              <w:rPr>
                <w:noProof/>
                <w:webHidden/>
              </w:rPr>
              <w:tab/>
            </w:r>
            <w:r w:rsidR="00B906AE">
              <w:rPr>
                <w:noProof/>
                <w:webHidden/>
              </w:rPr>
              <w:fldChar w:fldCharType="begin"/>
            </w:r>
            <w:r w:rsidR="00B906AE">
              <w:rPr>
                <w:noProof/>
                <w:webHidden/>
              </w:rPr>
              <w:instrText xml:space="preserve"> PAGEREF _Toc160185971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7148E">
            <w:rPr>
              <w:noProof/>
            </w:rPr>
            <w:t>3</w:t>
          </w:r>
        </w:p>
        <w:p w14:paraId="1798C830" w14:textId="489661C3"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2" w:history="1">
            <w:r w:rsidR="00B906AE" w:rsidRPr="00EC0361">
              <w:rPr>
                <w:rStyle w:val="Hyperlink"/>
                <w:noProof/>
              </w:rPr>
              <w:t>3.2.17.2</w:t>
            </w:r>
            <w:r w:rsidR="00B906AE">
              <w:rPr>
                <w:rFonts w:eastAsiaTheme="minorEastAsia" w:cstheme="minorBidi"/>
                <w:noProof/>
                <w:kern w:val="2"/>
                <w:sz w:val="22"/>
                <w14:ligatures w14:val="standardContextual"/>
              </w:rPr>
              <w:tab/>
            </w:r>
            <w:r w:rsidR="00B906AE" w:rsidRPr="00EC0361">
              <w:rPr>
                <w:rStyle w:val="Hyperlink"/>
                <w:noProof/>
              </w:rPr>
              <w:t>Specialty Crops Program - Inspection/Grading/Audits</w:t>
            </w:r>
            <w:r w:rsidR="00B906AE">
              <w:rPr>
                <w:noProof/>
                <w:webHidden/>
              </w:rPr>
              <w:tab/>
            </w:r>
            <w:r w:rsidR="00B906AE">
              <w:rPr>
                <w:noProof/>
                <w:webHidden/>
              </w:rPr>
              <w:fldChar w:fldCharType="begin"/>
            </w:r>
            <w:r w:rsidR="00B906AE">
              <w:rPr>
                <w:noProof/>
                <w:webHidden/>
              </w:rPr>
              <w:instrText xml:space="preserve"> PAGEREF _Toc160185972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7148E">
            <w:rPr>
              <w:noProof/>
            </w:rPr>
            <w:t>4</w:t>
          </w:r>
        </w:p>
        <w:p w14:paraId="5B4491EF" w14:textId="3071A19F"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3" w:history="1">
            <w:r w:rsidR="00B906AE" w:rsidRPr="00EC0361">
              <w:rPr>
                <w:rStyle w:val="Hyperlink"/>
                <w:noProof/>
              </w:rPr>
              <w:t>3.2.17.3</w:t>
            </w:r>
            <w:r w:rsidR="00B906AE">
              <w:rPr>
                <w:rFonts w:eastAsiaTheme="minorEastAsia" w:cstheme="minorBidi"/>
                <w:noProof/>
                <w:kern w:val="2"/>
                <w:sz w:val="22"/>
                <w14:ligatures w14:val="standardContextual"/>
              </w:rPr>
              <w:tab/>
            </w:r>
            <w:r w:rsidR="00B906AE" w:rsidRPr="00EC0361">
              <w:rPr>
                <w:rStyle w:val="Hyperlink"/>
                <w:noProof/>
              </w:rPr>
              <w:t>USDA Process Verified Program</w:t>
            </w:r>
            <w:r w:rsidR="00B906AE">
              <w:rPr>
                <w:noProof/>
                <w:webHidden/>
              </w:rPr>
              <w:tab/>
            </w:r>
            <w:r w:rsidR="00B906AE">
              <w:rPr>
                <w:noProof/>
                <w:webHidden/>
              </w:rPr>
              <w:fldChar w:fldCharType="begin"/>
            </w:r>
            <w:r w:rsidR="00B906AE">
              <w:rPr>
                <w:noProof/>
                <w:webHidden/>
              </w:rPr>
              <w:instrText xml:space="preserve"> PAGEREF _Toc160185973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34236">
            <w:rPr>
              <w:noProof/>
            </w:rPr>
            <w:t>5</w:t>
          </w:r>
        </w:p>
        <w:p w14:paraId="709F5603" w14:textId="23742FAC"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4" w:history="1">
            <w:r w:rsidR="00B906AE" w:rsidRPr="00EC0361">
              <w:rPr>
                <w:rStyle w:val="Hyperlink"/>
                <w:noProof/>
              </w:rPr>
              <w:t>3.2.17.4</w:t>
            </w:r>
            <w:r w:rsidR="00B906AE">
              <w:rPr>
                <w:rFonts w:eastAsiaTheme="minorEastAsia" w:cstheme="minorBidi"/>
                <w:noProof/>
                <w:kern w:val="2"/>
                <w:sz w:val="22"/>
                <w14:ligatures w14:val="standardContextual"/>
              </w:rPr>
              <w:tab/>
            </w:r>
            <w:r w:rsidR="00B906AE" w:rsidRPr="00EC0361">
              <w:rPr>
                <w:rStyle w:val="Hyperlink"/>
                <w:noProof/>
              </w:rPr>
              <w:t>Export Verification</w:t>
            </w:r>
            <w:r w:rsidR="00B906AE">
              <w:rPr>
                <w:noProof/>
                <w:webHidden/>
              </w:rPr>
              <w:tab/>
            </w:r>
            <w:r w:rsidR="00B906AE">
              <w:rPr>
                <w:noProof/>
                <w:webHidden/>
              </w:rPr>
              <w:fldChar w:fldCharType="begin"/>
            </w:r>
            <w:r w:rsidR="00B906AE">
              <w:rPr>
                <w:noProof/>
                <w:webHidden/>
              </w:rPr>
              <w:instrText xml:space="preserve"> PAGEREF _Toc160185974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692886">
            <w:rPr>
              <w:noProof/>
            </w:rPr>
            <w:t>5</w:t>
          </w:r>
        </w:p>
        <w:p w14:paraId="2BB3A947" w14:textId="60CA9476"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5" w:history="1">
            <w:r w:rsidR="00B906AE" w:rsidRPr="00EC0361">
              <w:rPr>
                <w:rStyle w:val="Hyperlink"/>
                <w:noProof/>
              </w:rPr>
              <w:t>3.2.17.5</w:t>
            </w:r>
            <w:r w:rsidR="00B906AE">
              <w:rPr>
                <w:rFonts w:eastAsiaTheme="minorEastAsia" w:cstheme="minorBidi"/>
                <w:noProof/>
                <w:kern w:val="2"/>
                <w:sz w:val="22"/>
                <w14:ligatures w14:val="standardContextual"/>
              </w:rPr>
              <w:tab/>
            </w:r>
            <w:r w:rsidR="00B906AE" w:rsidRPr="00EC0361">
              <w:rPr>
                <w:rStyle w:val="Hyperlink"/>
                <w:noProof/>
              </w:rPr>
              <w:t>USDA Commodity Purchasing</w:t>
            </w:r>
            <w:r w:rsidR="00B906AE">
              <w:rPr>
                <w:noProof/>
                <w:webHidden/>
              </w:rPr>
              <w:tab/>
            </w:r>
            <w:r w:rsidR="00B906AE">
              <w:rPr>
                <w:noProof/>
                <w:webHidden/>
              </w:rPr>
              <w:fldChar w:fldCharType="begin"/>
            </w:r>
            <w:r w:rsidR="00B906AE">
              <w:rPr>
                <w:noProof/>
                <w:webHidden/>
              </w:rPr>
              <w:instrText xml:space="preserve"> PAGEREF _Toc160185975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692886">
            <w:rPr>
              <w:noProof/>
            </w:rPr>
            <w:t>5</w:t>
          </w:r>
        </w:p>
        <w:p w14:paraId="2671C9C2" w14:textId="7B8761F8"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6" w:history="1">
            <w:r w:rsidR="00B906AE" w:rsidRPr="00EC0361">
              <w:rPr>
                <w:rStyle w:val="Hyperlink"/>
                <w:noProof/>
              </w:rPr>
              <w:t>3.2.17.6</w:t>
            </w:r>
            <w:r w:rsidR="00B906AE">
              <w:rPr>
                <w:rFonts w:eastAsiaTheme="minorEastAsia" w:cstheme="minorBidi"/>
                <w:noProof/>
                <w:kern w:val="2"/>
                <w:sz w:val="22"/>
                <w14:ligatures w14:val="standardContextual"/>
              </w:rPr>
              <w:tab/>
            </w:r>
            <w:r w:rsidR="00B906AE" w:rsidRPr="00EC0361">
              <w:rPr>
                <w:rStyle w:val="Hyperlink"/>
                <w:noProof/>
              </w:rPr>
              <w:t>Livestock and Poultry Meat Grading Program</w:t>
            </w:r>
            <w:r w:rsidR="00B906AE">
              <w:rPr>
                <w:noProof/>
                <w:webHidden/>
              </w:rPr>
              <w:tab/>
            </w:r>
            <w:r w:rsidR="00B906AE">
              <w:rPr>
                <w:noProof/>
                <w:webHidden/>
              </w:rPr>
              <w:fldChar w:fldCharType="begin"/>
            </w:r>
            <w:r w:rsidR="00B906AE">
              <w:rPr>
                <w:noProof/>
                <w:webHidden/>
              </w:rPr>
              <w:instrText xml:space="preserve"> PAGEREF _Toc160185976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692886">
            <w:rPr>
              <w:noProof/>
            </w:rPr>
            <w:t>5</w:t>
          </w:r>
        </w:p>
        <w:p w14:paraId="7655DD75" w14:textId="3CDA6757"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7" w:history="1">
            <w:r w:rsidR="00B906AE" w:rsidRPr="00EC0361">
              <w:rPr>
                <w:rStyle w:val="Hyperlink"/>
                <w:noProof/>
              </w:rPr>
              <w:t>3.2.17.7</w:t>
            </w:r>
            <w:r w:rsidR="00B906AE">
              <w:rPr>
                <w:rFonts w:eastAsiaTheme="minorEastAsia" w:cstheme="minorBidi"/>
                <w:noProof/>
                <w:kern w:val="2"/>
                <w:sz w:val="22"/>
                <w14:ligatures w14:val="standardContextual"/>
              </w:rPr>
              <w:tab/>
            </w:r>
            <w:r w:rsidR="00B906AE" w:rsidRPr="00EC0361">
              <w:rPr>
                <w:rStyle w:val="Hyperlink"/>
                <w:noProof/>
              </w:rPr>
              <w:t>Livestock and Poultry Program Audit Services</w:t>
            </w:r>
            <w:r w:rsidR="00B906AE">
              <w:rPr>
                <w:noProof/>
                <w:webHidden/>
              </w:rPr>
              <w:tab/>
            </w:r>
            <w:r w:rsidR="00B906AE">
              <w:rPr>
                <w:noProof/>
                <w:webHidden/>
              </w:rPr>
              <w:fldChar w:fldCharType="begin"/>
            </w:r>
            <w:r w:rsidR="00B906AE">
              <w:rPr>
                <w:noProof/>
                <w:webHidden/>
              </w:rPr>
              <w:instrText xml:space="preserve"> PAGEREF _Toc160185977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692886">
            <w:rPr>
              <w:noProof/>
            </w:rPr>
            <w:t>5</w:t>
          </w:r>
        </w:p>
        <w:p w14:paraId="571DC45E" w14:textId="29921F07"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8" w:history="1">
            <w:r w:rsidR="00B906AE" w:rsidRPr="00EC0361">
              <w:rPr>
                <w:rStyle w:val="Hyperlink"/>
                <w:noProof/>
              </w:rPr>
              <w:t>3.2.17.8</w:t>
            </w:r>
            <w:r w:rsidR="00B906AE">
              <w:rPr>
                <w:rFonts w:eastAsiaTheme="minorEastAsia" w:cstheme="minorBidi"/>
                <w:noProof/>
                <w:kern w:val="2"/>
                <w:sz w:val="22"/>
                <w14:ligatures w14:val="standardContextual"/>
              </w:rPr>
              <w:tab/>
            </w:r>
            <w:r w:rsidR="00B906AE" w:rsidRPr="00EC0361">
              <w:rPr>
                <w:rStyle w:val="Hyperlink"/>
                <w:noProof/>
              </w:rPr>
              <w:t>Poultry and Shell Egg Grading Services</w:t>
            </w:r>
            <w:r w:rsidR="00B906AE">
              <w:rPr>
                <w:noProof/>
                <w:webHidden/>
              </w:rPr>
              <w:tab/>
            </w:r>
            <w:r w:rsidR="00B906AE">
              <w:rPr>
                <w:noProof/>
                <w:webHidden/>
              </w:rPr>
              <w:fldChar w:fldCharType="begin"/>
            </w:r>
            <w:r w:rsidR="00B906AE">
              <w:rPr>
                <w:noProof/>
                <w:webHidden/>
              </w:rPr>
              <w:instrText xml:space="preserve"> PAGEREF _Toc160185978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692886">
            <w:rPr>
              <w:noProof/>
            </w:rPr>
            <w:t>5</w:t>
          </w:r>
        </w:p>
        <w:p w14:paraId="2C033586" w14:textId="206D9B32"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79" w:history="1">
            <w:r w:rsidR="00B906AE" w:rsidRPr="00EC0361">
              <w:rPr>
                <w:rStyle w:val="Hyperlink"/>
                <w:noProof/>
              </w:rPr>
              <w:t>3.2.17.9</w:t>
            </w:r>
            <w:r w:rsidR="00B906AE">
              <w:rPr>
                <w:rFonts w:eastAsiaTheme="minorEastAsia" w:cstheme="minorBidi"/>
                <w:noProof/>
                <w:kern w:val="2"/>
                <w:sz w:val="22"/>
                <w14:ligatures w14:val="standardContextual"/>
              </w:rPr>
              <w:tab/>
            </w:r>
            <w:r w:rsidR="00B906AE" w:rsidRPr="00EC0361">
              <w:rPr>
                <w:rStyle w:val="Hyperlink"/>
                <w:noProof/>
              </w:rPr>
              <w:t>Voluntary Seed Testing</w:t>
            </w:r>
            <w:r w:rsidR="00B906AE">
              <w:rPr>
                <w:noProof/>
                <w:webHidden/>
              </w:rPr>
              <w:tab/>
            </w:r>
            <w:r w:rsidR="00B906AE">
              <w:rPr>
                <w:noProof/>
                <w:webHidden/>
              </w:rPr>
              <w:fldChar w:fldCharType="begin"/>
            </w:r>
            <w:r w:rsidR="00B906AE">
              <w:rPr>
                <w:noProof/>
                <w:webHidden/>
              </w:rPr>
              <w:instrText xml:space="preserve"> PAGEREF _Toc160185979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2D6F43">
            <w:rPr>
              <w:noProof/>
            </w:rPr>
            <w:t>6</w:t>
          </w:r>
        </w:p>
        <w:p w14:paraId="12291453" w14:textId="671A65BA" w:rsidR="00B906AE" w:rsidRDefault="00B2178E">
          <w:pPr>
            <w:pStyle w:val="TOC4"/>
            <w:tabs>
              <w:tab w:val="left" w:pos="1852"/>
              <w:tab w:val="right" w:leader="dot" w:pos="10070"/>
            </w:tabs>
            <w:rPr>
              <w:rFonts w:eastAsiaTheme="minorEastAsia" w:cstheme="minorBidi"/>
              <w:noProof/>
              <w:kern w:val="2"/>
              <w:sz w:val="22"/>
              <w14:ligatures w14:val="standardContextual"/>
            </w:rPr>
          </w:pPr>
          <w:hyperlink w:anchor="_Toc160185980" w:history="1">
            <w:r w:rsidR="00B906AE" w:rsidRPr="00EC0361">
              <w:rPr>
                <w:rStyle w:val="Hyperlink"/>
                <w:noProof/>
              </w:rPr>
              <w:t>3.2.17.10</w:t>
            </w:r>
            <w:r w:rsidR="00B906AE">
              <w:rPr>
                <w:rFonts w:eastAsiaTheme="minorEastAsia" w:cstheme="minorBidi"/>
                <w:noProof/>
                <w:kern w:val="2"/>
                <w:sz w:val="22"/>
                <w14:ligatures w14:val="standardContextual"/>
              </w:rPr>
              <w:tab/>
            </w:r>
            <w:r w:rsidR="00B906AE" w:rsidRPr="00EC0361">
              <w:rPr>
                <w:rStyle w:val="Hyperlink"/>
                <w:noProof/>
              </w:rPr>
              <w:t>Cotton Grading</w:t>
            </w:r>
            <w:r w:rsidR="00B906AE">
              <w:rPr>
                <w:noProof/>
                <w:webHidden/>
              </w:rPr>
              <w:tab/>
            </w:r>
            <w:r w:rsidR="00B906AE">
              <w:rPr>
                <w:noProof/>
                <w:webHidden/>
              </w:rPr>
              <w:fldChar w:fldCharType="begin"/>
            </w:r>
            <w:r w:rsidR="00B906AE">
              <w:rPr>
                <w:noProof/>
                <w:webHidden/>
              </w:rPr>
              <w:instrText xml:space="preserve"> PAGEREF _Toc160185980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7D5B5B">
            <w:rPr>
              <w:noProof/>
            </w:rPr>
            <w:t>6</w:t>
          </w:r>
        </w:p>
        <w:p w14:paraId="4CFD61EF" w14:textId="54737898" w:rsidR="00B906AE" w:rsidRDefault="00B2178E">
          <w:pPr>
            <w:pStyle w:val="TOC4"/>
            <w:tabs>
              <w:tab w:val="left" w:pos="1852"/>
              <w:tab w:val="right" w:leader="dot" w:pos="10070"/>
            </w:tabs>
            <w:rPr>
              <w:rFonts w:eastAsiaTheme="minorEastAsia" w:cstheme="minorBidi"/>
              <w:noProof/>
              <w:kern w:val="2"/>
              <w:sz w:val="22"/>
              <w14:ligatures w14:val="standardContextual"/>
            </w:rPr>
          </w:pPr>
          <w:hyperlink w:anchor="_Toc160185981" w:history="1">
            <w:r w:rsidR="00B906AE" w:rsidRPr="00EC0361">
              <w:rPr>
                <w:rStyle w:val="Hyperlink"/>
                <w:noProof/>
              </w:rPr>
              <w:t>3.2.17.11</w:t>
            </w:r>
            <w:r w:rsidR="00B906AE">
              <w:rPr>
                <w:rFonts w:eastAsiaTheme="minorEastAsia" w:cstheme="minorBidi"/>
                <w:noProof/>
                <w:kern w:val="2"/>
                <w:sz w:val="22"/>
                <w14:ligatures w14:val="standardContextual"/>
              </w:rPr>
              <w:tab/>
            </w:r>
            <w:r w:rsidR="00B906AE" w:rsidRPr="00EC0361">
              <w:rPr>
                <w:rStyle w:val="Hyperlink"/>
                <w:noProof/>
              </w:rPr>
              <w:t>Tobacco Grading</w:t>
            </w:r>
            <w:r w:rsidR="00B906AE">
              <w:rPr>
                <w:noProof/>
                <w:webHidden/>
              </w:rPr>
              <w:tab/>
            </w:r>
            <w:r w:rsidR="00B906AE">
              <w:rPr>
                <w:noProof/>
                <w:webHidden/>
              </w:rPr>
              <w:fldChar w:fldCharType="begin"/>
            </w:r>
            <w:r w:rsidR="00B906AE">
              <w:rPr>
                <w:noProof/>
                <w:webHidden/>
              </w:rPr>
              <w:instrText xml:space="preserve"> PAGEREF _Toc160185981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7D5B5B">
            <w:rPr>
              <w:noProof/>
            </w:rPr>
            <w:t>6</w:t>
          </w:r>
        </w:p>
        <w:p w14:paraId="2FA2E6FD" w14:textId="57D9FE1A" w:rsidR="00B906AE" w:rsidRDefault="00B2178E">
          <w:pPr>
            <w:pStyle w:val="TOC4"/>
            <w:tabs>
              <w:tab w:val="left" w:pos="1852"/>
              <w:tab w:val="right" w:leader="dot" w:pos="10070"/>
            </w:tabs>
            <w:rPr>
              <w:rFonts w:eastAsiaTheme="minorEastAsia" w:cstheme="minorBidi"/>
              <w:noProof/>
              <w:kern w:val="2"/>
              <w:sz w:val="22"/>
              <w14:ligatures w14:val="standardContextual"/>
            </w:rPr>
          </w:pPr>
          <w:hyperlink w:anchor="_Toc160185982" w:history="1">
            <w:r w:rsidR="00B906AE" w:rsidRPr="00EC0361">
              <w:rPr>
                <w:rStyle w:val="Hyperlink"/>
                <w:noProof/>
              </w:rPr>
              <w:t>3.2.17.12</w:t>
            </w:r>
            <w:r w:rsidR="00B906AE">
              <w:rPr>
                <w:rFonts w:eastAsiaTheme="minorEastAsia" w:cstheme="minorBidi"/>
                <w:noProof/>
                <w:kern w:val="2"/>
                <w:sz w:val="22"/>
                <w14:ligatures w14:val="standardContextual"/>
              </w:rPr>
              <w:tab/>
            </w:r>
            <w:r w:rsidR="00B906AE" w:rsidRPr="00EC0361">
              <w:rPr>
                <w:rStyle w:val="Hyperlink"/>
                <w:noProof/>
              </w:rPr>
              <w:t>AMS Laboratory Approval and Testing Division</w:t>
            </w:r>
            <w:r w:rsidR="00B906AE">
              <w:rPr>
                <w:noProof/>
                <w:webHidden/>
              </w:rPr>
              <w:tab/>
            </w:r>
            <w:r w:rsidR="00B906AE">
              <w:rPr>
                <w:noProof/>
                <w:webHidden/>
              </w:rPr>
              <w:fldChar w:fldCharType="begin"/>
            </w:r>
            <w:r w:rsidR="00B906AE">
              <w:rPr>
                <w:noProof/>
                <w:webHidden/>
              </w:rPr>
              <w:instrText xml:space="preserve"> PAGEREF _Toc160185982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7D5B5B">
            <w:rPr>
              <w:noProof/>
            </w:rPr>
            <w:t>6</w:t>
          </w:r>
        </w:p>
        <w:p w14:paraId="17845799" w14:textId="221068B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83" w:history="1">
            <w:r w:rsidR="00B906AE" w:rsidRPr="00EC0361">
              <w:rPr>
                <w:rStyle w:val="Hyperlink"/>
                <w:noProof/>
              </w:rPr>
              <w:t>3.2.18</w:t>
            </w:r>
            <w:r w:rsidR="00B906AE">
              <w:rPr>
                <w:rFonts w:eastAsiaTheme="minorEastAsia" w:cstheme="minorBidi"/>
                <w:noProof/>
                <w:kern w:val="2"/>
                <w:sz w:val="22"/>
                <w14:ligatures w14:val="standardContextual"/>
              </w:rPr>
              <w:tab/>
            </w:r>
            <w:r w:rsidR="00B906AE" w:rsidRPr="00EC0361">
              <w:rPr>
                <w:rStyle w:val="Hyperlink"/>
                <w:noProof/>
              </w:rPr>
              <w:t>Plant Variety Protection Act</w:t>
            </w:r>
            <w:r w:rsidR="00B906AE">
              <w:rPr>
                <w:noProof/>
                <w:webHidden/>
              </w:rPr>
              <w:tab/>
            </w:r>
            <w:r w:rsidR="00B906AE">
              <w:rPr>
                <w:noProof/>
                <w:webHidden/>
              </w:rPr>
              <w:fldChar w:fldCharType="begin"/>
            </w:r>
            <w:r w:rsidR="00B906AE">
              <w:rPr>
                <w:noProof/>
                <w:webHidden/>
              </w:rPr>
              <w:instrText xml:space="preserve"> PAGEREF _Toc160185983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F22E1">
            <w:rPr>
              <w:noProof/>
            </w:rPr>
            <w:t>7</w:t>
          </w:r>
        </w:p>
        <w:p w14:paraId="4B213A56" w14:textId="7AF5A90F"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84" w:history="1">
            <w:r w:rsidR="00B906AE" w:rsidRPr="00EC0361">
              <w:rPr>
                <w:rStyle w:val="Hyperlink"/>
                <w:noProof/>
              </w:rPr>
              <w:t>3.2.19</w:t>
            </w:r>
            <w:r w:rsidR="00B906AE">
              <w:rPr>
                <w:rFonts w:eastAsiaTheme="minorEastAsia" w:cstheme="minorBidi"/>
                <w:noProof/>
                <w:kern w:val="2"/>
                <w:sz w:val="22"/>
                <w14:ligatures w14:val="standardContextual"/>
              </w:rPr>
              <w:tab/>
            </w:r>
            <w:r w:rsidR="00B906AE" w:rsidRPr="00EC0361">
              <w:rPr>
                <w:rStyle w:val="Hyperlink"/>
                <w:noProof/>
              </w:rPr>
              <w:t>Federal-State Marketing Improvement Program</w:t>
            </w:r>
            <w:r w:rsidR="00B906AE">
              <w:rPr>
                <w:noProof/>
                <w:webHidden/>
              </w:rPr>
              <w:tab/>
            </w:r>
            <w:r w:rsidR="00B906AE">
              <w:rPr>
                <w:noProof/>
                <w:webHidden/>
              </w:rPr>
              <w:fldChar w:fldCharType="begin"/>
            </w:r>
            <w:r w:rsidR="00B906AE">
              <w:rPr>
                <w:noProof/>
                <w:webHidden/>
              </w:rPr>
              <w:instrText xml:space="preserve"> PAGEREF _Toc160185984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F22E1">
            <w:rPr>
              <w:noProof/>
            </w:rPr>
            <w:t>7</w:t>
          </w:r>
        </w:p>
        <w:p w14:paraId="54C7C018" w14:textId="32688FB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85" w:history="1">
            <w:r w:rsidR="00B906AE" w:rsidRPr="00EC0361">
              <w:rPr>
                <w:rStyle w:val="Hyperlink"/>
                <w:noProof/>
              </w:rPr>
              <w:t>3.2.20</w:t>
            </w:r>
            <w:r w:rsidR="00B906AE">
              <w:rPr>
                <w:rFonts w:eastAsiaTheme="minorEastAsia" w:cstheme="minorBidi"/>
                <w:noProof/>
                <w:kern w:val="2"/>
                <w:sz w:val="22"/>
                <w14:ligatures w14:val="standardContextual"/>
              </w:rPr>
              <w:tab/>
            </w:r>
            <w:r w:rsidR="00B906AE" w:rsidRPr="00EC0361">
              <w:rPr>
                <w:rStyle w:val="Hyperlink"/>
                <w:noProof/>
              </w:rPr>
              <w:t>Specialty Crop Block Grant Program</w:t>
            </w:r>
            <w:r w:rsidR="00B906AE">
              <w:rPr>
                <w:noProof/>
                <w:webHidden/>
              </w:rPr>
              <w:tab/>
            </w:r>
            <w:r w:rsidR="00B906AE">
              <w:rPr>
                <w:noProof/>
                <w:webHidden/>
              </w:rPr>
              <w:fldChar w:fldCharType="begin"/>
            </w:r>
            <w:r w:rsidR="00B906AE">
              <w:rPr>
                <w:noProof/>
                <w:webHidden/>
              </w:rPr>
              <w:instrText xml:space="preserve"> PAGEREF _Toc160185985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F22E1">
            <w:rPr>
              <w:noProof/>
            </w:rPr>
            <w:t>8</w:t>
          </w:r>
        </w:p>
        <w:p w14:paraId="0E21442B" w14:textId="757FE992"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86" w:history="1">
            <w:r w:rsidR="00B906AE" w:rsidRPr="00EC0361">
              <w:rPr>
                <w:rStyle w:val="Hyperlink"/>
                <w:noProof/>
              </w:rPr>
              <w:t>3.2.21</w:t>
            </w:r>
            <w:r w:rsidR="00B906AE">
              <w:rPr>
                <w:rFonts w:eastAsiaTheme="minorEastAsia" w:cstheme="minorBidi"/>
                <w:noProof/>
                <w:kern w:val="2"/>
                <w:sz w:val="22"/>
                <w14:ligatures w14:val="standardContextual"/>
              </w:rPr>
              <w:tab/>
            </w:r>
            <w:r w:rsidR="00B906AE" w:rsidRPr="00EC0361">
              <w:rPr>
                <w:rStyle w:val="Hyperlink"/>
                <w:noProof/>
              </w:rPr>
              <w:t>Specialty Crop Multi-State Program</w:t>
            </w:r>
            <w:r w:rsidR="00B906AE">
              <w:rPr>
                <w:noProof/>
                <w:webHidden/>
              </w:rPr>
              <w:tab/>
            </w:r>
            <w:r w:rsidR="00B906AE">
              <w:rPr>
                <w:noProof/>
                <w:webHidden/>
              </w:rPr>
              <w:fldChar w:fldCharType="begin"/>
            </w:r>
            <w:r w:rsidR="00B906AE">
              <w:rPr>
                <w:noProof/>
                <w:webHidden/>
              </w:rPr>
              <w:instrText xml:space="preserve"> PAGEREF _Toc160185986 \h </w:instrText>
            </w:r>
            <w:r w:rsidR="00B906AE">
              <w:rPr>
                <w:noProof/>
                <w:webHidden/>
              </w:rPr>
            </w:r>
            <w:r w:rsidR="00B906AE">
              <w:rPr>
                <w:noProof/>
                <w:webHidden/>
              </w:rPr>
              <w:fldChar w:fldCharType="separate"/>
            </w:r>
            <w:r w:rsidR="009033D2">
              <w:rPr>
                <w:noProof/>
                <w:webHidden/>
              </w:rPr>
              <w:t>3</w:t>
            </w:r>
            <w:r w:rsidR="00B906AE">
              <w:rPr>
                <w:noProof/>
                <w:webHidden/>
              </w:rPr>
              <w:fldChar w:fldCharType="end"/>
            </w:r>
          </w:hyperlink>
          <w:r w:rsidR="003F22E1">
            <w:rPr>
              <w:noProof/>
            </w:rPr>
            <w:t>9</w:t>
          </w:r>
        </w:p>
        <w:p w14:paraId="2D40EB3B" w14:textId="44020C3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87" w:history="1">
            <w:r w:rsidR="00B906AE" w:rsidRPr="00EC0361">
              <w:rPr>
                <w:rStyle w:val="Hyperlink"/>
                <w:noProof/>
              </w:rPr>
              <w:t>3.2.22</w:t>
            </w:r>
            <w:r w:rsidR="00B906AE">
              <w:rPr>
                <w:rFonts w:eastAsiaTheme="minorEastAsia" w:cstheme="minorBidi"/>
                <w:noProof/>
                <w:kern w:val="2"/>
                <w:sz w:val="22"/>
                <w14:ligatures w14:val="standardContextual"/>
              </w:rPr>
              <w:tab/>
            </w:r>
            <w:r w:rsidR="00B906AE" w:rsidRPr="00EC0361">
              <w:rPr>
                <w:rStyle w:val="Hyperlink"/>
                <w:noProof/>
              </w:rPr>
              <w:t>Federal Grain Inspection Service</w:t>
            </w:r>
            <w:r w:rsidR="00B906AE">
              <w:rPr>
                <w:noProof/>
                <w:webHidden/>
              </w:rPr>
              <w:tab/>
            </w:r>
            <w:r w:rsidR="00B906AE">
              <w:rPr>
                <w:noProof/>
                <w:webHidden/>
              </w:rPr>
              <w:fldChar w:fldCharType="begin"/>
            </w:r>
            <w:r w:rsidR="00B906AE">
              <w:rPr>
                <w:noProof/>
                <w:webHidden/>
              </w:rPr>
              <w:instrText xml:space="preserve"> PAGEREF _Toc160185987 \h </w:instrText>
            </w:r>
            <w:r w:rsidR="00B906AE">
              <w:rPr>
                <w:noProof/>
                <w:webHidden/>
              </w:rPr>
            </w:r>
            <w:r>
              <w:rPr>
                <w:noProof/>
                <w:webHidden/>
              </w:rPr>
              <w:fldChar w:fldCharType="separate"/>
            </w:r>
            <w:r w:rsidR="00B906AE">
              <w:rPr>
                <w:noProof/>
                <w:webHidden/>
              </w:rPr>
              <w:fldChar w:fldCharType="end"/>
            </w:r>
          </w:hyperlink>
          <w:r w:rsidR="00612292">
            <w:rPr>
              <w:noProof/>
            </w:rPr>
            <w:t>40</w:t>
          </w:r>
        </w:p>
        <w:p w14:paraId="2E8D0675" w14:textId="20808219"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88" w:history="1">
            <w:r w:rsidR="00B906AE" w:rsidRPr="00EC0361">
              <w:rPr>
                <w:rStyle w:val="Hyperlink"/>
                <w:noProof/>
              </w:rPr>
              <w:t>3.2.22.1</w:t>
            </w:r>
            <w:r w:rsidR="00B906AE">
              <w:rPr>
                <w:rFonts w:eastAsiaTheme="minorEastAsia" w:cstheme="minorBidi"/>
                <w:noProof/>
                <w:kern w:val="2"/>
                <w:sz w:val="22"/>
                <w14:ligatures w14:val="standardContextual"/>
              </w:rPr>
              <w:tab/>
            </w:r>
            <w:r w:rsidR="00B906AE" w:rsidRPr="00EC0361">
              <w:rPr>
                <w:rStyle w:val="Hyperlink"/>
                <w:noProof/>
              </w:rPr>
              <w:t>Current Technology Transfer Initiatives</w:t>
            </w:r>
            <w:r w:rsidR="00B906AE">
              <w:rPr>
                <w:noProof/>
                <w:webHidden/>
              </w:rPr>
              <w:tab/>
            </w:r>
            <w:r w:rsidR="00B906AE">
              <w:rPr>
                <w:noProof/>
                <w:webHidden/>
              </w:rPr>
              <w:fldChar w:fldCharType="begin"/>
            </w:r>
            <w:r w:rsidR="00B906AE">
              <w:rPr>
                <w:noProof/>
                <w:webHidden/>
              </w:rPr>
              <w:instrText xml:space="preserve"> PAGEREF _Toc160185988 \h </w:instrText>
            </w:r>
            <w:r w:rsidR="00B906AE">
              <w:rPr>
                <w:noProof/>
                <w:webHidden/>
              </w:rPr>
            </w:r>
            <w:r>
              <w:rPr>
                <w:noProof/>
                <w:webHidden/>
              </w:rPr>
              <w:fldChar w:fldCharType="separate"/>
            </w:r>
            <w:r w:rsidR="00B906AE">
              <w:rPr>
                <w:noProof/>
                <w:webHidden/>
              </w:rPr>
              <w:fldChar w:fldCharType="end"/>
            </w:r>
          </w:hyperlink>
          <w:r w:rsidR="00612292">
            <w:rPr>
              <w:noProof/>
            </w:rPr>
            <w:t>40</w:t>
          </w:r>
        </w:p>
        <w:p w14:paraId="733D900A" w14:textId="2B8CC699" w:rsidR="00B906AE" w:rsidRDefault="00B2178E">
          <w:pPr>
            <w:pStyle w:val="TOC5"/>
            <w:tabs>
              <w:tab w:val="left" w:pos="2152"/>
              <w:tab w:val="right" w:leader="dot" w:pos="10070"/>
            </w:tabs>
            <w:rPr>
              <w:rFonts w:eastAsiaTheme="minorEastAsia" w:cstheme="minorBidi"/>
              <w:noProof/>
              <w:kern w:val="2"/>
              <w:sz w:val="22"/>
              <w14:ligatures w14:val="standardContextual"/>
            </w:rPr>
          </w:pPr>
          <w:hyperlink w:anchor="_Toc160185989" w:history="1">
            <w:r w:rsidR="00B906AE" w:rsidRPr="00EC0361">
              <w:rPr>
                <w:rStyle w:val="Hyperlink"/>
                <w:noProof/>
              </w:rPr>
              <w:t>3.2.22.1.1</w:t>
            </w:r>
            <w:r w:rsidR="00B906AE">
              <w:rPr>
                <w:rFonts w:eastAsiaTheme="minorEastAsia" w:cstheme="minorBidi"/>
                <w:noProof/>
                <w:kern w:val="2"/>
                <w:sz w:val="22"/>
                <w14:ligatures w14:val="standardContextual"/>
              </w:rPr>
              <w:tab/>
            </w:r>
            <w:r w:rsidR="00B906AE" w:rsidRPr="00EC0361">
              <w:rPr>
                <w:rStyle w:val="Hyperlink"/>
                <w:noProof/>
              </w:rPr>
              <w:t>Inspection Technology Evaluation</w:t>
            </w:r>
            <w:r w:rsidR="00B906AE">
              <w:rPr>
                <w:noProof/>
                <w:webHidden/>
              </w:rPr>
              <w:tab/>
            </w:r>
            <w:r w:rsidR="00B906AE">
              <w:rPr>
                <w:noProof/>
                <w:webHidden/>
              </w:rPr>
              <w:fldChar w:fldCharType="begin"/>
            </w:r>
            <w:r w:rsidR="00B906AE">
              <w:rPr>
                <w:noProof/>
                <w:webHidden/>
              </w:rPr>
              <w:instrText xml:space="preserve"> PAGEREF _Toc160185989 \h </w:instrText>
            </w:r>
            <w:r w:rsidR="00B906AE">
              <w:rPr>
                <w:noProof/>
                <w:webHidden/>
              </w:rPr>
            </w:r>
            <w:r>
              <w:rPr>
                <w:noProof/>
                <w:webHidden/>
              </w:rPr>
              <w:fldChar w:fldCharType="separate"/>
            </w:r>
            <w:r w:rsidR="00B906AE">
              <w:rPr>
                <w:noProof/>
                <w:webHidden/>
              </w:rPr>
              <w:fldChar w:fldCharType="end"/>
            </w:r>
          </w:hyperlink>
          <w:r w:rsidR="00612292">
            <w:rPr>
              <w:noProof/>
            </w:rPr>
            <w:t>40</w:t>
          </w:r>
        </w:p>
        <w:p w14:paraId="1BCBD229" w14:textId="1DA381BC" w:rsidR="00B906AE" w:rsidRDefault="00B2178E">
          <w:pPr>
            <w:pStyle w:val="TOC5"/>
            <w:tabs>
              <w:tab w:val="left" w:pos="2152"/>
              <w:tab w:val="right" w:leader="dot" w:pos="10070"/>
            </w:tabs>
            <w:rPr>
              <w:rFonts w:eastAsiaTheme="minorEastAsia" w:cstheme="minorBidi"/>
              <w:noProof/>
              <w:kern w:val="2"/>
              <w:sz w:val="22"/>
              <w14:ligatures w14:val="standardContextual"/>
            </w:rPr>
          </w:pPr>
          <w:hyperlink w:anchor="_Toc160185990" w:history="1">
            <w:r w:rsidR="00B906AE" w:rsidRPr="00EC0361">
              <w:rPr>
                <w:rStyle w:val="Hyperlink"/>
                <w:noProof/>
              </w:rPr>
              <w:t>3.2.22.1.2</w:t>
            </w:r>
            <w:r w:rsidR="00B906AE">
              <w:rPr>
                <w:rFonts w:eastAsiaTheme="minorEastAsia" w:cstheme="minorBidi"/>
                <w:noProof/>
                <w:kern w:val="2"/>
                <w:sz w:val="22"/>
                <w14:ligatures w14:val="standardContextual"/>
              </w:rPr>
              <w:tab/>
            </w:r>
            <w:r w:rsidR="00B906AE" w:rsidRPr="00EC0361">
              <w:rPr>
                <w:rStyle w:val="Hyperlink"/>
                <w:noProof/>
              </w:rPr>
              <w:t>Rapid Mycotoxin Test Kits</w:t>
            </w:r>
            <w:r w:rsidR="00B906AE">
              <w:rPr>
                <w:noProof/>
                <w:webHidden/>
              </w:rPr>
              <w:tab/>
            </w:r>
            <w:r w:rsidR="00B906AE">
              <w:rPr>
                <w:noProof/>
                <w:webHidden/>
              </w:rPr>
              <w:fldChar w:fldCharType="begin"/>
            </w:r>
            <w:r w:rsidR="00B906AE">
              <w:rPr>
                <w:noProof/>
                <w:webHidden/>
              </w:rPr>
              <w:instrText xml:space="preserve"> PAGEREF _Toc160185990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290EF3">
            <w:rPr>
              <w:noProof/>
            </w:rPr>
            <w:t>1</w:t>
          </w:r>
        </w:p>
        <w:p w14:paraId="754A328D" w14:textId="4641B803" w:rsidR="00B906AE" w:rsidRDefault="00B2178E">
          <w:pPr>
            <w:pStyle w:val="TOC5"/>
            <w:tabs>
              <w:tab w:val="left" w:pos="2152"/>
              <w:tab w:val="right" w:leader="dot" w:pos="10070"/>
            </w:tabs>
            <w:rPr>
              <w:rFonts w:eastAsiaTheme="minorEastAsia" w:cstheme="minorBidi"/>
              <w:noProof/>
              <w:kern w:val="2"/>
              <w:sz w:val="22"/>
              <w14:ligatures w14:val="standardContextual"/>
            </w:rPr>
          </w:pPr>
          <w:hyperlink w:anchor="_Toc160185991" w:history="1">
            <w:r w:rsidR="00B906AE" w:rsidRPr="00EC0361">
              <w:rPr>
                <w:rStyle w:val="Hyperlink"/>
                <w:noProof/>
              </w:rPr>
              <w:t>3.2.22.1.3</w:t>
            </w:r>
            <w:r w:rsidR="00B906AE">
              <w:rPr>
                <w:rFonts w:eastAsiaTheme="minorEastAsia" w:cstheme="minorBidi"/>
                <w:noProof/>
                <w:kern w:val="2"/>
                <w:sz w:val="22"/>
                <w14:ligatures w14:val="standardContextual"/>
              </w:rPr>
              <w:tab/>
            </w:r>
            <w:r w:rsidR="00B906AE" w:rsidRPr="00EC0361">
              <w:rPr>
                <w:rStyle w:val="Hyperlink"/>
                <w:noProof/>
              </w:rPr>
              <w:t>Test Kit Evaluation and Instruments</w:t>
            </w:r>
            <w:r w:rsidR="00B906AE">
              <w:rPr>
                <w:noProof/>
                <w:webHidden/>
              </w:rPr>
              <w:tab/>
            </w:r>
            <w:r w:rsidR="00B906AE">
              <w:rPr>
                <w:noProof/>
                <w:webHidden/>
              </w:rPr>
              <w:fldChar w:fldCharType="begin"/>
            </w:r>
            <w:r w:rsidR="00B906AE">
              <w:rPr>
                <w:noProof/>
                <w:webHidden/>
              </w:rPr>
              <w:instrText xml:space="preserve"> PAGEREF _Toc160185991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290EF3">
            <w:rPr>
              <w:noProof/>
            </w:rPr>
            <w:t>1</w:t>
          </w:r>
        </w:p>
        <w:p w14:paraId="3A824C40" w14:textId="616ADE97"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92" w:history="1">
            <w:r w:rsidR="00B906AE" w:rsidRPr="00EC0361">
              <w:rPr>
                <w:rStyle w:val="Hyperlink"/>
                <w:noProof/>
              </w:rPr>
              <w:t>3.2.23</w:t>
            </w:r>
            <w:r w:rsidR="00B906AE">
              <w:rPr>
                <w:rFonts w:eastAsiaTheme="minorEastAsia" w:cstheme="minorBidi"/>
                <w:noProof/>
                <w:kern w:val="2"/>
                <w:sz w:val="22"/>
                <w14:ligatures w14:val="standardContextual"/>
              </w:rPr>
              <w:tab/>
            </w:r>
            <w:r w:rsidR="00B906AE" w:rsidRPr="00EC0361">
              <w:rPr>
                <w:rStyle w:val="Hyperlink"/>
                <w:noProof/>
              </w:rPr>
              <w:t>Perishable Agricultural Commodities Act</w:t>
            </w:r>
            <w:r w:rsidR="00B906AE">
              <w:rPr>
                <w:noProof/>
                <w:webHidden/>
              </w:rPr>
              <w:tab/>
            </w:r>
            <w:r w:rsidR="00B906AE">
              <w:rPr>
                <w:noProof/>
                <w:webHidden/>
              </w:rPr>
              <w:fldChar w:fldCharType="begin"/>
            </w:r>
            <w:r w:rsidR="00B906AE">
              <w:rPr>
                <w:noProof/>
                <w:webHidden/>
              </w:rPr>
              <w:instrText xml:space="preserve"> PAGEREF _Toc160185992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DF6ED8">
            <w:rPr>
              <w:noProof/>
            </w:rPr>
            <w:t>2</w:t>
          </w:r>
        </w:p>
        <w:p w14:paraId="33B404FF" w14:textId="44CC069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93" w:history="1">
            <w:r w:rsidR="00B906AE" w:rsidRPr="00EC0361">
              <w:rPr>
                <w:rStyle w:val="Hyperlink"/>
                <w:noProof/>
              </w:rPr>
              <w:t>3.2.24</w:t>
            </w:r>
            <w:r w:rsidR="00B906AE">
              <w:rPr>
                <w:rFonts w:eastAsiaTheme="minorEastAsia" w:cstheme="minorBidi"/>
                <w:noProof/>
                <w:kern w:val="2"/>
                <w:sz w:val="22"/>
                <w14:ligatures w14:val="standardContextual"/>
              </w:rPr>
              <w:tab/>
            </w:r>
            <w:r w:rsidR="00B906AE" w:rsidRPr="00EC0361">
              <w:rPr>
                <w:rStyle w:val="Hyperlink"/>
                <w:noProof/>
              </w:rPr>
              <w:t>Commodity Purchasing</w:t>
            </w:r>
            <w:r w:rsidR="00B906AE">
              <w:rPr>
                <w:noProof/>
                <w:webHidden/>
              </w:rPr>
              <w:tab/>
            </w:r>
            <w:r w:rsidR="00B906AE">
              <w:rPr>
                <w:noProof/>
                <w:webHidden/>
              </w:rPr>
              <w:fldChar w:fldCharType="begin"/>
            </w:r>
            <w:r w:rsidR="00B906AE">
              <w:rPr>
                <w:noProof/>
                <w:webHidden/>
              </w:rPr>
              <w:instrText xml:space="preserve"> PAGEREF _Toc160185993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DF6ED8">
            <w:rPr>
              <w:noProof/>
            </w:rPr>
            <w:t>2</w:t>
          </w:r>
        </w:p>
        <w:p w14:paraId="1C308AFF" w14:textId="637BF678"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94" w:history="1">
            <w:r w:rsidR="00B906AE" w:rsidRPr="00EC0361">
              <w:rPr>
                <w:rStyle w:val="Hyperlink"/>
                <w:noProof/>
              </w:rPr>
              <w:t>3.2.25</w:t>
            </w:r>
            <w:r w:rsidR="00B906AE">
              <w:rPr>
                <w:rFonts w:eastAsiaTheme="minorEastAsia" w:cstheme="minorBidi"/>
                <w:noProof/>
                <w:kern w:val="2"/>
                <w:sz w:val="22"/>
                <w14:ligatures w14:val="standardContextual"/>
              </w:rPr>
              <w:tab/>
            </w:r>
            <w:r w:rsidR="00B906AE" w:rsidRPr="00EC0361">
              <w:rPr>
                <w:rStyle w:val="Hyperlink"/>
                <w:noProof/>
              </w:rPr>
              <w:t>Marketing Agreements and Orders</w:t>
            </w:r>
            <w:r w:rsidR="00B906AE">
              <w:rPr>
                <w:noProof/>
                <w:webHidden/>
              </w:rPr>
              <w:tab/>
            </w:r>
            <w:r w:rsidR="00B906AE">
              <w:rPr>
                <w:noProof/>
                <w:webHidden/>
              </w:rPr>
              <w:fldChar w:fldCharType="begin"/>
            </w:r>
            <w:r w:rsidR="00B906AE">
              <w:rPr>
                <w:noProof/>
                <w:webHidden/>
              </w:rPr>
              <w:instrText xml:space="preserve"> PAGEREF _Toc160185994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DF6ED8">
            <w:rPr>
              <w:noProof/>
            </w:rPr>
            <w:t>3</w:t>
          </w:r>
        </w:p>
        <w:p w14:paraId="0D5122BF" w14:textId="34459678"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5995" w:history="1">
            <w:r w:rsidR="00B906AE" w:rsidRPr="00EC0361">
              <w:rPr>
                <w:rStyle w:val="Hyperlink"/>
                <w:noProof/>
              </w:rPr>
              <w:t>3.2.25.1</w:t>
            </w:r>
            <w:r w:rsidR="00B906AE">
              <w:rPr>
                <w:rFonts w:eastAsiaTheme="minorEastAsia" w:cstheme="minorBidi"/>
                <w:noProof/>
                <w:kern w:val="2"/>
                <w:sz w:val="22"/>
                <w14:ligatures w14:val="standardContextual"/>
              </w:rPr>
              <w:tab/>
            </w:r>
            <w:r w:rsidR="00B906AE" w:rsidRPr="00EC0361">
              <w:rPr>
                <w:rStyle w:val="Hyperlink"/>
                <w:noProof/>
              </w:rPr>
              <w:t>Federal Milk Marketing Order Hearing</w:t>
            </w:r>
            <w:r w:rsidR="00B906AE">
              <w:rPr>
                <w:noProof/>
                <w:webHidden/>
              </w:rPr>
              <w:tab/>
            </w:r>
            <w:r w:rsidR="00B906AE">
              <w:rPr>
                <w:noProof/>
                <w:webHidden/>
              </w:rPr>
              <w:fldChar w:fldCharType="begin"/>
            </w:r>
            <w:r w:rsidR="00B906AE">
              <w:rPr>
                <w:noProof/>
                <w:webHidden/>
              </w:rPr>
              <w:instrText xml:space="preserve"> PAGEREF _Toc160185995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DF6ED8">
            <w:rPr>
              <w:noProof/>
            </w:rPr>
            <w:t>3</w:t>
          </w:r>
        </w:p>
        <w:p w14:paraId="7CAE9F26" w14:textId="49BD083E"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5996" w:history="1">
            <w:r w:rsidR="00B906AE" w:rsidRPr="00EC0361">
              <w:rPr>
                <w:rStyle w:val="Hyperlink"/>
                <w:noProof/>
              </w:rPr>
              <w:t>3.2.26</w:t>
            </w:r>
            <w:r w:rsidR="00B906AE">
              <w:rPr>
                <w:rFonts w:eastAsiaTheme="minorEastAsia" w:cstheme="minorBidi"/>
                <w:noProof/>
                <w:kern w:val="2"/>
                <w:sz w:val="22"/>
                <w14:ligatures w14:val="standardContextual"/>
              </w:rPr>
              <w:tab/>
            </w:r>
            <w:r w:rsidR="00B906AE" w:rsidRPr="00EC0361">
              <w:rPr>
                <w:rStyle w:val="Hyperlink"/>
                <w:noProof/>
              </w:rPr>
              <w:t>Dairy Donation and Milk Donation Reimbursement Programs</w:t>
            </w:r>
            <w:r w:rsidR="00B906AE">
              <w:rPr>
                <w:noProof/>
                <w:webHidden/>
              </w:rPr>
              <w:tab/>
            </w:r>
            <w:r w:rsidR="00B906AE">
              <w:rPr>
                <w:noProof/>
                <w:webHidden/>
              </w:rPr>
              <w:fldChar w:fldCharType="begin"/>
            </w:r>
            <w:r w:rsidR="00B906AE">
              <w:rPr>
                <w:noProof/>
                <w:webHidden/>
              </w:rPr>
              <w:instrText xml:space="preserve"> PAGEREF _Toc160185996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687B1B">
            <w:rPr>
              <w:noProof/>
            </w:rPr>
            <w:t>4</w:t>
          </w:r>
        </w:p>
        <w:p w14:paraId="521C639F" w14:textId="7036DBA3" w:rsidR="00B906AE" w:rsidRDefault="00B2178E">
          <w:pPr>
            <w:pStyle w:val="TOC1"/>
            <w:rPr>
              <w:rFonts w:eastAsiaTheme="minorEastAsia" w:cstheme="minorBidi"/>
              <w:b w:val="0"/>
              <w:noProof/>
              <w:kern w:val="2"/>
              <w:sz w:val="22"/>
              <w14:ligatures w14:val="standardContextual"/>
            </w:rPr>
          </w:pPr>
          <w:hyperlink w:anchor="_Toc160185997" w:history="1">
            <w:r w:rsidR="00B906AE" w:rsidRPr="00EC0361">
              <w:rPr>
                <w:rStyle w:val="Hyperlink"/>
                <w:rFonts w:cstheme="minorHAnsi"/>
                <w:noProof/>
              </w:rPr>
              <w:t>4</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Animal and Plant Health Inspection Service (APHIS)</w:t>
            </w:r>
            <w:r w:rsidR="00B906AE">
              <w:rPr>
                <w:noProof/>
                <w:webHidden/>
              </w:rPr>
              <w:tab/>
            </w:r>
            <w:r w:rsidR="00B906AE">
              <w:rPr>
                <w:noProof/>
                <w:webHidden/>
              </w:rPr>
              <w:fldChar w:fldCharType="begin"/>
            </w:r>
            <w:r w:rsidR="00B906AE">
              <w:rPr>
                <w:noProof/>
                <w:webHidden/>
              </w:rPr>
              <w:instrText xml:space="preserve"> PAGEREF _Toc160185997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E950D0">
            <w:rPr>
              <w:noProof/>
            </w:rPr>
            <w:t>5</w:t>
          </w:r>
        </w:p>
        <w:p w14:paraId="2626BD7B" w14:textId="04797F9C"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5998" w:history="1">
            <w:r w:rsidR="00B906AE" w:rsidRPr="00EC0361">
              <w:rPr>
                <w:rStyle w:val="Hyperlink"/>
                <w:noProof/>
              </w:rPr>
              <w:t>4.1</w:t>
            </w:r>
            <w:r w:rsidR="00B906AE">
              <w:rPr>
                <w:rFonts w:eastAsiaTheme="minorEastAsia" w:cstheme="minorBidi"/>
                <w:noProof/>
                <w:kern w:val="2"/>
                <w:sz w:val="22"/>
                <w14:ligatures w14:val="standardContextual"/>
              </w:rPr>
              <w:tab/>
            </w:r>
            <w:r w:rsidR="00B906AE" w:rsidRPr="00EC0361">
              <w:rPr>
                <w:rStyle w:val="Hyperlink"/>
                <w:noProof/>
              </w:rPr>
              <w:t>Mission Statement</w:t>
            </w:r>
            <w:r w:rsidR="00B906AE">
              <w:rPr>
                <w:noProof/>
                <w:webHidden/>
              </w:rPr>
              <w:tab/>
            </w:r>
            <w:r w:rsidR="00B906AE">
              <w:rPr>
                <w:noProof/>
                <w:webHidden/>
              </w:rPr>
              <w:fldChar w:fldCharType="begin"/>
            </w:r>
            <w:r w:rsidR="00B906AE">
              <w:rPr>
                <w:noProof/>
                <w:webHidden/>
              </w:rPr>
              <w:instrText xml:space="preserve"> PAGEREF _Toc160185998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E950D0">
            <w:rPr>
              <w:noProof/>
            </w:rPr>
            <w:t>5</w:t>
          </w:r>
        </w:p>
        <w:p w14:paraId="373FCEAF" w14:textId="4B1C49A8"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5999" w:history="1">
            <w:r w:rsidR="00B906AE" w:rsidRPr="00EC0361">
              <w:rPr>
                <w:rStyle w:val="Hyperlink"/>
                <w:noProof/>
              </w:rPr>
              <w:t>4.2</w:t>
            </w:r>
            <w:r w:rsidR="00B906AE">
              <w:rPr>
                <w:rFonts w:eastAsiaTheme="minorEastAsia" w:cstheme="minorBidi"/>
                <w:noProof/>
                <w:kern w:val="2"/>
                <w:sz w:val="22"/>
                <w14:ligatures w14:val="standardContextual"/>
              </w:rPr>
              <w:tab/>
            </w:r>
            <w:r w:rsidR="00B906AE" w:rsidRPr="00EC0361">
              <w:rPr>
                <w:rStyle w:val="Hyperlink"/>
                <w:noProof/>
              </w:rPr>
              <w:t>Combined Fiscal Year Metrics Tables</w:t>
            </w:r>
            <w:r w:rsidR="00B906AE">
              <w:rPr>
                <w:noProof/>
                <w:webHidden/>
              </w:rPr>
              <w:tab/>
            </w:r>
            <w:r w:rsidR="00B906AE">
              <w:rPr>
                <w:noProof/>
                <w:webHidden/>
              </w:rPr>
              <w:fldChar w:fldCharType="begin"/>
            </w:r>
            <w:r w:rsidR="00B906AE">
              <w:rPr>
                <w:noProof/>
                <w:webHidden/>
              </w:rPr>
              <w:instrText xml:space="preserve"> PAGEREF _Toc160185999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E950D0">
            <w:rPr>
              <w:noProof/>
            </w:rPr>
            <w:t>5</w:t>
          </w:r>
        </w:p>
        <w:p w14:paraId="25E8CF7D" w14:textId="1BE9BA51"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00" w:history="1">
            <w:r w:rsidR="00B906AE" w:rsidRPr="00EC0361">
              <w:rPr>
                <w:rStyle w:val="Hyperlink"/>
                <w:noProof/>
              </w:rPr>
              <w:t>4.3</w:t>
            </w:r>
            <w:r w:rsidR="00B906AE">
              <w:rPr>
                <w:rFonts w:eastAsiaTheme="minorEastAsia" w:cstheme="minorBidi"/>
                <w:noProof/>
                <w:kern w:val="2"/>
                <w:sz w:val="22"/>
                <w14:ligatures w14:val="standardContextual"/>
              </w:rPr>
              <w:tab/>
            </w:r>
            <w:r w:rsidR="00B906AE" w:rsidRPr="00EC0361">
              <w:rPr>
                <w:rStyle w:val="Hyperlink"/>
                <w:noProof/>
              </w:rPr>
              <w:t>Biotechnology Regulatory Services (BRS)</w:t>
            </w:r>
            <w:r w:rsidR="00B906AE">
              <w:rPr>
                <w:noProof/>
                <w:webHidden/>
              </w:rPr>
              <w:tab/>
            </w:r>
            <w:r w:rsidR="00B906AE">
              <w:rPr>
                <w:noProof/>
                <w:webHidden/>
              </w:rPr>
              <w:fldChar w:fldCharType="begin"/>
            </w:r>
            <w:r w:rsidR="00B906AE">
              <w:rPr>
                <w:noProof/>
                <w:webHidden/>
              </w:rPr>
              <w:instrText xml:space="preserve"> PAGEREF _Toc160186000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A01128">
            <w:rPr>
              <w:noProof/>
            </w:rPr>
            <w:t>8</w:t>
          </w:r>
        </w:p>
        <w:p w14:paraId="6F6CC5ED" w14:textId="6163DC60"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01" w:history="1">
            <w:r w:rsidR="00B906AE" w:rsidRPr="00EC0361">
              <w:rPr>
                <w:rStyle w:val="Hyperlink"/>
                <w:noProof/>
              </w:rPr>
              <w:t>4.3.1</w:t>
            </w:r>
            <w:r w:rsidR="00B906AE">
              <w:rPr>
                <w:rFonts w:eastAsiaTheme="minorEastAsia" w:cstheme="minorBidi"/>
                <w:noProof/>
                <w:kern w:val="2"/>
                <w:sz w:val="22"/>
                <w14:ligatures w14:val="standardContextual"/>
              </w:rPr>
              <w:tab/>
            </w:r>
            <w:r w:rsidR="00B906AE" w:rsidRPr="00EC0361">
              <w:rPr>
                <w:rStyle w:val="Hyperlink"/>
                <w:noProof/>
              </w:rPr>
              <w:t>Mission Statement</w:t>
            </w:r>
            <w:r w:rsidR="00B906AE">
              <w:rPr>
                <w:noProof/>
                <w:webHidden/>
              </w:rPr>
              <w:tab/>
            </w:r>
            <w:r w:rsidR="00B906AE">
              <w:rPr>
                <w:noProof/>
                <w:webHidden/>
              </w:rPr>
              <w:fldChar w:fldCharType="begin"/>
            </w:r>
            <w:r w:rsidR="00B906AE">
              <w:rPr>
                <w:noProof/>
                <w:webHidden/>
              </w:rPr>
              <w:instrText xml:space="preserve"> PAGEREF _Toc160186001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A01128">
            <w:rPr>
              <w:noProof/>
            </w:rPr>
            <w:t>8</w:t>
          </w:r>
        </w:p>
        <w:p w14:paraId="3AF1F4EE" w14:textId="5395087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02" w:history="1">
            <w:r w:rsidR="00B906AE" w:rsidRPr="00EC0361">
              <w:rPr>
                <w:rStyle w:val="Hyperlink"/>
                <w:noProof/>
              </w:rPr>
              <w:t>4.3.2</w:t>
            </w:r>
            <w:r w:rsidR="00B906AE">
              <w:rPr>
                <w:rFonts w:eastAsiaTheme="minorEastAsia" w:cstheme="minorBidi"/>
                <w:noProof/>
                <w:kern w:val="2"/>
                <w:sz w:val="22"/>
                <w14:ligatures w14:val="standardContextual"/>
              </w:rPr>
              <w:tab/>
            </w:r>
            <w:r w:rsidR="00B906AE" w:rsidRPr="00EC0361">
              <w:rPr>
                <w:rStyle w:val="Hyperlink"/>
                <w:noProof/>
              </w:rPr>
              <w:t>Metrics Tables</w:t>
            </w:r>
            <w:r w:rsidR="00B906AE">
              <w:rPr>
                <w:noProof/>
                <w:webHidden/>
              </w:rPr>
              <w:tab/>
            </w:r>
            <w:r w:rsidR="00B906AE">
              <w:rPr>
                <w:noProof/>
                <w:webHidden/>
              </w:rPr>
              <w:fldChar w:fldCharType="begin"/>
            </w:r>
            <w:r w:rsidR="00B906AE">
              <w:rPr>
                <w:noProof/>
                <w:webHidden/>
              </w:rPr>
              <w:instrText xml:space="preserve"> PAGEREF _Toc160186002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A01128">
            <w:rPr>
              <w:noProof/>
            </w:rPr>
            <w:t>8</w:t>
          </w:r>
        </w:p>
        <w:p w14:paraId="6F4E3496" w14:textId="703B750D"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03" w:history="1">
            <w:r w:rsidR="00B906AE" w:rsidRPr="00EC0361">
              <w:rPr>
                <w:rStyle w:val="Hyperlink"/>
                <w:noProof/>
              </w:rPr>
              <w:t>4.3.3</w:t>
            </w:r>
            <w:r w:rsidR="00B906AE">
              <w:rPr>
                <w:rFonts w:eastAsiaTheme="minorEastAsia" w:cstheme="minorBidi"/>
                <w:noProof/>
                <w:kern w:val="2"/>
                <w:sz w:val="22"/>
                <w14:ligatures w14:val="standardContextual"/>
              </w:rPr>
              <w:tab/>
            </w:r>
            <w:r w:rsidR="00B906AE" w:rsidRPr="00EC0361">
              <w:rPr>
                <w:rStyle w:val="Hyperlink"/>
                <w:noProof/>
              </w:rPr>
              <w:t>Success Stories Demonstrating Downstream Outcomes from Technology Transfer Activities</w:t>
            </w:r>
            <w:r w:rsidR="00B906AE">
              <w:rPr>
                <w:noProof/>
                <w:webHidden/>
              </w:rPr>
              <w:tab/>
            </w:r>
            <w:r w:rsidR="00B906AE">
              <w:rPr>
                <w:noProof/>
                <w:webHidden/>
              </w:rPr>
              <w:fldChar w:fldCharType="begin"/>
            </w:r>
            <w:r w:rsidR="00B906AE">
              <w:rPr>
                <w:noProof/>
                <w:webHidden/>
              </w:rPr>
              <w:instrText xml:space="preserve"> PAGEREF _Toc160186003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842AF5">
            <w:rPr>
              <w:noProof/>
            </w:rPr>
            <w:t>8</w:t>
          </w:r>
        </w:p>
        <w:p w14:paraId="26444E70" w14:textId="6E9FC714"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04" w:history="1">
            <w:r w:rsidR="00B906AE" w:rsidRPr="00EC0361">
              <w:rPr>
                <w:rStyle w:val="Hyperlink"/>
                <w:noProof/>
              </w:rPr>
              <w:t>4.4</w:t>
            </w:r>
            <w:r w:rsidR="00B906AE">
              <w:rPr>
                <w:rFonts w:eastAsiaTheme="minorEastAsia" w:cstheme="minorBidi"/>
                <w:noProof/>
                <w:kern w:val="2"/>
                <w:sz w:val="22"/>
                <w14:ligatures w14:val="standardContextual"/>
              </w:rPr>
              <w:tab/>
            </w:r>
            <w:r w:rsidR="00B906AE" w:rsidRPr="00EC0361">
              <w:rPr>
                <w:rStyle w:val="Hyperlink"/>
                <w:noProof/>
              </w:rPr>
              <w:t>International Services</w:t>
            </w:r>
            <w:r w:rsidR="00B906AE">
              <w:rPr>
                <w:noProof/>
                <w:webHidden/>
              </w:rPr>
              <w:tab/>
            </w:r>
            <w:r w:rsidR="00B906AE">
              <w:rPr>
                <w:noProof/>
                <w:webHidden/>
              </w:rPr>
              <w:fldChar w:fldCharType="begin"/>
            </w:r>
            <w:r w:rsidR="00B906AE">
              <w:rPr>
                <w:noProof/>
                <w:webHidden/>
              </w:rPr>
              <w:instrText xml:space="preserve"> PAGEREF _Toc160186004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EC280A">
            <w:rPr>
              <w:noProof/>
            </w:rPr>
            <w:t>9</w:t>
          </w:r>
        </w:p>
        <w:p w14:paraId="2581E08D" w14:textId="187782BE"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05" w:history="1">
            <w:r w:rsidR="00B906AE" w:rsidRPr="00EC0361">
              <w:rPr>
                <w:rStyle w:val="Hyperlink"/>
                <w:noProof/>
              </w:rPr>
              <w:t>4.4.1</w:t>
            </w:r>
            <w:r w:rsidR="00B906AE">
              <w:rPr>
                <w:rFonts w:eastAsiaTheme="minorEastAsia" w:cstheme="minorBidi"/>
                <w:noProof/>
                <w:kern w:val="2"/>
                <w:sz w:val="22"/>
                <w14:ligatures w14:val="standardContextual"/>
              </w:rPr>
              <w:tab/>
            </w:r>
            <w:r w:rsidR="00B906AE" w:rsidRPr="00EC0361">
              <w:rPr>
                <w:rStyle w:val="Hyperlink"/>
                <w:noProof/>
              </w:rPr>
              <w:t>Mission Statement</w:t>
            </w:r>
            <w:r w:rsidR="00B906AE">
              <w:rPr>
                <w:noProof/>
                <w:webHidden/>
              </w:rPr>
              <w:tab/>
            </w:r>
            <w:r w:rsidR="00B906AE">
              <w:rPr>
                <w:noProof/>
                <w:webHidden/>
              </w:rPr>
              <w:fldChar w:fldCharType="begin"/>
            </w:r>
            <w:r w:rsidR="00B906AE">
              <w:rPr>
                <w:noProof/>
                <w:webHidden/>
              </w:rPr>
              <w:instrText xml:space="preserve"> PAGEREF _Toc160186005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EC280A">
            <w:rPr>
              <w:noProof/>
            </w:rPr>
            <w:t>9</w:t>
          </w:r>
        </w:p>
        <w:p w14:paraId="02904E1A" w14:textId="060CF26D"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06" w:history="1">
            <w:r w:rsidR="00B906AE" w:rsidRPr="00EC0361">
              <w:rPr>
                <w:rStyle w:val="Hyperlink"/>
                <w:noProof/>
              </w:rPr>
              <w:t>4.4.2</w:t>
            </w:r>
            <w:r w:rsidR="00B906AE">
              <w:rPr>
                <w:rFonts w:eastAsiaTheme="minorEastAsia" w:cstheme="minorBidi"/>
                <w:noProof/>
                <w:kern w:val="2"/>
                <w:sz w:val="22"/>
                <w14:ligatures w14:val="standardContextual"/>
              </w:rPr>
              <w:tab/>
            </w:r>
            <w:r w:rsidR="00B906AE" w:rsidRPr="00EC0361">
              <w:rPr>
                <w:rStyle w:val="Hyperlink"/>
                <w:noProof/>
              </w:rPr>
              <w:t>Metric Tables</w:t>
            </w:r>
            <w:r w:rsidR="00B906AE">
              <w:rPr>
                <w:noProof/>
                <w:webHidden/>
              </w:rPr>
              <w:tab/>
            </w:r>
            <w:r w:rsidR="00B906AE">
              <w:rPr>
                <w:noProof/>
                <w:webHidden/>
              </w:rPr>
              <w:fldChar w:fldCharType="begin"/>
            </w:r>
            <w:r w:rsidR="00B906AE">
              <w:rPr>
                <w:noProof/>
                <w:webHidden/>
              </w:rPr>
              <w:instrText xml:space="preserve"> PAGEREF _Toc160186006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EC280A">
            <w:rPr>
              <w:noProof/>
            </w:rPr>
            <w:t>9</w:t>
          </w:r>
        </w:p>
        <w:p w14:paraId="7510FCDB" w14:textId="21C8A5F0"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07" w:history="1">
            <w:r w:rsidR="00B906AE" w:rsidRPr="00EC0361">
              <w:rPr>
                <w:rStyle w:val="Hyperlink"/>
                <w:noProof/>
              </w:rPr>
              <w:t>4.4.3</w:t>
            </w:r>
            <w:r w:rsidR="00B906AE">
              <w:rPr>
                <w:rFonts w:eastAsiaTheme="minorEastAsia" w:cstheme="minorBidi"/>
                <w:noProof/>
                <w:kern w:val="2"/>
                <w:sz w:val="22"/>
                <w14:ligatures w14:val="standardContextual"/>
              </w:rPr>
              <w:tab/>
            </w:r>
            <w:r w:rsidR="00B906AE" w:rsidRPr="00EC0361">
              <w:rPr>
                <w:rStyle w:val="Hyperlink"/>
                <w:noProof/>
              </w:rPr>
              <w:t>Success Stories Demonstrating Downstream Outcomes from Technology Transfer Activities</w:t>
            </w:r>
            <w:r w:rsidR="00B906AE">
              <w:rPr>
                <w:noProof/>
                <w:webHidden/>
              </w:rPr>
              <w:tab/>
            </w:r>
            <w:r w:rsidR="00B906AE">
              <w:rPr>
                <w:noProof/>
                <w:webHidden/>
              </w:rPr>
              <w:fldChar w:fldCharType="begin"/>
            </w:r>
            <w:r w:rsidR="00B906AE">
              <w:rPr>
                <w:noProof/>
                <w:webHidden/>
              </w:rPr>
              <w:instrText xml:space="preserve"> PAGEREF _Toc160186007 \h </w:instrText>
            </w:r>
            <w:r w:rsidR="00B906AE">
              <w:rPr>
                <w:noProof/>
                <w:webHidden/>
              </w:rPr>
            </w:r>
            <w:r w:rsidR="00B906AE">
              <w:rPr>
                <w:noProof/>
                <w:webHidden/>
              </w:rPr>
              <w:fldChar w:fldCharType="separate"/>
            </w:r>
            <w:r w:rsidR="009033D2">
              <w:rPr>
                <w:noProof/>
                <w:webHidden/>
              </w:rPr>
              <w:t>4</w:t>
            </w:r>
            <w:r w:rsidR="00B906AE">
              <w:rPr>
                <w:noProof/>
                <w:webHidden/>
              </w:rPr>
              <w:fldChar w:fldCharType="end"/>
            </w:r>
          </w:hyperlink>
          <w:r w:rsidR="00EC280A">
            <w:rPr>
              <w:noProof/>
            </w:rPr>
            <w:t>9</w:t>
          </w:r>
        </w:p>
        <w:p w14:paraId="27C14D5B" w14:textId="269F505E"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08" w:history="1">
            <w:r w:rsidR="00B906AE" w:rsidRPr="00EC0361">
              <w:rPr>
                <w:rStyle w:val="Hyperlink"/>
                <w:rFonts w:eastAsiaTheme="minorHAnsi"/>
                <w:noProof/>
              </w:rPr>
              <w:t>4.4.3.1</w:t>
            </w:r>
            <w:r w:rsidR="00B906AE">
              <w:rPr>
                <w:rFonts w:eastAsiaTheme="minorEastAsia" w:cstheme="minorBidi"/>
                <w:noProof/>
                <w:kern w:val="2"/>
                <w:sz w:val="22"/>
                <w14:ligatures w14:val="standardContextual"/>
              </w:rPr>
              <w:tab/>
            </w:r>
            <w:r w:rsidR="00B906AE" w:rsidRPr="00EC0361">
              <w:rPr>
                <w:rStyle w:val="Hyperlink"/>
                <w:noProof/>
              </w:rPr>
              <w:t>Japan</w:t>
            </w:r>
            <w:r w:rsidR="00B906AE">
              <w:rPr>
                <w:noProof/>
                <w:webHidden/>
              </w:rPr>
              <w:tab/>
            </w:r>
            <w:r w:rsidR="00B906AE">
              <w:rPr>
                <w:noProof/>
                <w:webHidden/>
              </w:rPr>
              <w:fldChar w:fldCharType="begin"/>
            </w:r>
            <w:r w:rsidR="00B906AE">
              <w:rPr>
                <w:noProof/>
                <w:webHidden/>
              </w:rPr>
              <w:instrText xml:space="preserve"> PAGEREF _Toc160186008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C05DE7">
            <w:rPr>
              <w:noProof/>
            </w:rPr>
            <w:t>2</w:t>
          </w:r>
        </w:p>
        <w:p w14:paraId="3DC166EA" w14:textId="67BF24E5"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09" w:history="1">
            <w:r w:rsidR="00B906AE" w:rsidRPr="00EC0361">
              <w:rPr>
                <w:rStyle w:val="Hyperlink"/>
                <w:noProof/>
              </w:rPr>
              <w:t>4.4.3.2</w:t>
            </w:r>
            <w:r w:rsidR="00B906AE">
              <w:rPr>
                <w:rFonts w:eastAsiaTheme="minorEastAsia" w:cstheme="minorBidi"/>
                <w:noProof/>
                <w:kern w:val="2"/>
                <w:sz w:val="22"/>
                <w14:ligatures w14:val="standardContextual"/>
              </w:rPr>
              <w:tab/>
            </w:r>
            <w:r w:rsidR="00B906AE" w:rsidRPr="00EC0361">
              <w:rPr>
                <w:rStyle w:val="Hyperlink"/>
                <w:noProof/>
              </w:rPr>
              <w:t>Taiwan</w:t>
            </w:r>
            <w:r w:rsidR="00B906AE">
              <w:rPr>
                <w:noProof/>
                <w:webHidden/>
              </w:rPr>
              <w:tab/>
            </w:r>
            <w:r w:rsidR="00B906AE">
              <w:rPr>
                <w:noProof/>
                <w:webHidden/>
              </w:rPr>
              <w:fldChar w:fldCharType="begin"/>
            </w:r>
            <w:r w:rsidR="00B906AE">
              <w:rPr>
                <w:noProof/>
                <w:webHidden/>
              </w:rPr>
              <w:instrText xml:space="preserve"> PAGEREF _Toc160186009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520BCE">
            <w:rPr>
              <w:noProof/>
            </w:rPr>
            <w:t>3</w:t>
          </w:r>
        </w:p>
        <w:p w14:paraId="3F95E418" w14:textId="6BD7D4F4"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10" w:history="1">
            <w:r w:rsidR="00B906AE" w:rsidRPr="00EC0361">
              <w:rPr>
                <w:rStyle w:val="Hyperlink"/>
                <w:noProof/>
              </w:rPr>
              <w:t>4.4.3.3</w:t>
            </w:r>
            <w:r w:rsidR="00B906AE">
              <w:rPr>
                <w:rFonts w:eastAsiaTheme="minorEastAsia" w:cstheme="minorBidi"/>
                <w:noProof/>
                <w:kern w:val="2"/>
                <w:sz w:val="22"/>
                <w14:ligatures w14:val="standardContextual"/>
              </w:rPr>
              <w:tab/>
            </w:r>
            <w:r w:rsidR="00B906AE" w:rsidRPr="00EC0361">
              <w:rPr>
                <w:rStyle w:val="Hyperlink"/>
                <w:noProof/>
              </w:rPr>
              <w:t>Latin America and the Caribbean</w:t>
            </w:r>
            <w:r w:rsidR="00B906AE">
              <w:rPr>
                <w:noProof/>
                <w:webHidden/>
              </w:rPr>
              <w:tab/>
            </w:r>
            <w:r w:rsidR="00B906AE">
              <w:rPr>
                <w:noProof/>
                <w:webHidden/>
              </w:rPr>
              <w:fldChar w:fldCharType="begin"/>
            </w:r>
            <w:r w:rsidR="00B906AE">
              <w:rPr>
                <w:noProof/>
                <w:webHidden/>
              </w:rPr>
              <w:instrText xml:space="preserve"> PAGEREF _Toc160186010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520BCE">
            <w:rPr>
              <w:noProof/>
            </w:rPr>
            <w:t>3</w:t>
          </w:r>
        </w:p>
        <w:p w14:paraId="745C3253" w14:textId="04C4D409"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11" w:history="1">
            <w:r w:rsidR="00B906AE" w:rsidRPr="00EC0361">
              <w:rPr>
                <w:rStyle w:val="Hyperlink"/>
                <w:noProof/>
              </w:rPr>
              <w:t>4.4.3.4</w:t>
            </w:r>
            <w:r w:rsidR="00B906AE">
              <w:rPr>
                <w:rFonts w:eastAsiaTheme="minorEastAsia" w:cstheme="minorBidi"/>
                <w:noProof/>
                <w:kern w:val="2"/>
                <w:sz w:val="22"/>
                <w14:ligatures w14:val="standardContextual"/>
              </w:rPr>
              <w:tab/>
            </w:r>
            <w:r w:rsidR="00B906AE" w:rsidRPr="00EC0361">
              <w:rPr>
                <w:rStyle w:val="Hyperlink"/>
                <w:noProof/>
              </w:rPr>
              <w:t>Mexico</w:t>
            </w:r>
            <w:r w:rsidR="00B906AE">
              <w:rPr>
                <w:noProof/>
                <w:webHidden/>
              </w:rPr>
              <w:tab/>
            </w:r>
            <w:r w:rsidR="00B906AE">
              <w:rPr>
                <w:noProof/>
                <w:webHidden/>
              </w:rPr>
              <w:fldChar w:fldCharType="begin"/>
            </w:r>
            <w:r w:rsidR="00B906AE">
              <w:rPr>
                <w:noProof/>
                <w:webHidden/>
              </w:rPr>
              <w:instrText xml:space="preserve"> PAGEREF _Toc160186011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520BCE">
            <w:rPr>
              <w:noProof/>
            </w:rPr>
            <w:t>4</w:t>
          </w:r>
        </w:p>
        <w:p w14:paraId="1003908B" w14:textId="3DC73BD4"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12" w:history="1">
            <w:r w:rsidR="00B906AE" w:rsidRPr="00EC0361">
              <w:rPr>
                <w:rStyle w:val="Hyperlink"/>
                <w:noProof/>
              </w:rPr>
              <w:t>4.4.3.5</w:t>
            </w:r>
            <w:r w:rsidR="00B906AE">
              <w:rPr>
                <w:rFonts w:eastAsiaTheme="minorEastAsia" w:cstheme="minorBidi"/>
                <w:noProof/>
                <w:kern w:val="2"/>
                <w:sz w:val="22"/>
                <w14:ligatures w14:val="standardContextual"/>
              </w:rPr>
              <w:tab/>
            </w:r>
            <w:r w:rsidR="00B906AE" w:rsidRPr="00EC0361">
              <w:rPr>
                <w:rStyle w:val="Hyperlink"/>
                <w:noProof/>
              </w:rPr>
              <w:t>India</w:t>
            </w:r>
            <w:r w:rsidR="00B906AE">
              <w:rPr>
                <w:noProof/>
                <w:webHidden/>
              </w:rPr>
              <w:tab/>
            </w:r>
            <w:r w:rsidR="00B906AE">
              <w:rPr>
                <w:noProof/>
                <w:webHidden/>
              </w:rPr>
              <w:fldChar w:fldCharType="begin"/>
            </w:r>
            <w:r w:rsidR="00B906AE">
              <w:rPr>
                <w:noProof/>
                <w:webHidden/>
              </w:rPr>
              <w:instrText xml:space="preserve"> PAGEREF _Toc160186012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520BCE">
            <w:rPr>
              <w:noProof/>
            </w:rPr>
            <w:t>4</w:t>
          </w:r>
        </w:p>
        <w:p w14:paraId="73CCD7AB" w14:textId="2B60A1D9"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13" w:history="1">
            <w:r w:rsidR="00B906AE" w:rsidRPr="00EC0361">
              <w:rPr>
                <w:rStyle w:val="Hyperlink"/>
                <w:noProof/>
              </w:rPr>
              <w:t>4.4.3.6</w:t>
            </w:r>
            <w:r w:rsidR="00B906AE">
              <w:rPr>
                <w:rFonts w:eastAsiaTheme="minorEastAsia" w:cstheme="minorBidi"/>
                <w:noProof/>
                <w:kern w:val="2"/>
                <w:sz w:val="22"/>
                <w14:ligatures w14:val="standardContextual"/>
              </w:rPr>
              <w:tab/>
            </w:r>
            <w:r w:rsidR="00B906AE" w:rsidRPr="00EC0361">
              <w:rPr>
                <w:rStyle w:val="Hyperlink"/>
                <w:noProof/>
              </w:rPr>
              <w:t>Philippines</w:t>
            </w:r>
            <w:r w:rsidR="00B906AE">
              <w:rPr>
                <w:noProof/>
                <w:webHidden/>
              </w:rPr>
              <w:tab/>
            </w:r>
            <w:r w:rsidR="00B906AE">
              <w:rPr>
                <w:noProof/>
                <w:webHidden/>
              </w:rPr>
              <w:fldChar w:fldCharType="begin"/>
            </w:r>
            <w:r w:rsidR="00B906AE">
              <w:rPr>
                <w:noProof/>
                <w:webHidden/>
              </w:rPr>
              <w:instrText xml:space="preserve"> PAGEREF _Toc160186013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6255FF">
            <w:rPr>
              <w:noProof/>
            </w:rPr>
            <w:t>5</w:t>
          </w:r>
        </w:p>
        <w:p w14:paraId="147ABDA6" w14:textId="41571D0A"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14" w:history="1">
            <w:r w:rsidR="00B906AE" w:rsidRPr="00EC0361">
              <w:rPr>
                <w:rStyle w:val="Hyperlink"/>
                <w:noProof/>
              </w:rPr>
              <w:t>4.4.3.7</w:t>
            </w:r>
            <w:r w:rsidR="00B906AE">
              <w:rPr>
                <w:rFonts w:eastAsiaTheme="minorEastAsia" w:cstheme="minorBidi"/>
                <w:noProof/>
                <w:kern w:val="2"/>
                <w:sz w:val="22"/>
                <w14:ligatures w14:val="standardContextual"/>
              </w:rPr>
              <w:tab/>
            </w:r>
            <w:r w:rsidR="00B906AE" w:rsidRPr="00EC0361">
              <w:rPr>
                <w:rStyle w:val="Hyperlink"/>
                <w:noProof/>
              </w:rPr>
              <w:t>Thailand</w:t>
            </w:r>
            <w:r w:rsidR="00B906AE">
              <w:rPr>
                <w:noProof/>
                <w:webHidden/>
              </w:rPr>
              <w:tab/>
            </w:r>
            <w:r w:rsidR="00B906AE">
              <w:rPr>
                <w:noProof/>
                <w:webHidden/>
              </w:rPr>
              <w:fldChar w:fldCharType="begin"/>
            </w:r>
            <w:r w:rsidR="00B906AE">
              <w:rPr>
                <w:noProof/>
                <w:webHidden/>
              </w:rPr>
              <w:instrText xml:space="preserve"> PAGEREF _Toc160186014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6255FF">
            <w:rPr>
              <w:noProof/>
            </w:rPr>
            <w:t>5</w:t>
          </w:r>
        </w:p>
        <w:p w14:paraId="43CA4CF7" w14:textId="4F77235B"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15" w:history="1">
            <w:r w:rsidR="00B906AE" w:rsidRPr="00EC0361">
              <w:rPr>
                <w:rStyle w:val="Hyperlink"/>
                <w:noProof/>
              </w:rPr>
              <w:t>4.4.3.8</w:t>
            </w:r>
            <w:r w:rsidR="00B906AE">
              <w:rPr>
                <w:rFonts w:eastAsiaTheme="minorEastAsia" w:cstheme="minorBidi"/>
                <w:noProof/>
                <w:kern w:val="2"/>
                <w:sz w:val="22"/>
                <w14:ligatures w14:val="standardContextual"/>
              </w:rPr>
              <w:tab/>
            </w:r>
            <w:r w:rsidR="00B906AE" w:rsidRPr="00EC0361">
              <w:rPr>
                <w:rStyle w:val="Hyperlink"/>
                <w:noProof/>
              </w:rPr>
              <w:t>Vietnam</w:t>
            </w:r>
            <w:r w:rsidR="00B906AE">
              <w:rPr>
                <w:noProof/>
                <w:webHidden/>
              </w:rPr>
              <w:tab/>
            </w:r>
            <w:r w:rsidR="00B906AE">
              <w:rPr>
                <w:noProof/>
                <w:webHidden/>
              </w:rPr>
              <w:fldChar w:fldCharType="begin"/>
            </w:r>
            <w:r w:rsidR="00B906AE">
              <w:rPr>
                <w:noProof/>
                <w:webHidden/>
              </w:rPr>
              <w:instrText xml:space="preserve"> PAGEREF _Toc160186015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6255FF">
            <w:rPr>
              <w:noProof/>
            </w:rPr>
            <w:t>5</w:t>
          </w:r>
        </w:p>
        <w:p w14:paraId="42F77A65" w14:textId="338D92BE"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16" w:history="1">
            <w:r w:rsidR="00B906AE" w:rsidRPr="00EC0361">
              <w:rPr>
                <w:rStyle w:val="Hyperlink"/>
                <w:noProof/>
              </w:rPr>
              <w:t>4.5</w:t>
            </w:r>
            <w:r w:rsidR="00B906AE">
              <w:rPr>
                <w:rFonts w:eastAsiaTheme="minorEastAsia" w:cstheme="minorBidi"/>
                <w:noProof/>
                <w:kern w:val="2"/>
                <w:sz w:val="22"/>
                <w14:ligatures w14:val="standardContextual"/>
              </w:rPr>
              <w:tab/>
            </w:r>
            <w:r w:rsidR="00B906AE" w:rsidRPr="00EC0361">
              <w:rPr>
                <w:rStyle w:val="Hyperlink"/>
                <w:noProof/>
              </w:rPr>
              <w:t>Plant Protection and Quarantine (PPQ)</w:t>
            </w:r>
            <w:r w:rsidR="00B906AE">
              <w:rPr>
                <w:noProof/>
                <w:webHidden/>
              </w:rPr>
              <w:tab/>
            </w:r>
            <w:r w:rsidR="00B906AE">
              <w:rPr>
                <w:noProof/>
                <w:webHidden/>
              </w:rPr>
              <w:fldChar w:fldCharType="begin"/>
            </w:r>
            <w:r w:rsidR="00B906AE">
              <w:rPr>
                <w:noProof/>
                <w:webHidden/>
              </w:rPr>
              <w:instrText xml:space="preserve"> PAGEREF _Toc160186016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6255FF">
            <w:rPr>
              <w:noProof/>
            </w:rPr>
            <w:t>5</w:t>
          </w:r>
        </w:p>
        <w:p w14:paraId="2B1F464A" w14:textId="4EA3565F"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17" w:history="1">
            <w:r w:rsidR="00B906AE" w:rsidRPr="00EC0361">
              <w:rPr>
                <w:rStyle w:val="Hyperlink"/>
                <w:noProof/>
              </w:rPr>
              <w:t>4.5.1</w:t>
            </w:r>
            <w:r w:rsidR="00B906AE">
              <w:rPr>
                <w:rFonts w:eastAsiaTheme="minorEastAsia" w:cstheme="minorBidi"/>
                <w:noProof/>
                <w:kern w:val="2"/>
                <w:sz w:val="22"/>
                <w14:ligatures w14:val="standardContextual"/>
              </w:rPr>
              <w:tab/>
            </w:r>
            <w:r w:rsidR="00B906AE" w:rsidRPr="00EC0361">
              <w:rPr>
                <w:rStyle w:val="Hyperlink"/>
                <w:noProof/>
              </w:rPr>
              <w:t>Mission Statement</w:t>
            </w:r>
            <w:r w:rsidR="00B906AE">
              <w:rPr>
                <w:noProof/>
                <w:webHidden/>
              </w:rPr>
              <w:tab/>
            </w:r>
            <w:r w:rsidR="00B906AE">
              <w:rPr>
                <w:noProof/>
                <w:webHidden/>
              </w:rPr>
              <w:fldChar w:fldCharType="begin"/>
            </w:r>
            <w:r w:rsidR="00B906AE">
              <w:rPr>
                <w:noProof/>
                <w:webHidden/>
              </w:rPr>
              <w:instrText xml:space="preserve"> PAGEREF _Toc160186017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BF5BB7">
            <w:rPr>
              <w:noProof/>
            </w:rPr>
            <w:t>6</w:t>
          </w:r>
        </w:p>
        <w:p w14:paraId="69D8574D" w14:textId="79E8DBB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18" w:history="1">
            <w:r w:rsidR="00B906AE" w:rsidRPr="00EC0361">
              <w:rPr>
                <w:rStyle w:val="Hyperlink"/>
                <w:noProof/>
              </w:rPr>
              <w:t>4.5.2</w:t>
            </w:r>
            <w:r w:rsidR="00B906AE">
              <w:rPr>
                <w:rFonts w:eastAsiaTheme="minorEastAsia" w:cstheme="minorBidi"/>
                <w:noProof/>
                <w:kern w:val="2"/>
                <w:sz w:val="22"/>
                <w14:ligatures w14:val="standardContextual"/>
              </w:rPr>
              <w:tab/>
            </w:r>
            <w:r w:rsidR="00B906AE" w:rsidRPr="00EC0361">
              <w:rPr>
                <w:rStyle w:val="Hyperlink"/>
                <w:noProof/>
              </w:rPr>
              <w:t>Metric Tables</w:t>
            </w:r>
            <w:r w:rsidR="00B906AE">
              <w:rPr>
                <w:noProof/>
                <w:webHidden/>
              </w:rPr>
              <w:tab/>
            </w:r>
            <w:r w:rsidR="00B906AE">
              <w:rPr>
                <w:noProof/>
                <w:webHidden/>
              </w:rPr>
              <w:fldChar w:fldCharType="begin"/>
            </w:r>
            <w:r w:rsidR="00B906AE">
              <w:rPr>
                <w:noProof/>
                <w:webHidden/>
              </w:rPr>
              <w:instrText xml:space="preserve"> PAGEREF _Toc160186018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BF5BB7">
            <w:rPr>
              <w:noProof/>
            </w:rPr>
            <w:t>6</w:t>
          </w:r>
        </w:p>
        <w:p w14:paraId="2B9A1DAF" w14:textId="1779E4CA"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19" w:history="1">
            <w:r w:rsidR="00B906AE" w:rsidRPr="00EC0361">
              <w:rPr>
                <w:rStyle w:val="Hyperlink"/>
                <w:noProof/>
              </w:rPr>
              <w:t>4.5.3</w:t>
            </w:r>
            <w:r w:rsidR="00B906AE">
              <w:rPr>
                <w:rFonts w:eastAsiaTheme="minorEastAsia" w:cstheme="minorBidi"/>
                <w:noProof/>
                <w:kern w:val="2"/>
                <w:sz w:val="22"/>
                <w14:ligatures w14:val="standardContextual"/>
              </w:rPr>
              <w:tab/>
            </w:r>
            <w:r w:rsidR="00B906AE" w:rsidRPr="00EC0361">
              <w:rPr>
                <w:rStyle w:val="Hyperlink"/>
                <w:noProof/>
              </w:rPr>
              <w:t>Success Stories Demonstrating Downstream Outcomes from Technology Transfer Activities</w:t>
            </w:r>
            <w:r w:rsidR="00B906AE">
              <w:rPr>
                <w:noProof/>
                <w:webHidden/>
              </w:rPr>
              <w:tab/>
            </w:r>
            <w:r w:rsidR="00B906AE">
              <w:rPr>
                <w:noProof/>
                <w:webHidden/>
              </w:rPr>
              <w:fldChar w:fldCharType="begin"/>
            </w:r>
            <w:r w:rsidR="00B906AE">
              <w:rPr>
                <w:noProof/>
                <w:webHidden/>
              </w:rPr>
              <w:instrText xml:space="preserve"> PAGEREF _Toc160186019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BF5BB7">
            <w:rPr>
              <w:noProof/>
            </w:rPr>
            <w:t>6</w:t>
          </w:r>
        </w:p>
        <w:p w14:paraId="52718DF4" w14:textId="50145418"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20" w:history="1">
            <w:r w:rsidR="00B906AE" w:rsidRPr="00EC0361">
              <w:rPr>
                <w:rStyle w:val="Hyperlink"/>
                <w:noProof/>
              </w:rPr>
              <w:t>4.5.3.1</w:t>
            </w:r>
            <w:r w:rsidR="00B906AE">
              <w:rPr>
                <w:rFonts w:eastAsiaTheme="minorEastAsia" w:cstheme="minorBidi"/>
                <w:noProof/>
                <w:kern w:val="2"/>
                <w:sz w:val="22"/>
                <w14:ligatures w14:val="standardContextual"/>
              </w:rPr>
              <w:tab/>
            </w:r>
            <w:r w:rsidR="00B906AE" w:rsidRPr="00EC0361">
              <w:rPr>
                <w:rStyle w:val="Hyperlink"/>
                <w:noProof/>
              </w:rPr>
              <w:t>Biological control programs for invasive pests</w:t>
            </w:r>
            <w:r w:rsidR="00B906AE">
              <w:rPr>
                <w:noProof/>
                <w:webHidden/>
              </w:rPr>
              <w:tab/>
            </w:r>
            <w:r w:rsidR="00B906AE">
              <w:rPr>
                <w:noProof/>
                <w:webHidden/>
              </w:rPr>
              <w:fldChar w:fldCharType="begin"/>
            </w:r>
            <w:r w:rsidR="00B906AE">
              <w:rPr>
                <w:noProof/>
                <w:webHidden/>
              </w:rPr>
              <w:instrText xml:space="preserve"> PAGEREF _Toc160186020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4911FB">
            <w:rPr>
              <w:noProof/>
            </w:rPr>
            <w:t>6</w:t>
          </w:r>
        </w:p>
        <w:p w14:paraId="695F9923" w14:textId="726B764E"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21" w:history="1">
            <w:r w:rsidR="00B906AE" w:rsidRPr="00EC0361">
              <w:rPr>
                <w:rStyle w:val="Hyperlink"/>
                <w:noProof/>
              </w:rPr>
              <w:t>4.5.3.2</w:t>
            </w:r>
            <w:r w:rsidR="00B906AE">
              <w:rPr>
                <w:rFonts w:eastAsiaTheme="minorEastAsia" w:cstheme="minorBidi"/>
                <w:noProof/>
                <w:kern w:val="2"/>
                <w:sz w:val="22"/>
                <w14:ligatures w14:val="standardContextual"/>
              </w:rPr>
              <w:tab/>
            </w:r>
            <w:r w:rsidR="00B906AE" w:rsidRPr="00EC0361">
              <w:rPr>
                <w:rStyle w:val="Hyperlink"/>
                <w:noProof/>
              </w:rPr>
              <w:t>Management Tools for Emergency Program Pests</w:t>
            </w:r>
            <w:r w:rsidR="00B906AE">
              <w:rPr>
                <w:noProof/>
                <w:webHidden/>
              </w:rPr>
              <w:tab/>
            </w:r>
            <w:r w:rsidR="00B906AE">
              <w:rPr>
                <w:noProof/>
                <w:webHidden/>
              </w:rPr>
              <w:fldChar w:fldCharType="begin"/>
            </w:r>
            <w:r w:rsidR="00B906AE">
              <w:rPr>
                <w:noProof/>
                <w:webHidden/>
              </w:rPr>
              <w:instrText xml:space="preserve"> PAGEREF _Toc160186021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4911FB">
            <w:rPr>
              <w:noProof/>
            </w:rPr>
            <w:t>7</w:t>
          </w:r>
        </w:p>
        <w:p w14:paraId="1382C935" w14:textId="7A594CE5"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22" w:history="1">
            <w:r w:rsidR="00B906AE" w:rsidRPr="00EC0361">
              <w:rPr>
                <w:rStyle w:val="Hyperlink"/>
                <w:noProof/>
              </w:rPr>
              <w:t>4.5.3.3</w:t>
            </w:r>
            <w:r w:rsidR="00B906AE">
              <w:rPr>
                <w:rFonts w:eastAsiaTheme="minorEastAsia" w:cstheme="minorBidi"/>
                <w:noProof/>
                <w:kern w:val="2"/>
                <w:sz w:val="22"/>
                <w14:ligatures w14:val="standardContextual"/>
              </w:rPr>
              <w:tab/>
            </w:r>
            <w:r w:rsidR="00B906AE" w:rsidRPr="00EC0361">
              <w:rPr>
                <w:rStyle w:val="Hyperlink"/>
                <w:noProof/>
              </w:rPr>
              <w:t>Regulatory diagnostics for National Plant Diagnostic Network</w:t>
            </w:r>
            <w:r w:rsidR="00B906AE">
              <w:rPr>
                <w:noProof/>
                <w:webHidden/>
              </w:rPr>
              <w:tab/>
            </w:r>
            <w:r w:rsidR="00B906AE">
              <w:rPr>
                <w:noProof/>
                <w:webHidden/>
              </w:rPr>
              <w:fldChar w:fldCharType="begin"/>
            </w:r>
            <w:r w:rsidR="00B906AE">
              <w:rPr>
                <w:noProof/>
                <w:webHidden/>
              </w:rPr>
              <w:instrText xml:space="preserve"> PAGEREF _Toc160186022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E2257B">
            <w:rPr>
              <w:noProof/>
            </w:rPr>
            <w:t>8</w:t>
          </w:r>
        </w:p>
        <w:p w14:paraId="1B6DA28A" w14:textId="672F890C"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23" w:history="1">
            <w:r w:rsidR="00B906AE" w:rsidRPr="00EC0361">
              <w:rPr>
                <w:rStyle w:val="Hyperlink"/>
                <w:noProof/>
              </w:rPr>
              <w:t>4.6</w:t>
            </w:r>
            <w:r w:rsidR="00B906AE">
              <w:rPr>
                <w:rFonts w:eastAsiaTheme="minorEastAsia" w:cstheme="minorBidi"/>
                <w:noProof/>
                <w:kern w:val="2"/>
                <w:sz w:val="22"/>
                <w14:ligatures w14:val="standardContextual"/>
              </w:rPr>
              <w:tab/>
            </w:r>
            <w:r w:rsidR="00B906AE" w:rsidRPr="00EC0361">
              <w:rPr>
                <w:rStyle w:val="Hyperlink"/>
                <w:noProof/>
              </w:rPr>
              <w:t>Veterinary Services (VS)</w:t>
            </w:r>
            <w:r w:rsidR="00B906AE">
              <w:rPr>
                <w:noProof/>
                <w:webHidden/>
              </w:rPr>
              <w:tab/>
            </w:r>
            <w:r w:rsidR="00B906AE">
              <w:rPr>
                <w:noProof/>
                <w:webHidden/>
              </w:rPr>
              <w:fldChar w:fldCharType="begin"/>
            </w:r>
            <w:r w:rsidR="00B906AE">
              <w:rPr>
                <w:noProof/>
                <w:webHidden/>
              </w:rPr>
              <w:instrText xml:space="preserve"> PAGEREF _Toc160186023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B47762">
            <w:rPr>
              <w:noProof/>
            </w:rPr>
            <w:t>8</w:t>
          </w:r>
        </w:p>
        <w:p w14:paraId="58014905" w14:textId="72A4511D"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24" w:history="1">
            <w:r w:rsidR="00B906AE" w:rsidRPr="00EC0361">
              <w:rPr>
                <w:rStyle w:val="Hyperlink"/>
                <w:noProof/>
              </w:rPr>
              <w:t>4.6.1</w:t>
            </w:r>
            <w:r w:rsidR="00B906AE">
              <w:rPr>
                <w:rFonts w:eastAsiaTheme="minorEastAsia" w:cstheme="minorBidi"/>
                <w:noProof/>
                <w:kern w:val="2"/>
                <w:sz w:val="22"/>
                <w14:ligatures w14:val="standardContextual"/>
              </w:rPr>
              <w:tab/>
            </w:r>
            <w:r w:rsidR="00B906AE" w:rsidRPr="00EC0361">
              <w:rPr>
                <w:rStyle w:val="Hyperlink"/>
                <w:noProof/>
              </w:rPr>
              <w:t>Mission Statement</w:t>
            </w:r>
            <w:r w:rsidR="00B906AE">
              <w:rPr>
                <w:noProof/>
                <w:webHidden/>
              </w:rPr>
              <w:tab/>
            </w:r>
            <w:r w:rsidR="00B906AE">
              <w:rPr>
                <w:noProof/>
                <w:webHidden/>
              </w:rPr>
              <w:fldChar w:fldCharType="begin"/>
            </w:r>
            <w:r w:rsidR="00B906AE">
              <w:rPr>
                <w:noProof/>
                <w:webHidden/>
              </w:rPr>
              <w:instrText xml:space="preserve"> PAGEREF _Toc160186024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B47762">
            <w:rPr>
              <w:noProof/>
            </w:rPr>
            <w:t>8</w:t>
          </w:r>
        </w:p>
        <w:p w14:paraId="445B2A32" w14:textId="4570942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25" w:history="1">
            <w:r w:rsidR="00B906AE" w:rsidRPr="00EC0361">
              <w:rPr>
                <w:rStyle w:val="Hyperlink"/>
                <w:noProof/>
              </w:rPr>
              <w:t>4.6.2</w:t>
            </w:r>
            <w:r w:rsidR="00B906AE">
              <w:rPr>
                <w:rFonts w:eastAsiaTheme="minorEastAsia" w:cstheme="minorBidi"/>
                <w:noProof/>
                <w:kern w:val="2"/>
                <w:sz w:val="22"/>
                <w14:ligatures w14:val="standardContextual"/>
              </w:rPr>
              <w:tab/>
            </w:r>
            <w:r w:rsidR="00B906AE" w:rsidRPr="00EC0361">
              <w:rPr>
                <w:rStyle w:val="Hyperlink"/>
                <w:noProof/>
              </w:rPr>
              <w:t>Metric Tables</w:t>
            </w:r>
            <w:r w:rsidR="00B906AE">
              <w:rPr>
                <w:noProof/>
                <w:webHidden/>
              </w:rPr>
              <w:tab/>
            </w:r>
            <w:r w:rsidR="00B906AE">
              <w:rPr>
                <w:noProof/>
                <w:webHidden/>
              </w:rPr>
              <w:fldChar w:fldCharType="begin"/>
            </w:r>
            <w:r w:rsidR="00B906AE">
              <w:rPr>
                <w:noProof/>
                <w:webHidden/>
              </w:rPr>
              <w:instrText xml:space="preserve"> PAGEREF _Toc160186025 \h </w:instrText>
            </w:r>
            <w:r w:rsidR="00B906AE">
              <w:rPr>
                <w:noProof/>
                <w:webHidden/>
              </w:rPr>
            </w:r>
            <w:r w:rsidR="00B906AE">
              <w:rPr>
                <w:noProof/>
                <w:webHidden/>
              </w:rPr>
              <w:fldChar w:fldCharType="separate"/>
            </w:r>
            <w:r w:rsidR="009033D2">
              <w:rPr>
                <w:noProof/>
                <w:webHidden/>
              </w:rPr>
              <w:t>5</w:t>
            </w:r>
            <w:r w:rsidR="00B906AE">
              <w:rPr>
                <w:noProof/>
                <w:webHidden/>
              </w:rPr>
              <w:fldChar w:fldCharType="end"/>
            </w:r>
          </w:hyperlink>
          <w:r w:rsidR="00B47762">
            <w:rPr>
              <w:noProof/>
            </w:rPr>
            <w:t>8</w:t>
          </w:r>
        </w:p>
        <w:p w14:paraId="786E90C9" w14:textId="3B9E0EC7"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26" w:history="1">
            <w:r w:rsidR="00B906AE" w:rsidRPr="00EC0361">
              <w:rPr>
                <w:rStyle w:val="Hyperlink"/>
                <w:noProof/>
              </w:rPr>
              <w:t>4.6.3</w:t>
            </w:r>
            <w:r w:rsidR="00B906AE">
              <w:rPr>
                <w:rFonts w:eastAsiaTheme="minorEastAsia" w:cstheme="minorBidi"/>
                <w:noProof/>
                <w:kern w:val="2"/>
                <w:sz w:val="22"/>
                <w14:ligatures w14:val="standardContextual"/>
              </w:rPr>
              <w:tab/>
            </w:r>
            <w:r w:rsidR="00B906AE" w:rsidRPr="00EC0361">
              <w:rPr>
                <w:rStyle w:val="Hyperlink"/>
                <w:noProof/>
              </w:rPr>
              <w:t>Success Stories Demonstrating Downstream Outcomes from Technology Transfer Activities</w:t>
            </w:r>
            <w:r w:rsidR="00B906AE">
              <w:rPr>
                <w:noProof/>
                <w:webHidden/>
              </w:rPr>
              <w:tab/>
            </w:r>
            <w:r w:rsidR="00B906AE">
              <w:rPr>
                <w:noProof/>
                <w:webHidden/>
              </w:rPr>
              <w:fldChar w:fldCharType="begin"/>
            </w:r>
            <w:r w:rsidR="00B906AE">
              <w:rPr>
                <w:noProof/>
                <w:webHidden/>
              </w:rPr>
              <w:instrText xml:space="preserve"> PAGEREF _Toc160186026 \h </w:instrText>
            </w:r>
            <w:r w:rsidR="00B906AE">
              <w:rPr>
                <w:noProof/>
                <w:webHidden/>
              </w:rPr>
            </w:r>
            <w:r>
              <w:rPr>
                <w:noProof/>
                <w:webHidden/>
              </w:rPr>
              <w:fldChar w:fldCharType="separate"/>
            </w:r>
            <w:r w:rsidR="00B906AE">
              <w:rPr>
                <w:noProof/>
                <w:webHidden/>
              </w:rPr>
              <w:fldChar w:fldCharType="end"/>
            </w:r>
          </w:hyperlink>
          <w:r w:rsidR="00766408">
            <w:rPr>
              <w:noProof/>
            </w:rPr>
            <w:t>60</w:t>
          </w:r>
        </w:p>
        <w:p w14:paraId="44B559F1" w14:textId="63E1C457"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27" w:history="1">
            <w:r w:rsidR="00B906AE" w:rsidRPr="00EC0361">
              <w:rPr>
                <w:rStyle w:val="Hyperlink"/>
                <w:noProof/>
              </w:rPr>
              <w:t>4.7</w:t>
            </w:r>
            <w:r w:rsidR="00B906AE">
              <w:rPr>
                <w:rFonts w:eastAsiaTheme="minorEastAsia" w:cstheme="minorBidi"/>
                <w:noProof/>
                <w:kern w:val="2"/>
                <w:sz w:val="22"/>
                <w14:ligatures w14:val="standardContextual"/>
              </w:rPr>
              <w:tab/>
            </w:r>
            <w:r w:rsidR="00B906AE" w:rsidRPr="00EC0361">
              <w:rPr>
                <w:rStyle w:val="Hyperlink"/>
                <w:noProof/>
              </w:rPr>
              <w:t>Wildlife Services</w:t>
            </w:r>
            <w:r w:rsidR="00B906AE">
              <w:rPr>
                <w:noProof/>
                <w:webHidden/>
              </w:rPr>
              <w:tab/>
            </w:r>
            <w:r w:rsidR="00B906AE">
              <w:rPr>
                <w:noProof/>
                <w:webHidden/>
              </w:rPr>
              <w:fldChar w:fldCharType="begin"/>
            </w:r>
            <w:r w:rsidR="00B906AE">
              <w:rPr>
                <w:noProof/>
                <w:webHidden/>
              </w:rPr>
              <w:instrText xml:space="preserve"> PAGEREF _Toc160186027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DC1667">
            <w:rPr>
              <w:noProof/>
            </w:rPr>
            <w:t>2</w:t>
          </w:r>
        </w:p>
        <w:p w14:paraId="7C48542E" w14:textId="21847E35"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28" w:history="1">
            <w:r w:rsidR="00B906AE" w:rsidRPr="00EC0361">
              <w:rPr>
                <w:rStyle w:val="Hyperlink"/>
                <w:noProof/>
              </w:rPr>
              <w:t>4.7.1</w:t>
            </w:r>
            <w:r w:rsidR="00B906AE">
              <w:rPr>
                <w:rFonts w:eastAsiaTheme="minorEastAsia" w:cstheme="minorBidi"/>
                <w:noProof/>
                <w:kern w:val="2"/>
                <w:sz w:val="22"/>
                <w14:ligatures w14:val="standardContextual"/>
              </w:rPr>
              <w:tab/>
            </w:r>
            <w:r w:rsidR="00B906AE" w:rsidRPr="00EC0361">
              <w:rPr>
                <w:rStyle w:val="Hyperlink"/>
                <w:noProof/>
              </w:rPr>
              <w:t>Mission Statement</w:t>
            </w:r>
            <w:r w:rsidR="00B906AE">
              <w:rPr>
                <w:noProof/>
                <w:webHidden/>
              </w:rPr>
              <w:tab/>
            </w:r>
            <w:r w:rsidR="00B906AE">
              <w:rPr>
                <w:noProof/>
                <w:webHidden/>
              </w:rPr>
              <w:fldChar w:fldCharType="begin"/>
            </w:r>
            <w:r w:rsidR="00B906AE">
              <w:rPr>
                <w:noProof/>
                <w:webHidden/>
              </w:rPr>
              <w:instrText xml:space="preserve"> PAGEREF _Toc160186028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DC1667">
            <w:rPr>
              <w:noProof/>
            </w:rPr>
            <w:t>2</w:t>
          </w:r>
        </w:p>
        <w:p w14:paraId="7DD25C8C" w14:textId="2A7426E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29" w:history="1">
            <w:r w:rsidR="00B906AE" w:rsidRPr="00EC0361">
              <w:rPr>
                <w:rStyle w:val="Hyperlink"/>
                <w:noProof/>
              </w:rPr>
              <w:t>4.7.2</w:t>
            </w:r>
            <w:r w:rsidR="00B906AE">
              <w:rPr>
                <w:rFonts w:eastAsiaTheme="minorEastAsia" w:cstheme="minorBidi"/>
                <w:noProof/>
                <w:kern w:val="2"/>
                <w:sz w:val="22"/>
                <w14:ligatures w14:val="standardContextual"/>
              </w:rPr>
              <w:tab/>
            </w:r>
            <w:r w:rsidR="00B906AE" w:rsidRPr="00EC0361">
              <w:rPr>
                <w:rStyle w:val="Hyperlink"/>
                <w:noProof/>
              </w:rPr>
              <w:t>Fiscal Year Metric Tables</w:t>
            </w:r>
            <w:r w:rsidR="00B906AE">
              <w:rPr>
                <w:noProof/>
                <w:webHidden/>
              </w:rPr>
              <w:tab/>
            </w:r>
            <w:r w:rsidR="00B906AE">
              <w:rPr>
                <w:noProof/>
                <w:webHidden/>
              </w:rPr>
              <w:fldChar w:fldCharType="begin"/>
            </w:r>
            <w:r w:rsidR="00B906AE">
              <w:rPr>
                <w:noProof/>
                <w:webHidden/>
              </w:rPr>
              <w:instrText xml:space="preserve"> PAGEREF _Toc160186029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DC1667">
            <w:rPr>
              <w:noProof/>
            </w:rPr>
            <w:t>2</w:t>
          </w:r>
        </w:p>
        <w:p w14:paraId="0A35602C" w14:textId="65E8487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30" w:history="1">
            <w:r w:rsidR="00B906AE" w:rsidRPr="00EC0361">
              <w:rPr>
                <w:rStyle w:val="Hyperlink"/>
                <w:noProof/>
              </w:rPr>
              <w:t>4.7.3</w:t>
            </w:r>
            <w:r w:rsidR="00B906AE">
              <w:rPr>
                <w:rFonts w:eastAsiaTheme="minorEastAsia" w:cstheme="minorBidi"/>
                <w:noProof/>
                <w:kern w:val="2"/>
                <w:sz w:val="22"/>
                <w14:ligatures w14:val="standardContextual"/>
              </w:rPr>
              <w:tab/>
            </w:r>
            <w:r w:rsidR="00B906AE" w:rsidRPr="00EC0361">
              <w:rPr>
                <w:rStyle w:val="Hyperlink"/>
                <w:noProof/>
              </w:rPr>
              <w:t>Success Stories Demonstrating Downstream Outcomes from Technology Transfer Activity</w:t>
            </w:r>
            <w:r w:rsidR="00B906AE">
              <w:rPr>
                <w:noProof/>
                <w:webHidden/>
              </w:rPr>
              <w:tab/>
            </w:r>
            <w:r w:rsidR="00100E08">
              <w:rPr>
                <w:noProof/>
                <w:webHidden/>
              </w:rPr>
              <w:t>………………………………………………………………………………………………………………………………………</w:t>
            </w:r>
            <w:r w:rsidR="00B906AE">
              <w:rPr>
                <w:noProof/>
                <w:webHidden/>
              </w:rPr>
              <w:fldChar w:fldCharType="begin"/>
            </w:r>
            <w:r w:rsidR="00B906AE">
              <w:rPr>
                <w:noProof/>
                <w:webHidden/>
              </w:rPr>
              <w:instrText xml:space="preserve"> PAGEREF _Toc160186030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0F69D8">
            <w:rPr>
              <w:noProof/>
            </w:rPr>
            <w:t>3</w:t>
          </w:r>
        </w:p>
        <w:p w14:paraId="3CB72E75" w14:textId="15BDDF00"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31" w:history="1">
            <w:r w:rsidR="00B906AE" w:rsidRPr="00EC0361">
              <w:rPr>
                <w:rStyle w:val="Hyperlink"/>
                <w:noProof/>
              </w:rPr>
              <w:t>4.7.3.1</w:t>
            </w:r>
            <w:r w:rsidR="00B906AE">
              <w:rPr>
                <w:rFonts w:eastAsiaTheme="minorEastAsia" w:cstheme="minorBidi"/>
                <w:noProof/>
                <w:kern w:val="2"/>
                <w:sz w:val="22"/>
                <w14:ligatures w14:val="standardContextual"/>
              </w:rPr>
              <w:tab/>
            </w:r>
            <w:r w:rsidR="00B906AE" w:rsidRPr="00EC0361">
              <w:rPr>
                <w:rStyle w:val="Hyperlink"/>
                <w:noProof/>
              </w:rPr>
              <w:t>Protecting Crops – 30-year Partnership with Arkion Life Sciences</w:t>
            </w:r>
            <w:r w:rsidR="000F69D8">
              <w:rPr>
                <w:noProof/>
                <w:webHidden/>
              </w:rPr>
              <w:t>…………………</w:t>
            </w:r>
            <w:r w:rsidR="00490A9F">
              <w:rPr>
                <w:noProof/>
                <w:webHidden/>
              </w:rPr>
              <w:t>………..</w:t>
            </w:r>
            <w:r w:rsidR="00B906AE">
              <w:rPr>
                <w:noProof/>
                <w:webHidden/>
              </w:rPr>
              <w:fldChar w:fldCharType="begin"/>
            </w:r>
            <w:r w:rsidR="00B906AE">
              <w:rPr>
                <w:noProof/>
                <w:webHidden/>
              </w:rPr>
              <w:instrText xml:space="preserve"> PAGEREF _Toc160186031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490A9F">
            <w:rPr>
              <w:noProof/>
            </w:rPr>
            <w:t>3</w:t>
          </w:r>
        </w:p>
        <w:p w14:paraId="5A7E1A5D" w14:textId="70B212C0"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32" w:history="1">
            <w:r w:rsidR="00B906AE" w:rsidRPr="00EC0361">
              <w:rPr>
                <w:rStyle w:val="Hyperlink"/>
                <w:noProof/>
              </w:rPr>
              <w:t>4.7.3.2</w:t>
            </w:r>
            <w:r w:rsidR="00B906AE">
              <w:rPr>
                <w:rFonts w:eastAsiaTheme="minorEastAsia" w:cstheme="minorBidi"/>
                <w:noProof/>
                <w:kern w:val="2"/>
                <w:sz w:val="22"/>
                <w14:ligatures w14:val="standardContextual"/>
              </w:rPr>
              <w:tab/>
            </w:r>
            <w:r w:rsidR="00B906AE" w:rsidRPr="00EC0361">
              <w:rPr>
                <w:rStyle w:val="Hyperlink"/>
                <w:noProof/>
              </w:rPr>
              <w:t>A 15-Year International Partnership to Develop Vertebrate Pest Management Tools</w:t>
            </w:r>
            <w:r w:rsidR="00B906AE">
              <w:rPr>
                <w:noProof/>
                <w:webHidden/>
              </w:rPr>
              <w:tab/>
            </w:r>
            <w:r w:rsidR="00100E08">
              <w:rPr>
                <w:noProof/>
                <w:webHidden/>
              </w:rPr>
              <w:t>………………………………………………………………………………………………………………………………..</w:t>
            </w:r>
            <w:r w:rsidR="00B906AE">
              <w:rPr>
                <w:noProof/>
                <w:webHidden/>
              </w:rPr>
              <w:fldChar w:fldCharType="begin"/>
            </w:r>
            <w:r w:rsidR="00B906AE">
              <w:rPr>
                <w:noProof/>
                <w:webHidden/>
              </w:rPr>
              <w:instrText xml:space="preserve"> PAGEREF _Toc160186032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490A9F">
            <w:rPr>
              <w:noProof/>
            </w:rPr>
            <w:t>4</w:t>
          </w:r>
        </w:p>
        <w:p w14:paraId="32C65626" w14:textId="0E4A48D0" w:rsidR="00B906AE" w:rsidRDefault="00B2178E">
          <w:pPr>
            <w:pStyle w:val="TOC1"/>
            <w:rPr>
              <w:rFonts w:eastAsiaTheme="minorEastAsia" w:cstheme="minorBidi"/>
              <w:b w:val="0"/>
              <w:noProof/>
              <w:kern w:val="2"/>
              <w:sz w:val="22"/>
              <w14:ligatures w14:val="standardContextual"/>
            </w:rPr>
          </w:pPr>
          <w:hyperlink w:anchor="_Toc160186033" w:history="1">
            <w:r w:rsidR="00B906AE" w:rsidRPr="00EC0361">
              <w:rPr>
                <w:rStyle w:val="Hyperlink"/>
                <w:rFonts w:cstheme="minorHAnsi"/>
                <w:noProof/>
              </w:rPr>
              <w:t>5</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Agricultural Research Service (ARS)</w:t>
            </w:r>
            <w:r w:rsidR="00B906AE">
              <w:rPr>
                <w:noProof/>
                <w:webHidden/>
              </w:rPr>
              <w:tab/>
            </w:r>
            <w:r w:rsidR="00B906AE">
              <w:rPr>
                <w:noProof/>
                <w:webHidden/>
              </w:rPr>
              <w:fldChar w:fldCharType="begin"/>
            </w:r>
            <w:r w:rsidR="00B906AE">
              <w:rPr>
                <w:noProof/>
                <w:webHidden/>
              </w:rPr>
              <w:instrText xml:space="preserve"> PAGEREF _Toc160186033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3813C7">
            <w:rPr>
              <w:noProof/>
            </w:rPr>
            <w:t>7</w:t>
          </w:r>
        </w:p>
        <w:p w14:paraId="7DE3CD03" w14:textId="05226A1F"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34" w:history="1">
            <w:r w:rsidR="00B906AE" w:rsidRPr="00EC0361">
              <w:rPr>
                <w:rStyle w:val="Hyperlink"/>
                <w:rFonts w:cstheme="minorHAnsi"/>
                <w:noProof/>
              </w:rPr>
              <w:t>5.1</w:t>
            </w:r>
            <w:r w:rsidR="00B906AE">
              <w:rPr>
                <w:rFonts w:eastAsiaTheme="minorEastAsia" w:cstheme="minorBidi"/>
                <w:noProof/>
                <w:kern w:val="2"/>
                <w:sz w:val="22"/>
                <w14:ligatures w14:val="standardContextual"/>
              </w:rPr>
              <w:tab/>
            </w:r>
            <w:r w:rsidR="00B906AE" w:rsidRPr="00EC0361">
              <w:rPr>
                <w:rStyle w:val="Hyperlink"/>
                <w:rFonts w:cstheme="minorHAnsi"/>
                <w:noProof/>
              </w:rPr>
              <w:t>Mission Statement</w:t>
            </w:r>
            <w:r w:rsidR="00B906AE">
              <w:rPr>
                <w:noProof/>
                <w:webHidden/>
              </w:rPr>
              <w:tab/>
            </w:r>
            <w:r w:rsidR="00B906AE">
              <w:rPr>
                <w:noProof/>
                <w:webHidden/>
              </w:rPr>
              <w:fldChar w:fldCharType="begin"/>
            </w:r>
            <w:r w:rsidR="00B906AE">
              <w:rPr>
                <w:noProof/>
                <w:webHidden/>
              </w:rPr>
              <w:instrText xml:space="preserve"> PAGEREF _Toc160186034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F018B8">
            <w:rPr>
              <w:noProof/>
            </w:rPr>
            <w:t>7</w:t>
          </w:r>
        </w:p>
        <w:p w14:paraId="273CEACC" w14:textId="0A37B18D"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35" w:history="1">
            <w:r w:rsidR="00B906AE" w:rsidRPr="00EC0361">
              <w:rPr>
                <w:rStyle w:val="Hyperlink"/>
                <w:rFonts w:cstheme="minorHAnsi"/>
                <w:noProof/>
              </w:rPr>
              <w:t>5.2</w:t>
            </w:r>
            <w:r w:rsidR="00B906AE">
              <w:rPr>
                <w:rFonts w:eastAsiaTheme="minorEastAsia" w:cstheme="minorBidi"/>
                <w:noProof/>
                <w:kern w:val="2"/>
                <w:sz w:val="22"/>
                <w14:ligatures w14:val="standardContextual"/>
              </w:rPr>
              <w:tab/>
            </w:r>
            <w:r w:rsidR="00B906AE" w:rsidRPr="00EC0361">
              <w:rPr>
                <w:rStyle w:val="Hyperlink"/>
                <w:rFonts w:cstheme="minorHAnsi"/>
                <w:noProof/>
              </w:rPr>
              <w:t>Nature and Structure of Program</w:t>
            </w:r>
            <w:r w:rsidR="00B906AE">
              <w:rPr>
                <w:noProof/>
                <w:webHidden/>
              </w:rPr>
              <w:tab/>
            </w:r>
            <w:r w:rsidR="00B906AE">
              <w:rPr>
                <w:noProof/>
                <w:webHidden/>
              </w:rPr>
              <w:fldChar w:fldCharType="begin"/>
            </w:r>
            <w:r w:rsidR="00B906AE">
              <w:rPr>
                <w:noProof/>
                <w:webHidden/>
              </w:rPr>
              <w:instrText xml:space="preserve"> PAGEREF _Toc160186035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F018B8">
            <w:rPr>
              <w:noProof/>
            </w:rPr>
            <w:t>7</w:t>
          </w:r>
        </w:p>
        <w:p w14:paraId="67084D94" w14:textId="1594DAB0"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36" w:history="1">
            <w:r w:rsidR="00B906AE" w:rsidRPr="00EC0361">
              <w:rPr>
                <w:rStyle w:val="Hyperlink"/>
                <w:rFonts w:cstheme="minorHAnsi"/>
                <w:noProof/>
              </w:rPr>
              <w:t>5.3</w:t>
            </w:r>
            <w:r w:rsidR="00B906AE">
              <w:rPr>
                <w:rFonts w:eastAsiaTheme="minorEastAsia" w:cstheme="minorBidi"/>
                <w:noProof/>
                <w:kern w:val="2"/>
                <w:sz w:val="22"/>
                <w14:ligatures w14:val="standardContextual"/>
              </w:rPr>
              <w:tab/>
            </w:r>
            <w:r w:rsidR="00B906AE" w:rsidRPr="00EC0361">
              <w:rPr>
                <w:rStyle w:val="Hyperlink"/>
                <w:rFonts w:cstheme="minorHAnsi"/>
                <w:noProof/>
              </w:rPr>
              <w:t>ARS Approach and Plans for Conducting Technology Transfer</w:t>
            </w:r>
            <w:r w:rsidR="00B906AE">
              <w:rPr>
                <w:noProof/>
                <w:webHidden/>
              </w:rPr>
              <w:tab/>
            </w:r>
            <w:r w:rsidR="00B906AE">
              <w:rPr>
                <w:noProof/>
                <w:webHidden/>
              </w:rPr>
              <w:fldChar w:fldCharType="begin"/>
            </w:r>
            <w:r w:rsidR="00B906AE">
              <w:rPr>
                <w:noProof/>
                <w:webHidden/>
              </w:rPr>
              <w:instrText xml:space="preserve"> PAGEREF _Toc160186036 \h </w:instrText>
            </w:r>
            <w:r w:rsidR="00B906AE">
              <w:rPr>
                <w:noProof/>
                <w:webHidden/>
              </w:rPr>
            </w:r>
            <w:r w:rsidR="00B906AE">
              <w:rPr>
                <w:noProof/>
                <w:webHidden/>
              </w:rPr>
              <w:fldChar w:fldCharType="separate"/>
            </w:r>
            <w:r w:rsidR="009033D2">
              <w:rPr>
                <w:noProof/>
                <w:webHidden/>
              </w:rPr>
              <w:t>7</w:t>
            </w:r>
            <w:r w:rsidR="00B906AE">
              <w:rPr>
                <w:noProof/>
                <w:webHidden/>
              </w:rPr>
              <w:fldChar w:fldCharType="end"/>
            </w:r>
          </w:hyperlink>
          <w:r w:rsidR="00ED7524">
            <w:rPr>
              <w:noProof/>
            </w:rPr>
            <w:t>8</w:t>
          </w:r>
        </w:p>
        <w:p w14:paraId="44950CD1" w14:textId="18C216AF"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37" w:history="1">
            <w:r w:rsidR="00B906AE" w:rsidRPr="00EC0361">
              <w:rPr>
                <w:rStyle w:val="Hyperlink"/>
                <w:rFonts w:cstheme="minorHAnsi"/>
                <w:noProof/>
              </w:rPr>
              <w:t>5.4</w:t>
            </w:r>
            <w:r w:rsidR="00B906AE">
              <w:rPr>
                <w:rFonts w:eastAsiaTheme="minorEastAsia" w:cstheme="minorBidi"/>
                <w:noProof/>
                <w:kern w:val="2"/>
                <w:sz w:val="22"/>
                <w14:ligatures w14:val="standardContextual"/>
              </w:rPr>
              <w:tab/>
            </w:r>
            <w:r w:rsidR="00B906AE" w:rsidRPr="00EC0361">
              <w:rPr>
                <w:rStyle w:val="Hyperlink"/>
                <w:rFonts w:cstheme="minorHAnsi"/>
                <w:noProof/>
              </w:rPr>
              <w:t>Technology Transfer Highlights</w:t>
            </w:r>
            <w:r w:rsidR="00B906AE">
              <w:rPr>
                <w:noProof/>
                <w:webHidden/>
              </w:rPr>
              <w:tab/>
            </w:r>
            <w:r w:rsidR="00B906AE">
              <w:rPr>
                <w:noProof/>
                <w:webHidden/>
              </w:rPr>
              <w:fldChar w:fldCharType="begin"/>
            </w:r>
            <w:r w:rsidR="00B906AE">
              <w:rPr>
                <w:noProof/>
                <w:webHidden/>
              </w:rPr>
              <w:instrText xml:space="preserve"> PAGEREF _Toc160186037 \h </w:instrText>
            </w:r>
            <w:r w:rsidR="00B906AE">
              <w:rPr>
                <w:noProof/>
                <w:webHidden/>
              </w:rPr>
            </w:r>
            <w:r>
              <w:rPr>
                <w:noProof/>
                <w:webHidden/>
              </w:rPr>
              <w:fldChar w:fldCharType="separate"/>
            </w:r>
            <w:r w:rsidR="00B906AE">
              <w:rPr>
                <w:noProof/>
                <w:webHidden/>
              </w:rPr>
              <w:fldChar w:fldCharType="end"/>
            </w:r>
          </w:hyperlink>
          <w:r w:rsidR="00185684">
            <w:rPr>
              <w:noProof/>
            </w:rPr>
            <w:t>80</w:t>
          </w:r>
        </w:p>
        <w:p w14:paraId="251996E7" w14:textId="5590E716"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38" w:history="1">
            <w:r w:rsidR="00B906AE" w:rsidRPr="00EC0361">
              <w:rPr>
                <w:rStyle w:val="Hyperlink"/>
                <w:rFonts w:cstheme="minorHAnsi"/>
                <w:noProof/>
              </w:rPr>
              <w:t>5.5</w:t>
            </w:r>
            <w:r w:rsidR="00B906AE">
              <w:rPr>
                <w:rFonts w:eastAsiaTheme="minorEastAsia" w:cstheme="minorBidi"/>
                <w:noProof/>
                <w:kern w:val="2"/>
                <w:sz w:val="22"/>
                <w14:ligatures w14:val="standardContextual"/>
              </w:rPr>
              <w:tab/>
            </w:r>
            <w:r w:rsidR="00B906AE" w:rsidRPr="00EC0361">
              <w:rPr>
                <w:rStyle w:val="Hyperlink"/>
                <w:rFonts w:cstheme="minorHAnsi"/>
                <w:noProof/>
              </w:rPr>
              <w:t>Fiscal Year Metric Tables</w:t>
            </w:r>
            <w:r w:rsidR="00B906AE">
              <w:rPr>
                <w:noProof/>
                <w:webHidden/>
              </w:rPr>
              <w:tab/>
            </w:r>
            <w:r w:rsidR="00B906AE">
              <w:rPr>
                <w:noProof/>
                <w:webHidden/>
              </w:rPr>
              <w:fldChar w:fldCharType="begin"/>
            </w:r>
            <w:r w:rsidR="00B906AE">
              <w:rPr>
                <w:noProof/>
                <w:webHidden/>
              </w:rPr>
              <w:instrText xml:space="preserve"> PAGEREF _Toc160186038 \h </w:instrText>
            </w:r>
            <w:r w:rsidR="00B906AE">
              <w:rPr>
                <w:noProof/>
                <w:webHidden/>
              </w:rPr>
            </w:r>
            <w:r>
              <w:rPr>
                <w:noProof/>
                <w:webHidden/>
              </w:rPr>
              <w:fldChar w:fldCharType="separate"/>
            </w:r>
            <w:r w:rsidR="00B906AE">
              <w:rPr>
                <w:noProof/>
                <w:webHidden/>
              </w:rPr>
              <w:fldChar w:fldCharType="end"/>
            </w:r>
          </w:hyperlink>
          <w:r w:rsidR="00185684">
            <w:rPr>
              <w:noProof/>
            </w:rPr>
            <w:t>8</w:t>
          </w:r>
          <w:r w:rsidR="001736CC">
            <w:rPr>
              <w:noProof/>
            </w:rPr>
            <w:t>2</w:t>
          </w:r>
        </w:p>
        <w:p w14:paraId="61BEE1C0" w14:textId="165D7081"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39" w:history="1">
            <w:r w:rsidR="00B906AE" w:rsidRPr="00EC0361">
              <w:rPr>
                <w:rStyle w:val="Hyperlink"/>
                <w:rFonts w:cstheme="minorHAnsi"/>
                <w:noProof/>
              </w:rPr>
              <w:t>5.6</w:t>
            </w:r>
            <w:r w:rsidR="00B906AE">
              <w:rPr>
                <w:rFonts w:eastAsiaTheme="minorEastAsia" w:cstheme="minorBidi"/>
                <w:noProof/>
                <w:kern w:val="2"/>
                <w:sz w:val="22"/>
                <w14:ligatures w14:val="standardContextual"/>
              </w:rPr>
              <w:tab/>
            </w:r>
            <w:r w:rsidR="00B906AE" w:rsidRPr="00EC0361">
              <w:rPr>
                <w:rStyle w:val="Hyperlink"/>
                <w:rFonts w:cstheme="minorHAnsi"/>
                <w:noProof/>
              </w:rPr>
              <w:t>Downstream Outcomes</w:t>
            </w:r>
            <w:r w:rsidR="00B906AE">
              <w:rPr>
                <w:noProof/>
                <w:webHidden/>
              </w:rPr>
              <w:tab/>
            </w:r>
            <w:r w:rsidR="00B906AE">
              <w:rPr>
                <w:noProof/>
                <w:webHidden/>
              </w:rPr>
              <w:fldChar w:fldCharType="begin"/>
            </w:r>
            <w:r w:rsidR="00B906AE">
              <w:rPr>
                <w:noProof/>
                <w:webHidden/>
              </w:rPr>
              <w:instrText xml:space="preserve"> PAGEREF _Toc160186039 \h </w:instrText>
            </w:r>
            <w:r w:rsidR="00B906AE">
              <w:rPr>
                <w:noProof/>
                <w:webHidden/>
              </w:rPr>
            </w:r>
            <w:r w:rsidR="00B906AE">
              <w:rPr>
                <w:noProof/>
                <w:webHidden/>
              </w:rPr>
              <w:fldChar w:fldCharType="separate"/>
            </w:r>
            <w:r w:rsidR="009033D2">
              <w:rPr>
                <w:noProof/>
                <w:webHidden/>
              </w:rPr>
              <w:t>8</w:t>
            </w:r>
            <w:r w:rsidR="00B906AE">
              <w:rPr>
                <w:noProof/>
                <w:webHidden/>
              </w:rPr>
              <w:fldChar w:fldCharType="end"/>
            </w:r>
          </w:hyperlink>
          <w:r w:rsidR="00185684">
            <w:rPr>
              <w:noProof/>
            </w:rPr>
            <w:t>7</w:t>
          </w:r>
        </w:p>
        <w:p w14:paraId="72E767AD" w14:textId="45DF14CD"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40" w:history="1">
            <w:r w:rsidR="00B906AE" w:rsidRPr="00EC0361">
              <w:rPr>
                <w:rStyle w:val="Hyperlink"/>
                <w:b/>
                <w:noProof/>
              </w:rPr>
              <w:t>5.6.1</w:t>
            </w:r>
            <w:r w:rsidR="00B906AE">
              <w:rPr>
                <w:rFonts w:eastAsiaTheme="minorEastAsia" w:cstheme="minorBidi"/>
                <w:noProof/>
                <w:kern w:val="2"/>
                <w:sz w:val="22"/>
                <w14:ligatures w14:val="standardContextual"/>
              </w:rPr>
              <w:tab/>
            </w:r>
            <w:r w:rsidR="00B906AE" w:rsidRPr="00EC0361">
              <w:rPr>
                <w:rStyle w:val="Hyperlink"/>
                <w:b/>
                <w:noProof/>
              </w:rPr>
              <w:t>Animal Production and Protection</w:t>
            </w:r>
            <w:r w:rsidR="00B906AE">
              <w:rPr>
                <w:noProof/>
                <w:webHidden/>
              </w:rPr>
              <w:tab/>
            </w:r>
            <w:r w:rsidR="00B906AE">
              <w:rPr>
                <w:noProof/>
                <w:webHidden/>
              </w:rPr>
              <w:fldChar w:fldCharType="begin"/>
            </w:r>
            <w:r w:rsidR="00B906AE">
              <w:rPr>
                <w:noProof/>
                <w:webHidden/>
              </w:rPr>
              <w:instrText xml:space="preserve"> PAGEREF _Toc160186040 \h </w:instrText>
            </w:r>
            <w:r w:rsidR="00B906AE">
              <w:rPr>
                <w:noProof/>
                <w:webHidden/>
              </w:rPr>
            </w:r>
            <w:r w:rsidR="00B906AE">
              <w:rPr>
                <w:noProof/>
                <w:webHidden/>
              </w:rPr>
              <w:fldChar w:fldCharType="separate"/>
            </w:r>
            <w:r w:rsidR="009033D2">
              <w:rPr>
                <w:noProof/>
                <w:webHidden/>
              </w:rPr>
              <w:t>8</w:t>
            </w:r>
            <w:r w:rsidR="00B906AE">
              <w:rPr>
                <w:noProof/>
                <w:webHidden/>
              </w:rPr>
              <w:fldChar w:fldCharType="end"/>
            </w:r>
          </w:hyperlink>
          <w:r w:rsidR="003329E7">
            <w:rPr>
              <w:noProof/>
            </w:rPr>
            <w:t>8</w:t>
          </w:r>
        </w:p>
        <w:p w14:paraId="32814B63" w14:textId="736D6FEE"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41" w:history="1">
            <w:r w:rsidR="00B906AE" w:rsidRPr="00EC0361">
              <w:rPr>
                <w:rStyle w:val="Hyperlink"/>
                <w:b/>
                <w:noProof/>
              </w:rPr>
              <w:t>5.6.2</w:t>
            </w:r>
            <w:r w:rsidR="00B906AE">
              <w:rPr>
                <w:rFonts w:eastAsiaTheme="minorEastAsia" w:cstheme="minorBidi"/>
                <w:noProof/>
                <w:kern w:val="2"/>
                <w:sz w:val="22"/>
                <w14:ligatures w14:val="standardContextual"/>
              </w:rPr>
              <w:tab/>
            </w:r>
            <w:r w:rsidR="00B906AE" w:rsidRPr="00EC0361">
              <w:rPr>
                <w:rStyle w:val="Hyperlink"/>
                <w:b/>
                <w:noProof/>
              </w:rPr>
              <w:t>Natural Resources and Sustainable Agricultural Systems</w:t>
            </w:r>
            <w:r w:rsidR="00B906AE">
              <w:rPr>
                <w:noProof/>
                <w:webHidden/>
              </w:rPr>
              <w:tab/>
            </w:r>
            <w:r w:rsidR="00B906AE">
              <w:rPr>
                <w:noProof/>
                <w:webHidden/>
              </w:rPr>
              <w:fldChar w:fldCharType="begin"/>
            </w:r>
            <w:r w:rsidR="00B906AE">
              <w:rPr>
                <w:noProof/>
                <w:webHidden/>
              </w:rPr>
              <w:instrText xml:space="preserve"> PAGEREF _Toc160186041 \h </w:instrText>
            </w:r>
            <w:r w:rsidR="00B906AE">
              <w:rPr>
                <w:noProof/>
                <w:webHidden/>
              </w:rPr>
            </w:r>
            <w:r w:rsidR="00B906AE">
              <w:rPr>
                <w:noProof/>
                <w:webHidden/>
              </w:rPr>
              <w:fldChar w:fldCharType="separate"/>
            </w:r>
            <w:r w:rsidR="009033D2">
              <w:rPr>
                <w:noProof/>
                <w:webHidden/>
              </w:rPr>
              <w:t>10</w:t>
            </w:r>
            <w:r w:rsidR="00B906AE">
              <w:rPr>
                <w:noProof/>
                <w:webHidden/>
              </w:rPr>
              <w:fldChar w:fldCharType="end"/>
            </w:r>
          </w:hyperlink>
          <w:r w:rsidR="00140929">
            <w:rPr>
              <w:noProof/>
            </w:rPr>
            <w:t>2</w:t>
          </w:r>
        </w:p>
        <w:p w14:paraId="2535F267" w14:textId="2E41C17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42" w:history="1">
            <w:r w:rsidR="00B906AE" w:rsidRPr="00EC0361">
              <w:rPr>
                <w:rStyle w:val="Hyperlink"/>
                <w:b/>
                <w:noProof/>
              </w:rPr>
              <w:t>5.6.3</w:t>
            </w:r>
            <w:r w:rsidR="00B906AE">
              <w:rPr>
                <w:rFonts w:eastAsiaTheme="minorEastAsia" w:cstheme="minorBidi"/>
                <w:noProof/>
                <w:kern w:val="2"/>
                <w:sz w:val="22"/>
                <w14:ligatures w14:val="standardContextual"/>
              </w:rPr>
              <w:tab/>
            </w:r>
            <w:r w:rsidR="00B906AE" w:rsidRPr="00EC0361">
              <w:rPr>
                <w:rStyle w:val="Hyperlink"/>
                <w:b/>
                <w:noProof/>
              </w:rPr>
              <w:t>Crop Production and Protection</w:t>
            </w:r>
            <w:r w:rsidR="00B906AE">
              <w:rPr>
                <w:noProof/>
                <w:webHidden/>
              </w:rPr>
              <w:tab/>
            </w:r>
            <w:r w:rsidR="00B906AE">
              <w:rPr>
                <w:noProof/>
                <w:webHidden/>
              </w:rPr>
              <w:fldChar w:fldCharType="begin"/>
            </w:r>
            <w:r w:rsidR="00B906AE">
              <w:rPr>
                <w:noProof/>
                <w:webHidden/>
              </w:rPr>
              <w:instrText xml:space="preserve"> PAGEREF _Toc160186042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EE7D14">
            <w:rPr>
              <w:noProof/>
            </w:rPr>
            <w:t>21</w:t>
          </w:r>
        </w:p>
        <w:p w14:paraId="21A1204D" w14:textId="18DB32F7"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43" w:history="1">
            <w:r w:rsidR="00B906AE" w:rsidRPr="00EC0361">
              <w:rPr>
                <w:rStyle w:val="Hyperlink"/>
                <w:b/>
                <w:noProof/>
              </w:rPr>
              <w:t>5.6.4</w:t>
            </w:r>
            <w:r w:rsidR="00B906AE">
              <w:rPr>
                <w:rFonts w:eastAsiaTheme="minorEastAsia" w:cstheme="minorBidi"/>
                <w:noProof/>
                <w:kern w:val="2"/>
                <w:sz w:val="22"/>
                <w14:ligatures w14:val="standardContextual"/>
              </w:rPr>
              <w:tab/>
            </w:r>
            <w:r w:rsidR="00B906AE" w:rsidRPr="00EC0361">
              <w:rPr>
                <w:rStyle w:val="Hyperlink"/>
                <w:b/>
                <w:noProof/>
              </w:rPr>
              <w:t>Nutrition, Food Safety, and Quality</w:t>
            </w:r>
            <w:r w:rsidR="00B906AE">
              <w:rPr>
                <w:noProof/>
                <w:webHidden/>
              </w:rPr>
              <w:tab/>
            </w:r>
            <w:r w:rsidR="00B906AE">
              <w:rPr>
                <w:noProof/>
                <w:webHidden/>
              </w:rPr>
              <w:fldChar w:fldCharType="begin"/>
            </w:r>
            <w:r w:rsidR="00B906AE">
              <w:rPr>
                <w:noProof/>
                <w:webHidden/>
              </w:rPr>
              <w:instrText xml:space="preserve"> PAGEREF _Toc160186043 \h </w:instrText>
            </w:r>
            <w:r w:rsidR="00B906AE">
              <w:rPr>
                <w:noProof/>
                <w:webHidden/>
              </w:rPr>
            </w:r>
            <w:r w:rsidR="00B906AE">
              <w:rPr>
                <w:noProof/>
                <w:webHidden/>
              </w:rPr>
              <w:fldChar w:fldCharType="separate"/>
            </w:r>
            <w:r w:rsidR="009033D2">
              <w:rPr>
                <w:noProof/>
                <w:webHidden/>
              </w:rPr>
              <w:t>14</w:t>
            </w:r>
            <w:r w:rsidR="00B906AE">
              <w:rPr>
                <w:noProof/>
                <w:webHidden/>
              </w:rPr>
              <w:fldChar w:fldCharType="end"/>
            </w:r>
          </w:hyperlink>
          <w:r w:rsidR="0082055F">
            <w:rPr>
              <w:noProof/>
            </w:rPr>
            <w:t>4</w:t>
          </w:r>
        </w:p>
        <w:p w14:paraId="3D60FD5E" w14:textId="2C8950B5"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44" w:history="1">
            <w:r w:rsidR="00B906AE" w:rsidRPr="00EC0361">
              <w:rPr>
                <w:rStyle w:val="Hyperlink"/>
                <w:b/>
                <w:noProof/>
              </w:rPr>
              <w:t>5.6.5</w:t>
            </w:r>
            <w:r w:rsidR="00B906AE">
              <w:rPr>
                <w:rFonts w:eastAsiaTheme="minorEastAsia" w:cstheme="minorBidi"/>
                <w:noProof/>
                <w:kern w:val="2"/>
                <w:sz w:val="22"/>
                <w14:ligatures w14:val="standardContextual"/>
              </w:rPr>
              <w:tab/>
            </w:r>
            <w:r w:rsidR="00B906AE" w:rsidRPr="00EC0361">
              <w:rPr>
                <w:rStyle w:val="Hyperlink"/>
                <w:b/>
                <w:noProof/>
              </w:rPr>
              <w:t>National Agricultural Library</w:t>
            </w:r>
            <w:r w:rsidR="00B906AE">
              <w:rPr>
                <w:noProof/>
                <w:webHidden/>
              </w:rPr>
              <w:tab/>
            </w:r>
            <w:r w:rsidR="00B906AE">
              <w:rPr>
                <w:noProof/>
                <w:webHidden/>
              </w:rPr>
              <w:fldChar w:fldCharType="begin"/>
            </w:r>
            <w:r w:rsidR="00B906AE">
              <w:rPr>
                <w:noProof/>
                <w:webHidden/>
              </w:rPr>
              <w:instrText xml:space="preserve"> PAGEREF _Toc160186044 \h </w:instrText>
            </w:r>
            <w:r w:rsidR="00B906AE">
              <w:rPr>
                <w:noProof/>
                <w:webHidden/>
              </w:rPr>
            </w:r>
            <w:r w:rsidR="00B906AE">
              <w:rPr>
                <w:noProof/>
                <w:webHidden/>
              </w:rPr>
              <w:fldChar w:fldCharType="separate"/>
            </w:r>
            <w:r w:rsidR="009033D2">
              <w:rPr>
                <w:noProof/>
                <w:webHidden/>
              </w:rPr>
              <w:t>14</w:t>
            </w:r>
            <w:r w:rsidR="00B906AE">
              <w:rPr>
                <w:noProof/>
                <w:webHidden/>
              </w:rPr>
              <w:fldChar w:fldCharType="end"/>
            </w:r>
          </w:hyperlink>
          <w:r w:rsidR="00DF208D">
            <w:rPr>
              <w:noProof/>
            </w:rPr>
            <w:t>9</w:t>
          </w:r>
        </w:p>
        <w:p w14:paraId="4CE4DF5B" w14:textId="49C503A5" w:rsidR="00B906AE" w:rsidRDefault="00B2178E">
          <w:pPr>
            <w:pStyle w:val="TOC1"/>
            <w:rPr>
              <w:rFonts w:eastAsiaTheme="minorEastAsia" w:cstheme="minorBidi"/>
              <w:b w:val="0"/>
              <w:noProof/>
              <w:kern w:val="2"/>
              <w:sz w:val="22"/>
              <w14:ligatures w14:val="standardContextual"/>
            </w:rPr>
          </w:pPr>
          <w:hyperlink w:anchor="_Toc160186045" w:history="1">
            <w:r w:rsidR="00B906AE" w:rsidRPr="00EC0361">
              <w:rPr>
                <w:rStyle w:val="Hyperlink"/>
                <w:rFonts w:cstheme="minorHAnsi"/>
                <w:noProof/>
              </w:rPr>
              <w:t>6</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Economic Research Service</w:t>
            </w:r>
            <w:r w:rsidR="00B906AE">
              <w:rPr>
                <w:noProof/>
                <w:webHidden/>
              </w:rPr>
              <w:tab/>
            </w:r>
            <w:r w:rsidR="00B906AE">
              <w:rPr>
                <w:noProof/>
                <w:webHidden/>
              </w:rPr>
              <w:fldChar w:fldCharType="begin"/>
            </w:r>
            <w:r w:rsidR="00B906AE">
              <w:rPr>
                <w:noProof/>
                <w:webHidden/>
              </w:rPr>
              <w:instrText xml:space="preserve"> PAGEREF _Toc160186045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712DDF">
            <w:rPr>
              <w:noProof/>
            </w:rPr>
            <w:t>51</w:t>
          </w:r>
        </w:p>
        <w:p w14:paraId="03598898" w14:textId="0B4FD657"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46" w:history="1">
            <w:r w:rsidR="00B906AE" w:rsidRPr="00EC0361">
              <w:rPr>
                <w:rStyle w:val="Hyperlink"/>
                <w:rFonts w:cstheme="minorHAnsi"/>
                <w:noProof/>
              </w:rPr>
              <w:t>6.1</w:t>
            </w:r>
            <w:r w:rsidR="00B906AE">
              <w:rPr>
                <w:rFonts w:eastAsiaTheme="minorEastAsia" w:cstheme="minorBidi"/>
                <w:noProof/>
                <w:kern w:val="2"/>
                <w:sz w:val="22"/>
                <w14:ligatures w14:val="standardContextual"/>
              </w:rPr>
              <w:tab/>
            </w:r>
            <w:r w:rsidR="00B906AE" w:rsidRPr="00EC0361">
              <w:rPr>
                <w:rStyle w:val="Hyperlink"/>
                <w:rFonts w:cstheme="minorHAnsi"/>
                <w:noProof/>
              </w:rPr>
              <w:t>Mission Statement</w:t>
            </w:r>
            <w:r w:rsidR="00B906AE">
              <w:rPr>
                <w:noProof/>
                <w:webHidden/>
              </w:rPr>
              <w:tab/>
            </w:r>
            <w:r w:rsidR="00B906AE">
              <w:rPr>
                <w:noProof/>
                <w:webHidden/>
              </w:rPr>
              <w:fldChar w:fldCharType="begin"/>
            </w:r>
            <w:r w:rsidR="00B906AE">
              <w:rPr>
                <w:noProof/>
                <w:webHidden/>
              </w:rPr>
              <w:instrText xml:space="preserve"> PAGEREF _Toc160186046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712DDF">
            <w:rPr>
              <w:noProof/>
            </w:rPr>
            <w:t>51</w:t>
          </w:r>
        </w:p>
        <w:p w14:paraId="1CD9DD3A" w14:textId="78DA641D"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47" w:history="1">
            <w:r w:rsidR="00B906AE" w:rsidRPr="00EC0361">
              <w:rPr>
                <w:rStyle w:val="Hyperlink"/>
                <w:rFonts w:cstheme="minorHAnsi"/>
                <w:noProof/>
              </w:rPr>
              <w:t>6.2</w:t>
            </w:r>
            <w:r w:rsidR="00B906AE">
              <w:rPr>
                <w:rFonts w:eastAsiaTheme="minorEastAsia" w:cstheme="minorBidi"/>
                <w:noProof/>
                <w:kern w:val="2"/>
                <w:sz w:val="22"/>
                <w14:ligatures w14:val="standardContextual"/>
              </w:rPr>
              <w:tab/>
            </w:r>
            <w:r w:rsidR="00B906AE" w:rsidRPr="00EC0361">
              <w:rPr>
                <w:rStyle w:val="Hyperlink"/>
                <w:rFonts w:cstheme="minorHAnsi"/>
                <w:noProof/>
              </w:rPr>
              <w:t>Nature and Structure of Program</w:t>
            </w:r>
            <w:r w:rsidR="00B906AE">
              <w:rPr>
                <w:noProof/>
                <w:webHidden/>
              </w:rPr>
              <w:tab/>
            </w:r>
            <w:r w:rsidR="00B906AE">
              <w:rPr>
                <w:noProof/>
                <w:webHidden/>
              </w:rPr>
              <w:fldChar w:fldCharType="begin"/>
            </w:r>
            <w:r w:rsidR="00B906AE">
              <w:rPr>
                <w:noProof/>
                <w:webHidden/>
              </w:rPr>
              <w:instrText xml:space="preserve"> PAGEREF _Toc160186047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712DDF">
            <w:rPr>
              <w:noProof/>
            </w:rPr>
            <w:t>51</w:t>
          </w:r>
        </w:p>
        <w:p w14:paraId="6D08C1C6" w14:textId="63A8A006"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48" w:history="1">
            <w:r w:rsidR="00B906AE" w:rsidRPr="00EC0361">
              <w:rPr>
                <w:rStyle w:val="Hyperlink"/>
                <w:rFonts w:cstheme="minorHAnsi"/>
                <w:noProof/>
              </w:rPr>
              <w:t>6.3</w:t>
            </w:r>
            <w:r w:rsidR="00B906AE">
              <w:rPr>
                <w:rFonts w:eastAsiaTheme="minorEastAsia" w:cstheme="minorBidi"/>
                <w:noProof/>
                <w:kern w:val="2"/>
                <w:sz w:val="22"/>
                <w14:ligatures w14:val="standardContextual"/>
              </w:rPr>
              <w:tab/>
            </w:r>
            <w:r w:rsidR="00B906AE" w:rsidRPr="00EC0361">
              <w:rPr>
                <w:rStyle w:val="Hyperlink"/>
                <w:rFonts w:cstheme="minorHAnsi"/>
                <w:noProof/>
              </w:rPr>
              <w:t>Dissemination of Findings</w:t>
            </w:r>
            <w:r w:rsidR="00B906AE">
              <w:rPr>
                <w:noProof/>
                <w:webHidden/>
              </w:rPr>
              <w:tab/>
            </w:r>
            <w:r w:rsidR="00B906AE">
              <w:rPr>
                <w:noProof/>
                <w:webHidden/>
              </w:rPr>
              <w:fldChar w:fldCharType="begin"/>
            </w:r>
            <w:r w:rsidR="00B906AE">
              <w:rPr>
                <w:noProof/>
                <w:webHidden/>
              </w:rPr>
              <w:instrText xml:space="preserve"> PAGEREF _Toc160186048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FC3E7C">
            <w:rPr>
              <w:noProof/>
            </w:rPr>
            <w:t>51</w:t>
          </w:r>
        </w:p>
        <w:p w14:paraId="03FEC29E" w14:textId="08C77A62"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49" w:history="1">
            <w:r w:rsidR="00B906AE" w:rsidRPr="00EC0361">
              <w:rPr>
                <w:rStyle w:val="Hyperlink"/>
                <w:rFonts w:cstheme="minorHAnsi"/>
                <w:noProof/>
              </w:rPr>
              <w:t>6.4</w:t>
            </w:r>
            <w:r w:rsidR="00B906AE">
              <w:rPr>
                <w:rFonts w:eastAsiaTheme="minorEastAsia" w:cstheme="minorBidi"/>
                <w:noProof/>
                <w:kern w:val="2"/>
                <w:sz w:val="22"/>
                <w14:ligatures w14:val="standardContextual"/>
              </w:rPr>
              <w:tab/>
            </w:r>
            <w:r w:rsidR="00B906AE" w:rsidRPr="00EC0361">
              <w:rPr>
                <w:rStyle w:val="Hyperlink"/>
                <w:rFonts w:cstheme="minorHAnsi"/>
                <w:noProof/>
              </w:rPr>
              <w:t>Current Technology Transfer Goals, Objectives, and Measures of Success (Metrics)</w:t>
            </w:r>
            <w:r w:rsidR="00B906AE">
              <w:rPr>
                <w:noProof/>
                <w:webHidden/>
              </w:rPr>
              <w:tab/>
            </w:r>
            <w:r w:rsidR="00B906AE">
              <w:rPr>
                <w:noProof/>
                <w:webHidden/>
              </w:rPr>
              <w:fldChar w:fldCharType="begin"/>
            </w:r>
            <w:r w:rsidR="00B906AE">
              <w:rPr>
                <w:noProof/>
                <w:webHidden/>
              </w:rPr>
              <w:instrText xml:space="preserve"> PAGEREF _Toc160186049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706EB4">
            <w:rPr>
              <w:noProof/>
            </w:rPr>
            <w:t>2</w:t>
          </w:r>
        </w:p>
        <w:p w14:paraId="5F7CDA46" w14:textId="31D90F4C"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50" w:history="1">
            <w:r w:rsidR="00B906AE" w:rsidRPr="00EC0361">
              <w:rPr>
                <w:rStyle w:val="Hyperlink"/>
                <w:noProof/>
              </w:rPr>
              <w:t>6.4.1</w:t>
            </w:r>
            <w:r w:rsidR="00B906AE">
              <w:rPr>
                <w:rFonts w:eastAsiaTheme="minorEastAsia" w:cstheme="minorBidi"/>
                <w:noProof/>
                <w:kern w:val="2"/>
                <w:sz w:val="22"/>
                <w14:ligatures w14:val="standardContextual"/>
              </w:rPr>
              <w:tab/>
            </w:r>
            <w:r w:rsidR="00B906AE" w:rsidRPr="00EC0361">
              <w:rPr>
                <w:rStyle w:val="Hyperlink"/>
                <w:noProof/>
              </w:rPr>
              <w:t>Strengthening Current Activities</w:t>
            </w:r>
            <w:r w:rsidR="00B906AE">
              <w:rPr>
                <w:noProof/>
                <w:webHidden/>
              </w:rPr>
              <w:tab/>
            </w:r>
            <w:r w:rsidR="00B906AE">
              <w:rPr>
                <w:noProof/>
                <w:webHidden/>
              </w:rPr>
              <w:fldChar w:fldCharType="begin"/>
            </w:r>
            <w:r w:rsidR="00B906AE">
              <w:rPr>
                <w:noProof/>
                <w:webHidden/>
              </w:rPr>
              <w:instrText xml:space="preserve"> PAGEREF _Toc160186050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706EB4">
            <w:rPr>
              <w:noProof/>
            </w:rPr>
            <w:t>2</w:t>
          </w:r>
        </w:p>
        <w:p w14:paraId="53CE9615" w14:textId="1CDF46F7"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51" w:history="1">
            <w:r w:rsidR="00B906AE" w:rsidRPr="00EC0361">
              <w:rPr>
                <w:rStyle w:val="Hyperlink"/>
                <w:noProof/>
              </w:rPr>
              <w:t>6.4.2</w:t>
            </w:r>
            <w:r w:rsidR="00B906AE">
              <w:rPr>
                <w:rFonts w:eastAsiaTheme="minorEastAsia" w:cstheme="minorBidi"/>
                <w:noProof/>
                <w:kern w:val="2"/>
                <w:sz w:val="22"/>
                <w14:ligatures w14:val="standardContextual"/>
              </w:rPr>
              <w:tab/>
            </w:r>
            <w:r w:rsidR="00B906AE" w:rsidRPr="00EC0361">
              <w:rPr>
                <w:rStyle w:val="Hyperlink"/>
                <w:noProof/>
              </w:rPr>
              <w:t>Leveraging Nascent Technologies</w:t>
            </w:r>
            <w:r w:rsidR="00B906AE">
              <w:rPr>
                <w:noProof/>
                <w:webHidden/>
              </w:rPr>
              <w:tab/>
            </w:r>
            <w:r w:rsidR="00B906AE">
              <w:rPr>
                <w:noProof/>
                <w:webHidden/>
              </w:rPr>
              <w:fldChar w:fldCharType="begin"/>
            </w:r>
            <w:r w:rsidR="00B906AE">
              <w:rPr>
                <w:noProof/>
                <w:webHidden/>
              </w:rPr>
              <w:instrText xml:space="preserve"> PAGEREF _Toc160186051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706EB4">
            <w:rPr>
              <w:noProof/>
            </w:rPr>
            <w:t>2</w:t>
          </w:r>
        </w:p>
        <w:p w14:paraId="376077A0" w14:textId="1C01D4A2"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52" w:history="1">
            <w:r w:rsidR="00B906AE" w:rsidRPr="00EC0361">
              <w:rPr>
                <w:rStyle w:val="Hyperlink"/>
                <w:noProof/>
              </w:rPr>
              <w:t>6.4.2.1</w:t>
            </w:r>
            <w:r w:rsidR="00B906AE">
              <w:rPr>
                <w:rFonts w:eastAsiaTheme="minorEastAsia" w:cstheme="minorBidi"/>
                <w:noProof/>
                <w:kern w:val="2"/>
                <w:sz w:val="22"/>
                <w14:ligatures w14:val="standardContextual"/>
              </w:rPr>
              <w:tab/>
            </w:r>
            <w:r w:rsidR="00B906AE" w:rsidRPr="00EC0361">
              <w:rPr>
                <w:rStyle w:val="Hyperlink"/>
                <w:noProof/>
              </w:rPr>
              <w:t>ERS Social Media</w:t>
            </w:r>
            <w:r w:rsidR="00B906AE">
              <w:rPr>
                <w:noProof/>
                <w:webHidden/>
              </w:rPr>
              <w:tab/>
            </w:r>
            <w:r w:rsidR="00B906AE">
              <w:rPr>
                <w:noProof/>
                <w:webHidden/>
              </w:rPr>
              <w:fldChar w:fldCharType="begin"/>
            </w:r>
            <w:r w:rsidR="00B906AE">
              <w:rPr>
                <w:noProof/>
                <w:webHidden/>
              </w:rPr>
              <w:instrText xml:space="preserve"> PAGEREF _Toc160186052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706EB4">
            <w:rPr>
              <w:noProof/>
            </w:rPr>
            <w:t>2</w:t>
          </w:r>
        </w:p>
        <w:p w14:paraId="0ADA005B" w14:textId="324BFDBD"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53" w:history="1">
            <w:r w:rsidR="00B906AE" w:rsidRPr="00EC0361">
              <w:rPr>
                <w:rStyle w:val="Hyperlink"/>
                <w:noProof/>
              </w:rPr>
              <w:t>6.4.2.2</w:t>
            </w:r>
            <w:r w:rsidR="00B906AE">
              <w:rPr>
                <w:rFonts w:eastAsiaTheme="minorEastAsia" w:cstheme="minorBidi"/>
                <w:noProof/>
                <w:kern w:val="2"/>
                <w:sz w:val="22"/>
                <w14:ligatures w14:val="standardContextual"/>
              </w:rPr>
              <w:tab/>
            </w:r>
            <w:r w:rsidR="00B906AE" w:rsidRPr="00EC0361">
              <w:rPr>
                <w:rStyle w:val="Hyperlink"/>
                <w:noProof/>
              </w:rPr>
              <w:t>Responsive, Device-Agnostic Design</w:t>
            </w:r>
            <w:r w:rsidR="00B906AE">
              <w:rPr>
                <w:noProof/>
                <w:webHidden/>
              </w:rPr>
              <w:tab/>
            </w:r>
            <w:r w:rsidR="00B906AE">
              <w:rPr>
                <w:noProof/>
                <w:webHidden/>
              </w:rPr>
              <w:fldChar w:fldCharType="begin"/>
            </w:r>
            <w:r w:rsidR="00B906AE">
              <w:rPr>
                <w:noProof/>
                <w:webHidden/>
              </w:rPr>
              <w:instrText xml:space="preserve"> PAGEREF _Toc160186053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306EB4">
            <w:rPr>
              <w:noProof/>
            </w:rPr>
            <w:t>3</w:t>
          </w:r>
        </w:p>
        <w:p w14:paraId="684C649E" w14:textId="6F1B4C29"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54" w:history="1">
            <w:r w:rsidR="00B906AE" w:rsidRPr="00EC0361">
              <w:rPr>
                <w:rStyle w:val="Hyperlink"/>
                <w:noProof/>
              </w:rPr>
              <w:t>6.4.2.3</w:t>
            </w:r>
            <w:r w:rsidR="00B906AE">
              <w:rPr>
                <w:rFonts w:eastAsiaTheme="minorEastAsia" w:cstheme="minorBidi"/>
                <w:noProof/>
                <w:kern w:val="2"/>
                <w:sz w:val="22"/>
                <w14:ligatures w14:val="standardContextual"/>
              </w:rPr>
              <w:tab/>
            </w:r>
            <w:r w:rsidR="00B906AE" w:rsidRPr="00EC0361">
              <w:rPr>
                <w:rStyle w:val="Hyperlink"/>
                <w:noProof/>
              </w:rPr>
              <w:t>Data Visualizations</w:t>
            </w:r>
            <w:r w:rsidR="00B906AE">
              <w:rPr>
                <w:noProof/>
                <w:webHidden/>
              </w:rPr>
              <w:tab/>
            </w:r>
            <w:r w:rsidR="00B906AE">
              <w:rPr>
                <w:noProof/>
                <w:webHidden/>
              </w:rPr>
              <w:fldChar w:fldCharType="begin"/>
            </w:r>
            <w:r w:rsidR="00B906AE">
              <w:rPr>
                <w:noProof/>
                <w:webHidden/>
              </w:rPr>
              <w:instrText xml:space="preserve"> PAGEREF _Toc160186054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306EB4">
            <w:rPr>
              <w:noProof/>
            </w:rPr>
            <w:t>3</w:t>
          </w:r>
        </w:p>
        <w:p w14:paraId="55BCFF21" w14:textId="60BD05DD"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55" w:history="1">
            <w:r w:rsidR="00B906AE" w:rsidRPr="00EC0361">
              <w:rPr>
                <w:rStyle w:val="Hyperlink"/>
                <w:noProof/>
              </w:rPr>
              <w:t>6.4.2.3.1</w:t>
            </w:r>
            <w:r w:rsidR="00B906AE">
              <w:rPr>
                <w:rFonts w:eastAsiaTheme="minorEastAsia" w:cstheme="minorBidi"/>
                <w:noProof/>
                <w:kern w:val="2"/>
                <w:sz w:val="22"/>
                <w14:ligatures w14:val="standardContextual"/>
              </w:rPr>
              <w:tab/>
            </w:r>
            <w:r w:rsidR="00B906AE" w:rsidRPr="00EC0361">
              <w:rPr>
                <w:rStyle w:val="Hyperlink"/>
                <w:noProof/>
              </w:rPr>
              <w:t>Charts of Note</w:t>
            </w:r>
            <w:r w:rsidR="00B906AE">
              <w:rPr>
                <w:noProof/>
                <w:webHidden/>
              </w:rPr>
              <w:tab/>
            </w:r>
            <w:r w:rsidR="00B906AE">
              <w:rPr>
                <w:noProof/>
                <w:webHidden/>
              </w:rPr>
              <w:fldChar w:fldCharType="begin"/>
            </w:r>
            <w:r w:rsidR="00B906AE">
              <w:rPr>
                <w:noProof/>
                <w:webHidden/>
              </w:rPr>
              <w:instrText xml:space="preserve"> PAGEREF _Toc160186055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306EB4">
            <w:rPr>
              <w:noProof/>
            </w:rPr>
            <w:t>3</w:t>
          </w:r>
        </w:p>
        <w:p w14:paraId="4E9466E2" w14:textId="1CE33B0E"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56" w:history="1">
            <w:r w:rsidR="00B906AE" w:rsidRPr="00EC0361">
              <w:rPr>
                <w:rStyle w:val="Hyperlink"/>
                <w:noProof/>
              </w:rPr>
              <w:t>6.4.2.3.2</w:t>
            </w:r>
            <w:r w:rsidR="00B906AE">
              <w:rPr>
                <w:rFonts w:eastAsiaTheme="minorEastAsia" w:cstheme="minorBidi"/>
                <w:noProof/>
                <w:kern w:val="2"/>
                <w:sz w:val="22"/>
                <w14:ligatures w14:val="standardContextual"/>
              </w:rPr>
              <w:tab/>
            </w:r>
            <w:r w:rsidR="00B906AE" w:rsidRPr="00EC0361">
              <w:rPr>
                <w:rStyle w:val="Hyperlink"/>
                <w:noProof/>
              </w:rPr>
              <w:t>Web Content Application Programming Interface (API)</w:t>
            </w:r>
            <w:r w:rsidR="00B906AE">
              <w:rPr>
                <w:noProof/>
                <w:webHidden/>
              </w:rPr>
              <w:tab/>
            </w:r>
            <w:r w:rsidR="00B906AE">
              <w:rPr>
                <w:noProof/>
                <w:webHidden/>
              </w:rPr>
              <w:fldChar w:fldCharType="begin"/>
            </w:r>
            <w:r w:rsidR="00B906AE">
              <w:rPr>
                <w:noProof/>
                <w:webHidden/>
              </w:rPr>
              <w:instrText xml:space="preserve"> PAGEREF _Toc160186056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CB0F7F">
            <w:rPr>
              <w:noProof/>
            </w:rPr>
            <w:t>3</w:t>
          </w:r>
        </w:p>
        <w:p w14:paraId="2E3BDA66" w14:textId="18BA09DD"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57" w:history="1">
            <w:r w:rsidR="00B906AE" w:rsidRPr="00EC0361">
              <w:rPr>
                <w:rStyle w:val="Hyperlink"/>
                <w:noProof/>
              </w:rPr>
              <w:t>6.4.2.3.3</w:t>
            </w:r>
            <w:r w:rsidR="00B906AE">
              <w:rPr>
                <w:rFonts w:eastAsiaTheme="minorEastAsia" w:cstheme="minorBidi"/>
                <w:noProof/>
                <w:kern w:val="2"/>
                <w:sz w:val="22"/>
                <w14:ligatures w14:val="standardContextual"/>
              </w:rPr>
              <w:tab/>
            </w:r>
            <w:r w:rsidR="00B906AE" w:rsidRPr="00EC0361">
              <w:rPr>
                <w:rStyle w:val="Hyperlink"/>
                <w:noProof/>
              </w:rPr>
              <w:t>Geospatial APIs</w:t>
            </w:r>
            <w:r w:rsidR="00B906AE">
              <w:rPr>
                <w:noProof/>
                <w:webHidden/>
              </w:rPr>
              <w:tab/>
            </w:r>
            <w:r w:rsidR="00B906AE">
              <w:rPr>
                <w:noProof/>
                <w:webHidden/>
              </w:rPr>
              <w:fldChar w:fldCharType="begin"/>
            </w:r>
            <w:r w:rsidR="00B906AE">
              <w:rPr>
                <w:noProof/>
                <w:webHidden/>
              </w:rPr>
              <w:instrText xml:space="preserve"> PAGEREF _Toc160186057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CB0F7F">
            <w:rPr>
              <w:noProof/>
            </w:rPr>
            <w:t>3</w:t>
          </w:r>
        </w:p>
        <w:p w14:paraId="49363CEB" w14:textId="297B8E85"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58" w:history="1">
            <w:r w:rsidR="00B906AE" w:rsidRPr="00EC0361">
              <w:rPr>
                <w:rStyle w:val="Hyperlink"/>
                <w:noProof/>
              </w:rPr>
              <w:t>6.4.2.3.4</w:t>
            </w:r>
            <w:r w:rsidR="00B906AE">
              <w:rPr>
                <w:rFonts w:eastAsiaTheme="minorEastAsia" w:cstheme="minorBidi"/>
                <w:noProof/>
                <w:kern w:val="2"/>
                <w:sz w:val="22"/>
                <w14:ligatures w14:val="standardContextual"/>
              </w:rPr>
              <w:tab/>
            </w:r>
            <w:r w:rsidR="00B906AE" w:rsidRPr="00EC0361">
              <w:rPr>
                <w:rStyle w:val="Hyperlink"/>
                <w:noProof/>
              </w:rPr>
              <w:t>Open-Source Methodologies</w:t>
            </w:r>
            <w:r w:rsidR="00B906AE">
              <w:rPr>
                <w:noProof/>
                <w:webHidden/>
              </w:rPr>
              <w:tab/>
            </w:r>
            <w:r w:rsidR="00B906AE">
              <w:rPr>
                <w:noProof/>
                <w:webHidden/>
              </w:rPr>
              <w:fldChar w:fldCharType="begin"/>
            </w:r>
            <w:r w:rsidR="00B906AE">
              <w:rPr>
                <w:noProof/>
                <w:webHidden/>
              </w:rPr>
              <w:instrText xml:space="preserve"> PAGEREF _Toc160186058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FF468B">
            <w:rPr>
              <w:noProof/>
            </w:rPr>
            <w:t>4</w:t>
          </w:r>
        </w:p>
        <w:p w14:paraId="40CBD03F" w14:textId="0ACF8C65"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59" w:history="1">
            <w:r w:rsidR="00B906AE" w:rsidRPr="00EC0361">
              <w:rPr>
                <w:rStyle w:val="Hyperlink"/>
                <w:noProof/>
              </w:rPr>
              <w:t>6.4.3</w:t>
            </w:r>
            <w:r w:rsidR="00B906AE">
              <w:rPr>
                <w:rFonts w:eastAsiaTheme="minorEastAsia" w:cstheme="minorBidi"/>
                <w:noProof/>
                <w:kern w:val="2"/>
                <w:sz w:val="22"/>
                <w14:ligatures w14:val="standardContextual"/>
              </w:rPr>
              <w:tab/>
            </w:r>
            <w:r w:rsidR="00B906AE" w:rsidRPr="00EC0361">
              <w:rPr>
                <w:rStyle w:val="Hyperlink"/>
                <w:noProof/>
              </w:rPr>
              <w:t>Metrics &amp; Analytics</w:t>
            </w:r>
            <w:r w:rsidR="00B906AE">
              <w:rPr>
                <w:noProof/>
                <w:webHidden/>
              </w:rPr>
              <w:tab/>
            </w:r>
            <w:r w:rsidR="00B906AE">
              <w:rPr>
                <w:noProof/>
                <w:webHidden/>
              </w:rPr>
              <w:fldChar w:fldCharType="begin"/>
            </w:r>
            <w:r w:rsidR="00B906AE">
              <w:rPr>
                <w:noProof/>
                <w:webHidden/>
              </w:rPr>
              <w:instrText xml:space="preserve"> PAGEREF _Toc160186059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FF468B">
            <w:rPr>
              <w:noProof/>
            </w:rPr>
            <w:t>4</w:t>
          </w:r>
        </w:p>
        <w:p w14:paraId="6600E8A9" w14:textId="41420D6C"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60" w:history="1">
            <w:r w:rsidR="00B906AE" w:rsidRPr="00EC0361">
              <w:rPr>
                <w:rStyle w:val="Hyperlink"/>
                <w:rFonts w:cstheme="minorHAnsi"/>
                <w:noProof/>
              </w:rPr>
              <w:t>6.5</w:t>
            </w:r>
            <w:r w:rsidR="00B906AE">
              <w:rPr>
                <w:rFonts w:eastAsiaTheme="minorEastAsia" w:cstheme="minorBidi"/>
                <w:noProof/>
                <w:kern w:val="2"/>
                <w:sz w:val="22"/>
                <w14:ligatures w14:val="standardContextual"/>
              </w:rPr>
              <w:tab/>
            </w:r>
            <w:r w:rsidR="00B906AE" w:rsidRPr="00EC0361">
              <w:rPr>
                <w:rStyle w:val="Hyperlink"/>
                <w:rFonts w:cstheme="minorHAnsi"/>
                <w:noProof/>
              </w:rPr>
              <w:t>Downstream Outcomes</w:t>
            </w:r>
            <w:r w:rsidR="00B906AE">
              <w:rPr>
                <w:noProof/>
                <w:webHidden/>
              </w:rPr>
              <w:tab/>
            </w:r>
            <w:r w:rsidR="00B906AE">
              <w:rPr>
                <w:noProof/>
                <w:webHidden/>
              </w:rPr>
              <w:fldChar w:fldCharType="begin"/>
            </w:r>
            <w:r w:rsidR="00B906AE">
              <w:rPr>
                <w:noProof/>
                <w:webHidden/>
              </w:rPr>
              <w:instrText xml:space="preserve"> PAGEREF _Toc160186060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FF468B">
            <w:rPr>
              <w:noProof/>
            </w:rPr>
            <w:t>4</w:t>
          </w:r>
        </w:p>
        <w:p w14:paraId="4BEA8B30" w14:textId="5DBA26EE"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61" w:history="1">
            <w:r w:rsidR="00B906AE" w:rsidRPr="00EC0361">
              <w:rPr>
                <w:rStyle w:val="Hyperlink"/>
                <w:noProof/>
              </w:rPr>
              <w:t>6.5.1.1.1</w:t>
            </w:r>
            <w:r w:rsidR="00B906AE">
              <w:rPr>
                <w:rFonts w:eastAsiaTheme="minorEastAsia" w:cstheme="minorBidi"/>
                <w:noProof/>
                <w:kern w:val="2"/>
                <w:sz w:val="22"/>
                <w14:ligatures w14:val="standardContextual"/>
              </w:rPr>
              <w:tab/>
            </w:r>
            <w:r w:rsidR="00B906AE" w:rsidRPr="00EC0361">
              <w:rPr>
                <w:rStyle w:val="Hyperlink"/>
                <w:noProof/>
              </w:rPr>
              <w:t>USDA’s National Household Food Acquisition and Purchase Survey (FoodAPS)</w:t>
            </w:r>
            <w:r w:rsidR="00B906AE">
              <w:rPr>
                <w:noProof/>
                <w:webHidden/>
              </w:rPr>
              <w:tab/>
            </w:r>
            <w:r w:rsidR="00B906AE">
              <w:rPr>
                <w:noProof/>
                <w:webHidden/>
              </w:rPr>
              <w:fldChar w:fldCharType="begin"/>
            </w:r>
            <w:r w:rsidR="00B906AE">
              <w:rPr>
                <w:noProof/>
                <w:webHidden/>
              </w:rPr>
              <w:instrText xml:space="preserve"> PAGEREF _Toc160186061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3779D9">
            <w:rPr>
              <w:noProof/>
            </w:rPr>
            <w:t>4</w:t>
          </w:r>
        </w:p>
        <w:p w14:paraId="7FEA8A93" w14:textId="43584DC2"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62" w:history="1">
            <w:r w:rsidR="00B906AE" w:rsidRPr="00EC0361">
              <w:rPr>
                <w:rStyle w:val="Hyperlink"/>
                <w:noProof/>
              </w:rPr>
              <w:t>6.5.1.1.2</w:t>
            </w:r>
            <w:r w:rsidR="00B906AE">
              <w:rPr>
                <w:rFonts w:eastAsiaTheme="minorEastAsia" w:cstheme="minorBidi"/>
                <w:noProof/>
                <w:kern w:val="2"/>
                <w:sz w:val="22"/>
                <w14:ligatures w14:val="standardContextual"/>
              </w:rPr>
              <w:tab/>
            </w:r>
            <w:r w:rsidR="00B906AE" w:rsidRPr="00EC0361">
              <w:rPr>
                <w:rStyle w:val="Hyperlink"/>
                <w:noProof/>
              </w:rPr>
              <w:t>ERS Atlas of Rural and Small-town America</w:t>
            </w:r>
            <w:r w:rsidR="00B906AE">
              <w:rPr>
                <w:noProof/>
                <w:webHidden/>
              </w:rPr>
              <w:tab/>
            </w:r>
            <w:r w:rsidR="00B906AE">
              <w:rPr>
                <w:noProof/>
                <w:webHidden/>
              </w:rPr>
              <w:fldChar w:fldCharType="begin"/>
            </w:r>
            <w:r w:rsidR="00B906AE">
              <w:rPr>
                <w:noProof/>
                <w:webHidden/>
              </w:rPr>
              <w:instrText xml:space="preserve"> PAGEREF _Toc160186062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240B26">
            <w:rPr>
              <w:noProof/>
            </w:rPr>
            <w:t>5</w:t>
          </w:r>
        </w:p>
        <w:p w14:paraId="63D316F2" w14:textId="36190B24"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63" w:history="1">
            <w:r w:rsidR="00B906AE" w:rsidRPr="00EC0361">
              <w:rPr>
                <w:rStyle w:val="Hyperlink"/>
                <w:noProof/>
              </w:rPr>
              <w:t>6.5.1.1.3</w:t>
            </w:r>
            <w:r w:rsidR="00B906AE">
              <w:rPr>
                <w:rFonts w:eastAsiaTheme="minorEastAsia" w:cstheme="minorBidi"/>
                <w:noProof/>
                <w:kern w:val="2"/>
                <w:sz w:val="22"/>
                <w14:ligatures w14:val="standardContextual"/>
              </w:rPr>
              <w:tab/>
            </w:r>
            <w:r w:rsidR="00B906AE" w:rsidRPr="00EC0361">
              <w:rPr>
                <w:rStyle w:val="Hyperlink"/>
                <w:noProof/>
              </w:rPr>
              <w:t>ERS Food Environment Atlas</w:t>
            </w:r>
            <w:r w:rsidR="00B906AE">
              <w:rPr>
                <w:noProof/>
                <w:webHidden/>
              </w:rPr>
              <w:tab/>
            </w:r>
            <w:r w:rsidR="00B906AE">
              <w:rPr>
                <w:noProof/>
                <w:webHidden/>
              </w:rPr>
              <w:fldChar w:fldCharType="begin"/>
            </w:r>
            <w:r w:rsidR="00B906AE">
              <w:rPr>
                <w:noProof/>
                <w:webHidden/>
              </w:rPr>
              <w:instrText xml:space="preserve"> PAGEREF _Toc160186063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240B26">
            <w:rPr>
              <w:noProof/>
            </w:rPr>
            <w:t>5</w:t>
          </w:r>
        </w:p>
        <w:p w14:paraId="34243155" w14:textId="52D2C646" w:rsidR="00B906AE" w:rsidRDefault="00B2178E">
          <w:pPr>
            <w:pStyle w:val="TOC5"/>
            <w:tabs>
              <w:tab w:val="left" w:pos="2031"/>
              <w:tab w:val="right" w:leader="dot" w:pos="10070"/>
            </w:tabs>
            <w:rPr>
              <w:rFonts w:eastAsiaTheme="minorEastAsia" w:cstheme="minorBidi"/>
              <w:noProof/>
              <w:kern w:val="2"/>
              <w:sz w:val="22"/>
              <w14:ligatures w14:val="standardContextual"/>
            </w:rPr>
          </w:pPr>
          <w:hyperlink w:anchor="_Toc160186064" w:history="1">
            <w:r w:rsidR="00B906AE" w:rsidRPr="00EC0361">
              <w:rPr>
                <w:rStyle w:val="Hyperlink"/>
                <w:noProof/>
              </w:rPr>
              <w:t>6.5.1.1.4</w:t>
            </w:r>
            <w:r w:rsidR="00B906AE">
              <w:rPr>
                <w:rFonts w:eastAsiaTheme="minorEastAsia" w:cstheme="minorBidi"/>
                <w:noProof/>
                <w:kern w:val="2"/>
                <w:sz w:val="22"/>
                <w14:ligatures w14:val="standardContextual"/>
              </w:rPr>
              <w:tab/>
            </w:r>
            <w:r w:rsidR="00B906AE" w:rsidRPr="00EC0361">
              <w:rPr>
                <w:rStyle w:val="Hyperlink"/>
                <w:noProof/>
              </w:rPr>
              <w:t>ERS Insights Webinar Series</w:t>
            </w:r>
            <w:r w:rsidR="00B906AE">
              <w:rPr>
                <w:noProof/>
                <w:webHidden/>
              </w:rPr>
              <w:tab/>
            </w:r>
            <w:r w:rsidR="00B906AE">
              <w:rPr>
                <w:noProof/>
                <w:webHidden/>
              </w:rPr>
              <w:fldChar w:fldCharType="begin"/>
            </w:r>
            <w:r w:rsidR="00B906AE">
              <w:rPr>
                <w:noProof/>
                <w:webHidden/>
              </w:rPr>
              <w:instrText xml:space="preserve"> PAGEREF _Toc160186064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240B26">
            <w:rPr>
              <w:noProof/>
            </w:rPr>
            <w:t>5</w:t>
          </w:r>
        </w:p>
        <w:p w14:paraId="6B856789" w14:textId="0D46146A"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65" w:history="1">
            <w:r w:rsidR="00B906AE" w:rsidRPr="00EC0361">
              <w:rPr>
                <w:rStyle w:val="Hyperlink"/>
                <w:rFonts w:cstheme="minorHAnsi"/>
                <w:noProof/>
              </w:rPr>
              <w:t>6.6</w:t>
            </w:r>
            <w:r w:rsidR="00B906AE">
              <w:rPr>
                <w:rFonts w:eastAsiaTheme="minorEastAsia" w:cstheme="minorBidi"/>
                <w:noProof/>
                <w:kern w:val="2"/>
                <w:sz w:val="22"/>
                <w14:ligatures w14:val="standardContextual"/>
              </w:rPr>
              <w:tab/>
            </w:r>
            <w:r w:rsidR="00B906AE" w:rsidRPr="00EC0361">
              <w:rPr>
                <w:rStyle w:val="Hyperlink"/>
                <w:rFonts w:cstheme="minorHAnsi"/>
                <w:noProof/>
              </w:rPr>
              <w:t>Publications</w:t>
            </w:r>
            <w:r w:rsidR="00B906AE">
              <w:rPr>
                <w:noProof/>
                <w:webHidden/>
              </w:rPr>
              <w:tab/>
            </w:r>
            <w:r w:rsidR="00B906AE">
              <w:rPr>
                <w:noProof/>
                <w:webHidden/>
              </w:rPr>
              <w:fldChar w:fldCharType="begin"/>
            </w:r>
            <w:r w:rsidR="00B906AE">
              <w:rPr>
                <w:noProof/>
                <w:webHidden/>
              </w:rPr>
              <w:instrText xml:space="preserve"> PAGEREF _Toc160186065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C31B21">
            <w:rPr>
              <w:noProof/>
            </w:rPr>
            <w:t>6</w:t>
          </w:r>
        </w:p>
        <w:p w14:paraId="77E1F4EB" w14:textId="46C4727F" w:rsidR="00B906AE" w:rsidRDefault="00B2178E">
          <w:pPr>
            <w:pStyle w:val="TOC1"/>
            <w:rPr>
              <w:rFonts w:eastAsiaTheme="minorEastAsia" w:cstheme="minorBidi"/>
              <w:b w:val="0"/>
              <w:noProof/>
              <w:kern w:val="2"/>
              <w:sz w:val="22"/>
              <w14:ligatures w14:val="standardContextual"/>
            </w:rPr>
          </w:pPr>
          <w:hyperlink w:anchor="_Toc160186066" w:history="1">
            <w:r w:rsidR="00B906AE" w:rsidRPr="00EC0361">
              <w:rPr>
                <w:rStyle w:val="Hyperlink"/>
                <w:rFonts w:ascii="Calibri" w:eastAsia="Times New Roman" w:hAnsi="Calibri" w:cs="Calibri"/>
                <w:noProof/>
                <w:kern w:val="32"/>
              </w:rPr>
              <w:t>7</w:t>
            </w:r>
            <w:r w:rsidR="00B906AE">
              <w:rPr>
                <w:rFonts w:eastAsiaTheme="minorEastAsia" w:cstheme="minorBidi"/>
                <w:b w:val="0"/>
                <w:noProof/>
                <w:kern w:val="2"/>
                <w:sz w:val="22"/>
                <w14:ligatures w14:val="standardContextual"/>
              </w:rPr>
              <w:tab/>
            </w:r>
            <w:r w:rsidR="00B906AE" w:rsidRPr="00EC0361">
              <w:rPr>
                <w:rStyle w:val="Hyperlink"/>
                <w:rFonts w:ascii="Calibri" w:eastAsia="Times New Roman" w:hAnsi="Calibri" w:cs="Calibri"/>
                <w:noProof/>
                <w:kern w:val="32"/>
              </w:rPr>
              <w:t>Food Safety and Inspection Service</w:t>
            </w:r>
            <w:r w:rsidR="00B906AE">
              <w:rPr>
                <w:noProof/>
                <w:webHidden/>
              </w:rPr>
              <w:tab/>
            </w:r>
            <w:r w:rsidR="00B906AE">
              <w:rPr>
                <w:noProof/>
                <w:webHidden/>
              </w:rPr>
              <w:fldChar w:fldCharType="begin"/>
            </w:r>
            <w:r w:rsidR="00B906AE">
              <w:rPr>
                <w:noProof/>
                <w:webHidden/>
              </w:rPr>
              <w:instrText xml:space="preserve"> PAGEREF _Toc160186066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C31B21">
            <w:rPr>
              <w:noProof/>
            </w:rPr>
            <w:t>7</w:t>
          </w:r>
        </w:p>
        <w:p w14:paraId="327DC8D8" w14:textId="56CB508B"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67" w:history="1">
            <w:r w:rsidR="00B906AE" w:rsidRPr="00EC0361">
              <w:rPr>
                <w:rStyle w:val="Hyperlink"/>
                <w:rFonts w:ascii="Calibri" w:eastAsia="Times New Roman" w:hAnsi="Calibri" w:cs="Calibri"/>
                <w:noProof/>
                <w:kern w:val="32"/>
              </w:rPr>
              <w:t>7.1</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Mission Statement</w:t>
            </w:r>
            <w:r w:rsidR="00B906AE">
              <w:rPr>
                <w:noProof/>
                <w:webHidden/>
              </w:rPr>
              <w:tab/>
            </w:r>
            <w:r w:rsidR="00B906AE">
              <w:rPr>
                <w:noProof/>
                <w:webHidden/>
              </w:rPr>
              <w:fldChar w:fldCharType="begin"/>
            </w:r>
            <w:r w:rsidR="00B906AE">
              <w:rPr>
                <w:noProof/>
                <w:webHidden/>
              </w:rPr>
              <w:instrText xml:space="preserve"> PAGEREF _Toc160186067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C31B21">
            <w:rPr>
              <w:noProof/>
            </w:rPr>
            <w:t>7</w:t>
          </w:r>
        </w:p>
        <w:p w14:paraId="1E8EC87C" w14:textId="68C7194A"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68" w:history="1">
            <w:r w:rsidR="00B906AE" w:rsidRPr="00EC0361">
              <w:rPr>
                <w:rStyle w:val="Hyperlink"/>
                <w:rFonts w:ascii="Calibri" w:eastAsia="Times New Roman" w:hAnsi="Calibri" w:cs="Calibri"/>
                <w:noProof/>
                <w:kern w:val="32"/>
              </w:rPr>
              <w:t>7.2</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Nature and Structure of Programs</w:t>
            </w:r>
            <w:r w:rsidR="00B906AE">
              <w:rPr>
                <w:noProof/>
                <w:webHidden/>
              </w:rPr>
              <w:tab/>
            </w:r>
            <w:r w:rsidR="00B906AE">
              <w:rPr>
                <w:noProof/>
                <w:webHidden/>
              </w:rPr>
              <w:fldChar w:fldCharType="begin"/>
            </w:r>
            <w:r w:rsidR="00B906AE">
              <w:rPr>
                <w:noProof/>
                <w:webHidden/>
              </w:rPr>
              <w:instrText xml:space="preserve"> PAGEREF _Toc160186068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C31B21">
            <w:rPr>
              <w:noProof/>
            </w:rPr>
            <w:t>7</w:t>
          </w:r>
        </w:p>
        <w:p w14:paraId="66ADF17F" w14:textId="275BC835"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69" w:history="1">
            <w:r w:rsidR="00B906AE" w:rsidRPr="00EC0361">
              <w:rPr>
                <w:rStyle w:val="Hyperlink"/>
                <w:rFonts w:ascii="Calibri" w:eastAsia="Times New Roman" w:hAnsi="Calibri" w:cs="Calibri"/>
                <w:noProof/>
                <w:kern w:val="32"/>
              </w:rPr>
              <w:t>7.3</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bdr w:val="none" w:sz="0" w:space="0" w:color="auto" w:frame="1"/>
              </w:rPr>
              <w:t>Activities in FY 2023</w:t>
            </w:r>
            <w:r w:rsidR="00B906AE">
              <w:rPr>
                <w:noProof/>
                <w:webHidden/>
              </w:rPr>
              <w:tab/>
            </w:r>
            <w:r w:rsidR="00B906AE">
              <w:rPr>
                <w:noProof/>
                <w:webHidden/>
              </w:rPr>
              <w:fldChar w:fldCharType="begin"/>
            </w:r>
            <w:r w:rsidR="00B906AE">
              <w:rPr>
                <w:noProof/>
                <w:webHidden/>
              </w:rPr>
              <w:instrText xml:space="preserve"> PAGEREF _Toc160186069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B74E69">
            <w:rPr>
              <w:noProof/>
            </w:rPr>
            <w:t>8</w:t>
          </w:r>
        </w:p>
        <w:p w14:paraId="3A1674AC" w14:textId="6961326C"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70" w:history="1">
            <w:r w:rsidR="00B906AE" w:rsidRPr="00EC0361">
              <w:rPr>
                <w:rStyle w:val="Hyperlink"/>
                <w:rFonts w:ascii="Calibri" w:eastAsia="Times New Roman" w:hAnsi="Calibri" w:cs="Calibri"/>
                <w:bCs/>
                <w:iCs/>
                <w:noProof/>
                <w:kern w:val="32"/>
              </w:rPr>
              <w:t>7.3.1</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Facilitating the Application of New Food Safety Technologies to Food Production</w:t>
            </w:r>
            <w:r w:rsidR="00B906AE">
              <w:rPr>
                <w:noProof/>
                <w:webHidden/>
              </w:rPr>
              <w:tab/>
            </w:r>
            <w:r w:rsidR="00B906AE">
              <w:rPr>
                <w:noProof/>
                <w:webHidden/>
              </w:rPr>
              <w:fldChar w:fldCharType="begin"/>
            </w:r>
            <w:r w:rsidR="00B906AE">
              <w:rPr>
                <w:noProof/>
                <w:webHidden/>
              </w:rPr>
              <w:instrText xml:space="preserve"> PAGEREF _Toc160186070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B74E69">
            <w:rPr>
              <w:noProof/>
            </w:rPr>
            <w:t>8</w:t>
          </w:r>
        </w:p>
        <w:p w14:paraId="0A86B4AB" w14:textId="5A1A7263"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71" w:history="1">
            <w:r w:rsidR="00B906AE" w:rsidRPr="00EC0361">
              <w:rPr>
                <w:rStyle w:val="Hyperlink"/>
                <w:rFonts w:ascii="Calibri" w:eastAsia="Times New Roman" w:hAnsi="Calibri" w:cs="Calibri"/>
                <w:bCs/>
                <w:iCs/>
                <w:noProof/>
                <w:kern w:val="32"/>
              </w:rPr>
              <w:t>7.3.2</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Guidance for Industry on Safe Food Production</w:t>
            </w:r>
            <w:r w:rsidR="00B906AE">
              <w:rPr>
                <w:noProof/>
                <w:webHidden/>
              </w:rPr>
              <w:tab/>
            </w:r>
            <w:r w:rsidR="00B906AE">
              <w:rPr>
                <w:noProof/>
                <w:webHidden/>
              </w:rPr>
              <w:fldChar w:fldCharType="begin"/>
            </w:r>
            <w:r w:rsidR="00B906AE">
              <w:rPr>
                <w:noProof/>
                <w:webHidden/>
              </w:rPr>
              <w:instrText xml:space="preserve"> PAGEREF _Toc160186071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3E1BEA">
            <w:rPr>
              <w:noProof/>
            </w:rPr>
            <w:t>8</w:t>
          </w:r>
        </w:p>
        <w:p w14:paraId="6CCDB0DA" w14:textId="65A2C8A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72" w:history="1">
            <w:r w:rsidR="00B906AE" w:rsidRPr="00EC0361">
              <w:rPr>
                <w:rStyle w:val="Hyperlink"/>
                <w:rFonts w:ascii="Calibri" w:eastAsia="Times New Roman" w:hAnsi="Calibri" w:cs="Calibri"/>
                <w:bCs/>
                <w:iCs/>
                <w:noProof/>
                <w:kern w:val="32"/>
              </w:rPr>
              <w:t>7.3.3</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Educating Consumers and Other Stakeholders on Science-Based Food Safety</w:t>
            </w:r>
            <w:r w:rsidR="00B906AE">
              <w:rPr>
                <w:noProof/>
                <w:webHidden/>
              </w:rPr>
              <w:tab/>
            </w:r>
            <w:r w:rsidR="00B906AE">
              <w:rPr>
                <w:noProof/>
                <w:webHidden/>
              </w:rPr>
              <w:fldChar w:fldCharType="begin"/>
            </w:r>
            <w:r w:rsidR="00B906AE">
              <w:rPr>
                <w:noProof/>
                <w:webHidden/>
              </w:rPr>
              <w:instrText xml:space="preserve"> PAGEREF _Toc160186072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3E1BEA">
            <w:rPr>
              <w:noProof/>
            </w:rPr>
            <w:t>8</w:t>
          </w:r>
        </w:p>
        <w:p w14:paraId="2A0685E5" w14:textId="60C989D7"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73" w:history="1">
            <w:r w:rsidR="00B906AE" w:rsidRPr="00EC0361">
              <w:rPr>
                <w:rStyle w:val="Hyperlink"/>
                <w:rFonts w:ascii="Calibri" w:eastAsia="Times New Roman" w:hAnsi="Calibri" w:cs="Calibri"/>
                <w:bCs/>
                <w:iCs/>
                <w:noProof/>
                <w:kern w:val="32"/>
              </w:rPr>
              <w:t>7.3.4</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Analytical Method Updates in FSIS Laboratories</w:t>
            </w:r>
            <w:r w:rsidR="00B906AE">
              <w:rPr>
                <w:noProof/>
                <w:webHidden/>
              </w:rPr>
              <w:tab/>
            </w:r>
            <w:r w:rsidR="00B906AE">
              <w:rPr>
                <w:noProof/>
                <w:webHidden/>
              </w:rPr>
              <w:fldChar w:fldCharType="begin"/>
            </w:r>
            <w:r w:rsidR="00B906AE">
              <w:rPr>
                <w:noProof/>
                <w:webHidden/>
              </w:rPr>
              <w:instrText xml:space="preserve"> PAGEREF _Toc160186073 \h </w:instrText>
            </w:r>
            <w:r w:rsidR="00B906AE">
              <w:rPr>
                <w:noProof/>
                <w:webHidden/>
              </w:rPr>
            </w:r>
            <w:r w:rsidR="00B906AE">
              <w:rPr>
                <w:noProof/>
                <w:webHidden/>
              </w:rPr>
              <w:fldChar w:fldCharType="separate"/>
            </w:r>
            <w:r w:rsidR="009033D2">
              <w:rPr>
                <w:noProof/>
                <w:webHidden/>
              </w:rPr>
              <w:t>15</w:t>
            </w:r>
            <w:r w:rsidR="00B906AE">
              <w:rPr>
                <w:noProof/>
                <w:webHidden/>
              </w:rPr>
              <w:fldChar w:fldCharType="end"/>
            </w:r>
          </w:hyperlink>
          <w:r w:rsidR="003E1BEA">
            <w:rPr>
              <w:noProof/>
            </w:rPr>
            <w:t>9</w:t>
          </w:r>
        </w:p>
        <w:p w14:paraId="574B6ED8" w14:textId="60E4E1A2"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74" w:history="1">
            <w:r w:rsidR="00B906AE" w:rsidRPr="00EC0361">
              <w:rPr>
                <w:rStyle w:val="Hyperlink"/>
                <w:rFonts w:ascii="Calibri" w:eastAsia="Times New Roman" w:hAnsi="Calibri" w:cs="Calibri"/>
                <w:bCs/>
                <w:iCs/>
                <w:noProof/>
                <w:kern w:val="32"/>
              </w:rPr>
              <w:t>7.3.4.1</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Microbiology Methods</w:t>
            </w:r>
            <w:r w:rsidR="00B906AE">
              <w:rPr>
                <w:noProof/>
                <w:webHidden/>
              </w:rPr>
              <w:tab/>
            </w:r>
            <w:r w:rsidR="00B906AE">
              <w:rPr>
                <w:noProof/>
                <w:webHidden/>
              </w:rPr>
              <w:fldChar w:fldCharType="begin"/>
            </w:r>
            <w:r w:rsidR="00B906AE">
              <w:rPr>
                <w:noProof/>
                <w:webHidden/>
              </w:rPr>
              <w:instrText xml:space="preserve"> PAGEREF _Toc160186074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AB5932">
            <w:rPr>
              <w:noProof/>
            </w:rPr>
            <w:t>60</w:t>
          </w:r>
        </w:p>
        <w:p w14:paraId="03E82758" w14:textId="5AC1BE2D"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75" w:history="1">
            <w:r w:rsidR="00B906AE" w:rsidRPr="00EC0361">
              <w:rPr>
                <w:rStyle w:val="Hyperlink"/>
                <w:rFonts w:ascii="Calibri" w:eastAsia="Times New Roman" w:hAnsi="Calibri" w:cs="Calibri"/>
                <w:bCs/>
                <w:iCs/>
                <w:noProof/>
                <w:kern w:val="32"/>
              </w:rPr>
              <w:t>7.3.4.2</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Chemistry Methods</w:t>
            </w:r>
            <w:r w:rsidR="00B906AE">
              <w:rPr>
                <w:noProof/>
                <w:webHidden/>
              </w:rPr>
              <w:tab/>
            </w:r>
            <w:r w:rsidR="00B906AE">
              <w:rPr>
                <w:noProof/>
                <w:webHidden/>
              </w:rPr>
              <w:fldChar w:fldCharType="begin"/>
            </w:r>
            <w:r w:rsidR="00B906AE">
              <w:rPr>
                <w:noProof/>
                <w:webHidden/>
              </w:rPr>
              <w:instrText xml:space="preserve"> PAGEREF _Toc160186075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AB5932">
            <w:rPr>
              <w:noProof/>
            </w:rPr>
            <w:t>60</w:t>
          </w:r>
        </w:p>
        <w:p w14:paraId="7C3A0A65" w14:textId="2B4CD5B6"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76" w:history="1">
            <w:r w:rsidR="00B906AE" w:rsidRPr="00EC0361">
              <w:rPr>
                <w:rStyle w:val="Hyperlink"/>
                <w:rFonts w:ascii="Calibri" w:eastAsia="Times New Roman" w:hAnsi="Calibri" w:cs="Calibri"/>
                <w:bCs/>
                <w:iCs/>
                <w:noProof/>
                <w:kern w:val="32"/>
              </w:rPr>
              <w:t>7.3.4.3</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Cell Cultured Poultry Product Testing</w:t>
            </w:r>
            <w:r w:rsidR="00B906AE">
              <w:rPr>
                <w:noProof/>
                <w:webHidden/>
              </w:rPr>
              <w:tab/>
            </w:r>
            <w:r w:rsidR="00B906AE">
              <w:rPr>
                <w:noProof/>
                <w:webHidden/>
              </w:rPr>
              <w:fldChar w:fldCharType="begin"/>
            </w:r>
            <w:r w:rsidR="00B906AE">
              <w:rPr>
                <w:noProof/>
                <w:webHidden/>
              </w:rPr>
              <w:instrText xml:space="preserve"> PAGEREF _Toc160186076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447E3D">
            <w:rPr>
              <w:noProof/>
            </w:rPr>
            <w:t>61</w:t>
          </w:r>
        </w:p>
        <w:p w14:paraId="59ADC411" w14:textId="15A85B65" w:rsidR="00B906AE" w:rsidRDefault="00B2178E">
          <w:pPr>
            <w:pStyle w:val="TOC4"/>
            <w:tabs>
              <w:tab w:val="left" w:pos="1760"/>
              <w:tab w:val="right" w:leader="dot" w:pos="10070"/>
            </w:tabs>
            <w:rPr>
              <w:rFonts w:eastAsiaTheme="minorEastAsia" w:cstheme="minorBidi"/>
              <w:noProof/>
              <w:kern w:val="2"/>
              <w:sz w:val="22"/>
              <w14:ligatures w14:val="standardContextual"/>
            </w:rPr>
          </w:pPr>
          <w:hyperlink w:anchor="_Toc160186077" w:history="1">
            <w:r w:rsidR="00B906AE" w:rsidRPr="00EC0361">
              <w:rPr>
                <w:rStyle w:val="Hyperlink"/>
                <w:rFonts w:ascii="Calibri" w:eastAsia="Times New Roman" w:hAnsi="Calibri" w:cs="Calibri"/>
                <w:bCs/>
                <w:iCs/>
                <w:noProof/>
                <w:kern w:val="32"/>
              </w:rPr>
              <w:t>7.3.4.4</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Maintaining and Updating Research and Development Agreements</w:t>
            </w:r>
            <w:r w:rsidR="00B906AE">
              <w:rPr>
                <w:noProof/>
                <w:webHidden/>
              </w:rPr>
              <w:tab/>
            </w:r>
            <w:r w:rsidR="00B906AE">
              <w:rPr>
                <w:noProof/>
                <w:webHidden/>
              </w:rPr>
              <w:fldChar w:fldCharType="begin"/>
            </w:r>
            <w:r w:rsidR="00B906AE">
              <w:rPr>
                <w:noProof/>
                <w:webHidden/>
              </w:rPr>
              <w:instrText xml:space="preserve"> PAGEREF _Toc160186077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447E3D">
            <w:rPr>
              <w:noProof/>
            </w:rPr>
            <w:t>61</w:t>
          </w:r>
        </w:p>
        <w:p w14:paraId="7A47B848" w14:textId="44989879"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78" w:history="1">
            <w:r w:rsidR="00B906AE" w:rsidRPr="00EC0361">
              <w:rPr>
                <w:rStyle w:val="Hyperlink"/>
                <w:rFonts w:ascii="Calibri" w:eastAsia="Times New Roman" w:hAnsi="Calibri" w:cs="Calibri"/>
                <w:noProof/>
                <w:kern w:val="32"/>
              </w:rPr>
              <w:t>7.4</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Research Priorities</w:t>
            </w:r>
            <w:r w:rsidR="00B906AE">
              <w:rPr>
                <w:noProof/>
                <w:webHidden/>
              </w:rPr>
              <w:tab/>
            </w:r>
            <w:r w:rsidR="00B906AE">
              <w:rPr>
                <w:noProof/>
                <w:webHidden/>
              </w:rPr>
              <w:fldChar w:fldCharType="begin"/>
            </w:r>
            <w:r w:rsidR="00B906AE">
              <w:rPr>
                <w:noProof/>
                <w:webHidden/>
              </w:rPr>
              <w:instrText xml:space="preserve"> PAGEREF _Toc160186078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406C0E">
            <w:rPr>
              <w:noProof/>
            </w:rPr>
            <w:t>2</w:t>
          </w:r>
        </w:p>
        <w:p w14:paraId="2C75A8E1" w14:textId="27FEE520" w:rsidR="00B906AE" w:rsidRDefault="00B2178E">
          <w:pPr>
            <w:pStyle w:val="TOC1"/>
            <w:rPr>
              <w:rFonts w:eastAsiaTheme="minorEastAsia" w:cstheme="minorBidi"/>
              <w:b w:val="0"/>
              <w:noProof/>
              <w:kern w:val="2"/>
              <w:sz w:val="22"/>
              <w14:ligatures w14:val="standardContextual"/>
            </w:rPr>
          </w:pPr>
          <w:hyperlink w:anchor="_Toc160186079" w:history="1">
            <w:r w:rsidR="00B906AE" w:rsidRPr="00EC0361">
              <w:rPr>
                <w:rStyle w:val="Hyperlink"/>
                <w:rFonts w:cstheme="minorHAnsi"/>
                <w:noProof/>
              </w:rPr>
              <w:t>8</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Foreign Agricultural Service</w:t>
            </w:r>
            <w:r w:rsidR="00B906AE">
              <w:rPr>
                <w:noProof/>
                <w:webHidden/>
              </w:rPr>
              <w:tab/>
            </w:r>
            <w:r w:rsidR="00B906AE">
              <w:rPr>
                <w:noProof/>
                <w:webHidden/>
              </w:rPr>
              <w:fldChar w:fldCharType="begin"/>
            </w:r>
            <w:r w:rsidR="00B906AE">
              <w:rPr>
                <w:noProof/>
                <w:webHidden/>
              </w:rPr>
              <w:instrText xml:space="preserve"> PAGEREF _Toc160186079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481C17">
            <w:rPr>
              <w:noProof/>
            </w:rPr>
            <w:t>3</w:t>
          </w:r>
        </w:p>
        <w:p w14:paraId="38DC89FE" w14:textId="350F1BC7"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80" w:history="1">
            <w:r w:rsidR="00B906AE" w:rsidRPr="00EC0361">
              <w:rPr>
                <w:rStyle w:val="Hyperlink"/>
                <w:rFonts w:cstheme="minorHAnsi"/>
                <w:noProof/>
              </w:rPr>
              <w:t>8.1</w:t>
            </w:r>
            <w:r w:rsidR="00B906AE">
              <w:rPr>
                <w:rFonts w:eastAsiaTheme="minorEastAsia" w:cstheme="minorBidi"/>
                <w:noProof/>
                <w:kern w:val="2"/>
                <w:sz w:val="22"/>
                <w14:ligatures w14:val="standardContextual"/>
              </w:rPr>
              <w:tab/>
            </w:r>
            <w:r w:rsidR="00B906AE" w:rsidRPr="00EC0361">
              <w:rPr>
                <w:rStyle w:val="Hyperlink"/>
                <w:rFonts w:cstheme="minorHAnsi"/>
                <w:noProof/>
              </w:rPr>
              <w:t>Mission Statement</w:t>
            </w:r>
            <w:r w:rsidR="00B906AE">
              <w:rPr>
                <w:noProof/>
                <w:webHidden/>
              </w:rPr>
              <w:tab/>
            </w:r>
            <w:r w:rsidR="00B906AE">
              <w:rPr>
                <w:noProof/>
                <w:webHidden/>
              </w:rPr>
              <w:fldChar w:fldCharType="begin"/>
            </w:r>
            <w:r w:rsidR="00B906AE">
              <w:rPr>
                <w:noProof/>
                <w:webHidden/>
              </w:rPr>
              <w:instrText xml:space="preserve"> PAGEREF _Toc160186080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481C17">
            <w:rPr>
              <w:noProof/>
            </w:rPr>
            <w:t>3</w:t>
          </w:r>
        </w:p>
        <w:p w14:paraId="7FA6AF55" w14:textId="31FCB422"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81" w:history="1">
            <w:r w:rsidR="00B906AE" w:rsidRPr="00EC0361">
              <w:rPr>
                <w:rStyle w:val="Hyperlink"/>
                <w:rFonts w:cstheme="minorHAnsi"/>
                <w:noProof/>
              </w:rPr>
              <w:t>8.2</w:t>
            </w:r>
            <w:r w:rsidR="00B906AE">
              <w:rPr>
                <w:rFonts w:eastAsiaTheme="minorEastAsia" w:cstheme="minorBidi"/>
                <w:noProof/>
                <w:kern w:val="2"/>
                <w:sz w:val="22"/>
                <w14:ligatures w14:val="standardContextual"/>
              </w:rPr>
              <w:tab/>
            </w:r>
            <w:r w:rsidR="00B906AE" w:rsidRPr="00EC0361">
              <w:rPr>
                <w:rStyle w:val="Hyperlink"/>
                <w:rFonts w:cstheme="minorHAnsi"/>
                <w:noProof/>
              </w:rPr>
              <w:t>Nature and Structure of Program</w:t>
            </w:r>
            <w:r w:rsidR="00B906AE">
              <w:rPr>
                <w:noProof/>
                <w:webHidden/>
              </w:rPr>
              <w:tab/>
            </w:r>
            <w:r w:rsidR="00B906AE">
              <w:rPr>
                <w:noProof/>
                <w:webHidden/>
              </w:rPr>
              <w:fldChar w:fldCharType="begin"/>
            </w:r>
            <w:r w:rsidR="00B906AE">
              <w:rPr>
                <w:noProof/>
                <w:webHidden/>
              </w:rPr>
              <w:instrText xml:space="preserve"> PAGEREF _Toc160186081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481C17">
            <w:rPr>
              <w:noProof/>
            </w:rPr>
            <w:t>3</w:t>
          </w:r>
        </w:p>
        <w:p w14:paraId="38A15CD2" w14:textId="2D184B46"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82" w:history="1">
            <w:r w:rsidR="00B906AE" w:rsidRPr="00EC0361">
              <w:rPr>
                <w:rStyle w:val="Hyperlink"/>
                <w:rFonts w:cstheme="minorHAnsi"/>
                <w:noProof/>
              </w:rPr>
              <w:t>8.3</w:t>
            </w:r>
            <w:r w:rsidR="00B906AE">
              <w:rPr>
                <w:rFonts w:eastAsiaTheme="minorEastAsia" w:cstheme="minorBidi"/>
                <w:noProof/>
                <w:kern w:val="2"/>
                <w:sz w:val="22"/>
                <w14:ligatures w14:val="standardContextual"/>
              </w:rPr>
              <w:tab/>
            </w:r>
            <w:r w:rsidR="00B906AE" w:rsidRPr="00EC0361">
              <w:rPr>
                <w:rStyle w:val="Hyperlink"/>
                <w:rFonts w:cstheme="minorHAnsi"/>
                <w:noProof/>
              </w:rPr>
              <w:t>Trade Policy</w:t>
            </w:r>
            <w:r w:rsidR="00B906AE">
              <w:rPr>
                <w:noProof/>
                <w:webHidden/>
              </w:rPr>
              <w:tab/>
            </w:r>
            <w:r w:rsidR="00B906AE">
              <w:rPr>
                <w:noProof/>
                <w:webHidden/>
              </w:rPr>
              <w:fldChar w:fldCharType="begin"/>
            </w:r>
            <w:r w:rsidR="00B906AE">
              <w:rPr>
                <w:noProof/>
                <w:webHidden/>
              </w:rPr>
              <w:instrText xml:space="preserve"> PAGEREF _Toc160186082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481C17">
            <w:rPr>
              <w:noProof/>
            </w:rPr>
            <w:t>3</w:t>
          </w:r>
        </w:p>
        <w:p w14:paraId="2172B164" w14:textId="26AEB7B0"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83" w:history="1">
            <w:r w:rsidR="00B906AE" w:rsidRPr="00EC0361">
              <w:rPr>
                <w:rStyle w:val="Hyperlink"/>
                <w:rFonts w:cstheme="minorHAnsi"/>
                <w:noProof/>
              </w:rPr>
              <w:t>8.4</w:t>
            </w:r>
            <w:r w:rsidR="00B906AE">
              <w:rPr>
                <w:rFonts w:eastAsiaTheme="minorEastAsia" w:cstheme="minorBidi"/>
                <w:noProof/>
                <w:kern w:val="2"/>
                <w:sz w:val="22"/>
                <w14:ligatures w14:val="standardContextual"/>
              </w:rPr>
              <w:tab/>
            </w:r>
            <w:r w:rsidR="00B906AE" w:rsidRPr="00EC0361">
              <w:rPr>
                <w:rStyle w:val="Hyperlink"/>
                <w:rFonts w:cstheme="minorHAnsi"/>
                <w:noProof/>
              </w:rPr>
              <w:t>Market Development and Export Assistance</w:t>
            </w:r>
            <w:r w:rsidR="00B906AE">
              <w:rPr>
                <w:noProof/>
                <w:webHidden/>
              </w:rPr>
              <w:tab/>
            </w:r>
            <w:r w:rsidR="00B906AE">
              <w:rPr>
                <w:noProof/>
                <w:webHidden/>
              </w:rPr>
              <w:fldChar w:fldCharType="begin"/>
            </w:r>
            <w:r w:rsidR="00B906AE">
              <w:rPr>
                <w:noProof/>
                <w:webHidden/>
              </w:rPr>
              <w:instrText xml:space="preserve"> PAGEREF _Toc160186083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481C17">
            <w:rPr>
              <w:noProof/>
            </w:rPr>
            <w:t>3</w:t>
          </w:r>
        </w:p>
        <w:p w14:paraId="480C1FA5" w14:textId="7EA8D6E0"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84" w:history="1">
            <w:r w:rsidR="00B906AE" w:rsidRPr="00EC0361">
              <w:rPr>
                <w:rStyle w:val="Hyperlink"/>
                <w:rFonts w:cstheme="minorHAnsi"/>
                <w:noProof/>
              </w:rPr>
              <w:t>8.5</w:t>
            </w:r>
            <w:r w:rsidR="00B906AE">
              <w:rPr>
                <w:rFonts w:eastAsiaTheme="minorEastAsia" w:cstheme="minorBidi"/>
                <w:noProof/>
                <w:kern w:val="2"/>
                <w:sz w:val="22"/>
                <w14:ligatures w14:val="standardContextual"/>
              </w:rPr>
              <w:tab/>
            </w:r>
            <w:r w:rsidR="00B906AE" w:rsidRPr="00EC0361">
              <w:rPr>
                <w:rStyle w:val="Hyperlink"/>
                <w:rFonts w:cstheme="minorHAnsi"/>
                <w:noProof/>
              </w:rPr>
              <w:t>Data and Analysis</w:t>
            </w:r>
            <w:r w:rsidR="00B906AE">
              <w:rPr>
                <w:noProof/>
                <w:webHidden/>
              </w:rPr>
              <w:tab/>
            </w:r>
            <w:r w:rsidR="00B906AE">
              <w:rPr>
                <w:noProof/>
                <w:webHidden/>
              </w:rPr>
              <w:fldChar w:fldCharType="begin"/>
            </w:r>
            <w:r w:rsidR="00B906AE">
              <w:rPr>
                <w:noProof/>
                <w:webHidden/>
              </w:rPr>
              <w:instrText xml:space="preserve"> PAGEREF _Toc160186084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481C17">
            <w:rPr>
              <w:noProof/>
            </w:rPr>
            <w:t>3</w:t>
          </w:r>
        </w:p>
        <w:p w14:paraId="1426E060" w14:textId="62D4F909"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85" w:history="1">
            <w:r w:rsidR="00B906AE" w:rsidRPr="00EC0361">
              <w:rPr>
                <w:rStyle w:val="Hyperlink"/>
                <w:rFonts w:cstheme="minorHAnsi"/>
                <w:noProof/>
              </w:rPr>
              <w:t>8.6</w:t>
            </w:r>
            <w:r w:rsidR="00B906AE">
              <w:rPr>
                <w:rFonts w:eastAsiaTheme="minorEastAsia" w:cstheme="minorBidi"/>
                <w:noProof/>
                <w:kern w:val="2"/>
                <w:sz w:val="22"/>
                <w14:ligatures w14:val="standardContextual"/>
              </w:rPr>
              <w:tab/>
            </w:r>
            <w:r w:rsidR="00B906AE" w:rsidRPr="00EC0361">
              <w:rPr>
                <w:rStyle w:val="Hyperlink"/>
                <w:rFonts w:cstheme="minorHAnsi"/>
                <w:noProof/>
              </w:rPr>
              <w:t>Capacity Building and Development</w:t>
            </w:r>
            <w:r w:rsidR="00B906AE">
              <w:rPr>
                <w:noProof/>
                <w:webHidden/>
              </w:rPr>
              <w:tab/>
            </w:r>
            <w:r w:rsidR="00B906AE">
              <w:rPr>
                <w:noProof/>
                <w:webHidden/>
              </w:rPr>
              <w:fldChar w:fldCharType="begin"/>
            </w:r>
            <w:r w:rsidR="00B906AE">
              <w:rPr>
                <w:noProof/>
                <w:webHidden/>
              </w:rPr>
              <w:instrText xml:space="preserve"> PAGEREF _Toc160186085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F87DF4">
            <w:rPr>
              <w:noProof/>
            </w:rPr>
            <w:t>4</w:t>
          </w:r>
        </w:p>
        <w:p w14:paraId="327A77C7" w14:textId="273CA752"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86" w:history="1">
            <w:r w:rsidR="00B906AE" w:rsidRPr="00EC0361">
              <w:rPr>
                <w:rStyle w:val="Hyperlink"/>
                <w:noProof/>
              </w:rPr>
              <w:t>8.7</w:t>
            </w:r>
            <w:r w:rsidR="00B906AE">
              <w:rPr>
                <w:rFonts w:eastAsiaTheme="minorEastAsia" w:cstheme="minorBidi"/>
                <w:noProof/>
                <w:kern w:val="2"/>
                <w:sz w:val="22"/>
                <w14:ligatures w14:val="standardContextual"/>
              </w:rPr>
              <w:tab/>
            </w:r>
            <w:r w:rsidR="00B906AE" w:rsidRPr="00EC0361">
              <w:rPr>
                <w:rStyle w:val="Hyperlink"/>
                <w:noProof/>
              </w:rPr>
              <w:t>Downstream Outcomes</w:t>
            </w:r>
            <w:r w:rsidR="00B906AE">
              <w:rPr>
                <w:noProof/>
                <w:webHidden/>
              </w:rPr>
              <w:tab/>
            </w:r>
            <w:r w:rsidR="00B906AE">
              <w:rPr>
                <w:noProof/>
                <w:webHidden/>
              </w:rPr>
              <w:fldChar w:fldCharType="begin"/>
            </w:r>
            <w:r w:rsidR="00B906AE">
              <w:rPr>
                <w:noProof/>
                <w:webHidden/>
              </w:rPr>
              <w:instrText xml:space="preserve"> PAGEREF _Toc160186086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F87DF4">
            <w:rPr>
              <w:noProof/>
            </w:rPr>
            <w:t>4</w:t>
          </w:r>
        </w:p>
        <w:p w14:paraId="1F51C9EA" w14:textId="31A4AE2B"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87" w:history="1">
            <w:r w:rsidR="00B906AE" w:rsidRPr="00EC0361">
              <w:rPr>
                <w:rStyle w:val="Hyperlink"/>
                <w:noProof/>
              </w:rPr>
              <w:t>8.7.1</w:t>
            </w:r>
            <w:r w:rsidR="00B906AE">
              <w:rPr>
                <w:rFonts w:eastAsiaTheme="minorEastAsia" w:cstheme="minorBidi"/>
                <w:noProof/>
                <w:kern w:val="2"/>
                <w:sz w:val="22"/>
                <w14:ligatures w14:val="standardContextual"/>
              </w:rPr>
              <w:tab/>
            </w:r>
            <w:r w:rsidR="00B906AE" w:rsidRPr="00EC0361">
              <w:rPr>
                <w:rStyle w:val="Hyperlink"/>
                <w:noProof/>
              </w:rPr>
              <w:t>The Minor Use Foundation, IR-4 Project, and Global Partnership for International Pesticide Standards.</w:t>
            </w:r>
            <w:r w:rsidR="00B906AE">
              <w:rPr>
                <w:noProof/>
                <w:webHidden/>
              </w:rPr>
              <w:tab/>
            </w:r>
            <w:r w:rsidR="00B906AE">
              <w:rPr>
                <w:noProof/>
                <w:webHidden/>
              </w:rPr>
              <w:fldChar w:fldCharType="begin"/>
            </w:r>
            <w:r w:rsidR="00B906AE">
              <w:rPr>
                <w:noProof/>
                <w:webHidden/>
              </w:rPr>
              <w:instrText xml:space="preserve"> PAGEREF _Toc160186087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8402DA">
            <w:rPr>
              <w:noProof/>
            </w:rPr>
            <w:t>4</w:t>
          </w:r>
        </w:p>
        <w:p w14:paraId="1FBBC776" w14:textId="2DBA7070"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88" w:history="1">
            <w:r w:rsidR="00B906AE" w:rsidRPr="00EC0361">
              <w:rPr>
                <w:rStyle w:val="Hyperlink"/>
                <w:noProof/>
              </w:rPr>
              <w:t>8.7.2</w:t>
            </w:r>
            <w:r w:rsidR="00B906AE">
              <w:rPr>
                <w:rFonts w:eastAsiaTheme="minorEastAsia" w:cstheme="minorBidi"/>
                <w:noProof/>
                <w:kern w:val="2"/>
                <w:sz w:val="22"/>
                <w14:ligatures w14:val="standardContextual"/>
              </w:rPr>
              <w:tab/>
            </w:r>
            <w:r w:rsidR="00B906AE" w:rsidRPr="00EC0361">
              <w:rPr>
                <w:rStyle w:val="Hyperlink"/>
                <w:noProof/>
              </w:rPr>
              <w:t>Collaborations with China on the Creation of an African Swine Fever (ASF) Research.</w:t>
            </w:r>
            <w:r w:rsidR="00B906AE">
              <w:rPr>
                <w:noProof/>
                <w:webHidden/>
              </w:rPr>
              <w:tab/>
            </w:r>
            <w:r w:rsidR="00B906AE">
              <w:rPr>
                <w:noProof/>
                <w:webHidden/>
              </w:rPr>
              <w:fldChar w:fldCharType="begin"/>
            </w:r>
            <w:r w:rsidR="00B906AE">
              <w:rPr>
                <w:noProof/>
                <w:webHidden/>
              </w:rPr>
              <w:instrText xml:space="preserve"> PAGEREF _Toc160186088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8402DA">
            <w:rPr>
              <w:noProof/>
            </w:rPr>
            <w:t>4</w:t>
          </w:r>
        </w:p>
        <w:p w14:paraId="01DFCF37" w14:textId="6734DD5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89" w:history="1">
            <w:r w:rsidR="00B906AE" w:rsidRPr="00EC0361">
              <w:rPr>
                <w:rStyle w:val="Hyperlink"/>
                <w:noProof/>
              </w:rPr>
              <w:t>8.7.3</w:t>
            </w:r>
            <w:r w:rsidR="00B906AE">
              <w:rPr>
                <w:rFonts w:eastAsiaTheme="minorEastAsia" w:cstheme="minorBidi"/>
                <w:noProof/>
                <w:kern w:val="2"/>
                <w:sz w:val="22"/>
                <w14:ligatures w14:val="standardContextual"/>
              </w:rPr>
              <w:tab/>
            </w:r>
            <w:r w:rsidR="00B906AE" w:rsidRPr="00EC0361">
              <w:rPr>
                <w:rStyle w:val="Hyperlink"/>
                <w:noProof/>
              </w:rPr>
              <w:t>Economic Implications of Proposed Plastic Regulations.</w:t>
            </w:r>
            <w:r w:rsidR="00B906AE">
              <w:rPr>
                <w:noProof/>
                <w:webHidden/>
              </w:rPr>
              <w:tab/>
            </w:r>
            <w:r w:rsidR="00B906AE">
              <w:rPr>
                <w:noProof/>
                <w:webHidden/>
              </w:rPr>
              <w:fldChar w:fldCharType="begin"/>
            </w:r>
            <w:r w:rsidR="00B906AE">
              <w:rPr>
                <w:noProof/>
                <w:webHidden/>
              </w:rPr>
              <w:instrText xml:space="preserve"> PAGEREF _Toc160186089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627145">
            <w:rPr>
              <w:noProof/>
            </w:rPr>
            <w:t>5</w:t>
          </w:r>
        </w:p>
        <w:p w14:paraId="021D2030" w14:textId="4C0AA001"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90" w:history="1">
            <w:r w:rsidR="00B906AE" w:rsidRPr="00EC0361">
              <w:rPr>
                <w:rStyle w:val="Hyperlink"/>
                <w:noProof/>
              </w:rPr>
              <w:t>8.7.4</w:t>
            </w:r>
            <w:r w:rsidR="00B906AE">
              <w:rPr>
                <w:rFonts w:eastAsiaTheme="minorEastAsia" w:cstheme="minorBidi"/>
                <w:noProof/>
                <w:kern w:val="2"/>
                <w:sz w:val="22"/>
                <w14:ligatures w14:val="standardContextual"/>
              </w:rPr>
              <w:tab/>
            </w:r>
            <w:r w:rsidR="00B906AE" w:rsidRPr="00EC0361">
              <w:rPr>
                <w:rStyle w:val="Hyperlink"/>
                <w:noProof/>
              </w:rPr>
              <w:t>Compostable PLU Labels.</w:t>
            </w:r>
            <w:r w:rsidR="00B906AE">
              <w:rPr>
                <w:noProof/>
                <w:webHidden/>
              </w:rPr>
              <w:tab/>
            </w:r>
            <w:r w:rsidR="00B906AE">
              <w:rPr>
                <w:noProof/>
                <w:webHidden/>
              </w:rPr>
              <w:fldChar w:fldCharType="begin"/>
            </w:r>
            <w:r w:rsidR="00B906AE">
              <w:rPr>
                <w:noProof/>
                <w:webHidden/>
              </w:rPr>
              <w:instrText xml:space="preserve"> PAGEREF _Toc160186090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627145">
            <w:rPr>
              <w:noProof/>
            </w:rPr>
            <w:t>5</w:t>
          </w:r>
        </w:p>
        <w:p w14:paraId="3268958D" w14:textId="4AFE6720" w:rsidR="00B906AE" w:rsidRDefault="00B2178E">
          <w:pPr>
            <w:pStyle w:val="TOC1"/>
            <w:rPr>
              <w:rFonts w:eastAsiaTheme="minorEastAsia" w:cstheme="minorBidi"/>
              <w:b w:val="0"/>
              <w:noProof/>
              <w:kern w:val="2"/>
              <w:sz w:val="22"/>
              <w14:ligatures w14:val="standardContextual"/>
            </w:rPr>
          </w:pPr>
          <w:hyperlink w:anchor="_Toc160186091" w:history="1">
            <w:r w:rsidR="00B906AE" w:rsidRPr="00EC0361">
              <w:rPr>
                <w:rStyle w:val="Hyperlink"/>
                <w:rFonts w:cstheme="minorHAnsi"/>
                <w:noProof/>
              </w:rPr>
              <w:t>9</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Forest Service</w:t>
            </w:r>
            <w:r w:rsidR="00B906AE">
              <w:rPr>
                <w:noProof/>
                <w:webHidden/>
              </w:rPr>
              <w:tab/>
            </w:r>
            <w:r w:rsidR="00B906AE">
              <w:rPr>
                <w:noProof/>
                <w:webHidden/>
              </w:rPr>
              <w:fldChar w:fldCharType="begin"/>
            </w:r>
            <w:r w:rsidR="00B906AE">
              <w:rPr>
                <w:noProof/>
                <w:webHidden/>
              </w:rPr>
              <w:instrText xml:space="preserve"> PAGEREF _Toc160186091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E47450">
            <w:rPr>
              <w:noProof/>
            </w:rPr>
            <w:t>6</w:t>
          </w:r>
        </w:p>
        <w:p w14:paraId="713E10F7" w14:textId="4D2B9A25"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92" w:history="1">
            <w:r w:rsidR="00B906AE" w:rsidRPr="00EC0361">
              <w:rPr>
                <w:rStyle w:val="Hyperlink"/>
                <w:noProof/>
              </w:rPr>
              <w:t>9.1</w:t>
            </w:r>
            <w:r w:rsidR="00B906AE">
              <w:rPr>
                <w:rFonts w:eastAsiaTheme="minorEastAsia" w:cstheme="minorBidi"/>
                <w:noProof/>
                <w:kern w:val="2"/>
                <w:sz w:val="22"/>
                <w14:ligatures w14:val="standardContextual"/>
              </w:rPr>
              <w:tab/>
            </w:r>
            <w:r w:rsidR="00B906AE" w:rsidRPr="00EC0361">
              <w:rPr>
                <w:rStyle w:val="Hyperlink"/>
                <w:noProof/>
              </w:rPr>
              <w:t>Forest Service Background</w:t>
            </w:r>
            <w:r w:rsidR="00B906AE">
              <w:rPr>
                <w:noProof/>
                <w:webHidden/>
              </w:rPr>
              <w:tab/>
            </w:r>
            <w:r w:rsidR="00B906AE">
              <w:rPr>
                <w:noProof/>
                <w:webHidden/>
              </w:rPr>
              <w:fldChar w:fldCharType="begin"/>
            </w:r>
            <w:r w:rsidR="00B906AE">
              <w:rPr>
                <w:noProof/>
                <w:webHidden/>
              </w:rPr>
              <w:instrText xml:space="preserve"> PAGEREF _Toc160186092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E47450">
            <w:rPr>
              <w:noProof/>
            </w:rPr>
            <w:t>6</w:t>
          </w:r>
        </w:p>
        <w:p w14:paraId="751DC89E" w14:textId="5AE8A8DC"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93" w:history="1">
            <w:r w:rsidR="00B906AE" w:rsidRPr="00EC0361">
              <w:rPr>
                <w:rStyle w:val="Hyperlink"/>
                <w:noProof/>
              </w:rPr>
              <w:t>9.2</w:t>
            </w:r>
            <w:r w:rsidR="00B906AE">
              <w:rPr>
                <w:rFonts w:eastAsiaTheme="minorEastAsia" w:cstheme="minorBidi"/>
                <w:noProof/>
                <w:kern w:val="2"/>
                <w:sz w:val="22"/>
                <w14:ligatures w14:val="standardContextual"/>
              </w:rPr>
              <w:tab/>
            </w:r>
            <w:r w:rsidR="00B906AE" w:rsidRPr="00EC0361">
              <w:rPr>
                <w:rStyle w:val="Hyperlink"/>
                <w:noProof/>
              </w:rPr>
              <w:t>Research and Development</w:t>
            </w:r>
            <w:r w:rsidR="00B906AE">
              <w:rPr>
                <w:noProof/>
                <w:webHidden/>
              </w:rPr>
              <w:tab/>
            </w:r>
            <w:r w:rsidR="00B906AE">
              <w:rPr>
                <w:noProof/>
                <w:webHidden/>
              </w:rPr>
              <w:fldChar w:fldCharType="begin"/>
            </w:r>
            <w:r w:rsidR="00B906AE">
              <w:rPr>
                <w:noProof/>
                <w:webHidden/>
              </w:rPr>
              <w:instrText xml:space="preserve"> PAGEREF _Toc160186093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E47450">
            <w:rPr>
              <w:noProof/>
            </w:rPr>
            <w:t>6</w:t>
          </w:r>
        </w:p>
        <w:p w14:paraId="12A63D07" w14:textId="280D6639"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94" w:history="1">
            <w:r w:rsidR="00B906AE" w:rsidRPr="00EC0361">
              <w:rPr>
                <w:rStyle w:val="Hyperlink"/>
                <w:rFonts w:ascii="Calibri Light" w:hAnsi="Calibri Light"/>
                <w:b/>
                <w:noProof/>
              </w:rPr>
              <w:t>9.2.1</w:t>
            </w:r>
            <w:r w:rsidR="00B906AE">
              <w:rPr>
                <w:rFonts w:eastAsiaTheme="minorEastAsia" w:cstheme="minorBidi"/>
                <w:noProof/>
                <w:kern w:val="2"/>
                <w:sz w:val="22"/>
                <w14:ligatures w14:val="standardContextual"/>
              </w:rPr>
              <w:tab/>
            </w:r>
            <w:r w:rsidR="00B906AE" w:rsidRPr="00EC0361">
              <w:rPr>
                <w:rStyle w:val="Hyperlink"/>
                <w:noProof/>
              </w:rPr>
              <w:t>Research Framework</w:t>
            </w:r>
            <w:r w:rsidR="00B906AE">
              <w:rPr>
                <w:noProof/>
                <w:webHidden/>
              </w:rPr>
              <w:tab/>
            </w:r>
            <w:r w:rsidR="00B906AE">
              <w:rPr>
                <w:noProof/>
                <w:webHidden/>
              </w:rPr>
              <w:fldChar w:fldCharType="begin"/>
            </w:r>
            <w:r w:rsidR="00B906AE">
              <w:rPr>
                <w:noProof/>
                <w:webHidden/>
              </w:rPr>
              <w:instrText xml:space="preserve"> PAGEREF _Toc160186094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077DA9">
            <w:rPr>
              <w:noProof/>
            </w:rPr>
            <w:t>7</w:t>
          </w:r>
        </w:p>
        <w:p w14:paraId="0E7FF11D" w14:textId="0F7E1771"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95" w:history="1">
            <w:r w:rsidR="00B906AE" w:rsidRPr="00EC0361">
              <w:rPr>
                <w:rStyle w:val="Hyperlink"/>
                <w:noProof/>
              </w:rPr>
              <w:t>9.2.2</w:t>
            </w:r>
            <w:r w:rsidR="00B906AE">
              <w:rPr>
                <w:rFonts w:eastAsiaTheme="minorEastAsia" w:cstheme="minorBidi"/>
                <w:noProof/>
                <w:kern w:val="2"/>
                <w:sz w:val="22"/>
                <w14:ligatures w14:val="standardContextual"/>
              </w:rPr>
              <w:tab/>
            </w:r>
            <w:r w:rsidR="00B906AE" w:rsidRPr="00EC0361">
              <w:rPr>
                <w:rStyle w:val="Hyperlink"/>
                <w:noProof/>
              </w:rPr>
              <w:t>Research Priority Areas</w:t>
            </w:r>
            <w:r w:rsidR="00B906AE">
              <w:rPr>
                <w:noProof/>
                <w:webHidden/>
              </w:rPr>
              <w:tab/>
            </w:r>
            <w:r w:rsidR="00B906AE">
              <w:rPr>
                <w:noProof/>
                <w:webHidden/>
              </w:rPr>
              <w:fldChar w:fldCharType="begin"/>
            </w:r>
            <w:r w:rsidR="00B906AE">
              <w:rPr>
                <w:noProof/>
                <w:webHidden/>
              </w:rPr>
              <w:instrText xml:space="preserve"> PAGEREF _Toc160186095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077DA9">
            <w:rPr>
              <w:noProof/>
            </w:rPr>
            <w:t>7</w:t>
          </w:r>
        </w:p>
        <w:p w14:paraId="5D51A885" w14:textId="49F89CAF"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96" w:history="1">
            <w:r w:rsidR="00B906AE" w:rsidRPr="00EC0361">
              <w:rPr>
                <w:rStyle w:val="Hyperlink"/>
                <w:noProof/>
              </w:rPr>
              <w:t>9.2.3</w:t>
            </w:r>
            <w:r w:rsidR="00B906AE">
              <w:rPr>
                <w:rFonts w:eastAsiaTheme="minorEastAsia" w:cstheme="minorBidi"/>
                <w:noProof/>
                <w:kern w:val="2"/>
                <w:sz w:val="22"/>
                <w14:ligatures w14:val="standardContextual"/>
              </w:rPr>
              <w:tab/>
            </w:r>
            <w:r w:rsidR="00B906AE" w:rsidRPr="00EC0361">
              <w:rPr>
                <w:rStyle w:val="Hyperlink"/>
                <w:noProof/>
              </w:rPr>
              <w:t>Foundational Research Areas</w:t>
            </w:r>
            <w:r w:rsidR="00B906AE">
              <w:rPr>
                <w:noProof/>
                <w:webHidden/>
              </w:rPr>
              <w:tab/>
            </w:r>
            <w:r w:rsidR="00B906AE">
              <w:rPr>
                <w:noProof/>
                <w:webHidden/>
              </w:rPr>
              <w:fldChar w:fldCharType="begin"/>
            </w:r>
            <w:r w:rsidR="00B906AE">
              <w:rPr>
                <w:noProof/>
                <w:webHidden/>
              </w:rPr>
              <w:instrText xml:space="preserve"> PAGEREF _Toc160186096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755687">
            <w:rPr>
              <w:noProof/>
            </w:rPr>
            <w:t>8</w:t>
          </w:r>
        </w:p>
        <w:p w14:paraId="20BADEFE" w14:textId="4900715C"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97" w:history="1">
            <w:r w:rsidR="00B906AE" w:rsidRPr="00EC0361">
              <w:rPr>
                <w:rStyle w:val="Hyperlink"/>
                <w:noProof/>
              </w:rPr>
              <w:t>9.3</w:t>
            </w:r>
            <w:r w:rsidR="00B906AE">
              <w:rPr>
                <w:rFonts w:eastAsiaTheme="minorEastAsia" w:cstheme="minorBidi"/>
                <w:noProof/>
                <w:kern w:val="2"/>
                <w:sz w:val="22"/>
                <w14:ligatures w14:val="standardContextual"/>
              </w:rPr>
              <w:tab/>
            </w:r>
            <w:r w:rsidR="00B906AE" w:rsidRPr="00EC0361">
              <w:rPr>
                <w:rStyle w:val="Hyperlink"/>
                <w:noProof/>
              </w:rPr>
              <w:t>National Research and Development Office, Staff Directors, and National Program Leaders</w:t>
            </w:r>
            <w:r w:rsidR="00B906AE">
              <w:rPr>
                <w:noProof/>
                <w:webHidden/>
              </w:rPr>
              <w:tab/>
            </w:r>
            <w:r w:rsidR="00B906AE">
              <w:rPr>
                <w:noProof/>
                <w:webHidden/>
              </w:rPr>
              <w:fldChar w:fldCharType="begin"/>
            </w:r>
            <w:r w:rsidR="00B906AE">
              <w:rPr>
                <w:noProof/>
                <w:webHidden/>
              </w:rPr>
              <w:instrText xml:space="preserve"> PAGEREF _Toc160186097 \h </w:instrText>
            </w:r>
            <w:r w:rsidR="00B906AE">
              <w:rPr>
                <w:noProof/>
                <w:webHidden/>
              </w:rPr>
            </w:r>
            <w:r w:rsidR="00B906AE">
              <w:rPr>
                <w:noProof/>
                <w:webHidden/>
              </w:rPr>
              <w:fldChar w:fldCharType="separate"/>
            </w:r>
            <w:r w:rsidR="009033D2">
              <w:rPr>
                <w:noProof/>
                <w:webHidden/>
              </w:rPr>
              <w:t>16</w:t>
            </w:r>
            <w:r w:rsidR="00B906AE">
              <w:rPr>
                <w:noProof/>
                <w:webHidden/>
              </w:rPr>
              <w:fldChar w:fldCharType="end"/>
            </w:r>
          </w:hyperlink>
          <w:r w:rsidR="00755687">
            <w:rPr>
              <w:noProof/>
            </w:rPr>
            <w:t>9</w:t>
          </w:r>
        </w:p>
        <w:p w14:paraId="3C098699" w14:textId="312879E1"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098" w:history="1">
            <w:r w:rsidR="00B906AE" w:rsidRPr="00EC0361">
              <w:rPr>
                <w:rStyle w:val="Hyperlink"/>
                <w:noProof/>
              </w:rPr>
              <w:t>9.3.1</w:t>
            </w:r>
            <w:r w:rsidR="00B906AE">
              <w:rPr>
                <w:rFonts w:eastAsiaTheme="minorEastAsia" w:cstheme="minorBidi"/>
                <w:noProof/>
                <w:kern w:val="2"/>
                <w:sz w:val="22"/>
                <w14:ligatures w14:val="standardContextual"/>
              </w:rPr>
              <w:tab/>
            </w:r>
            <w:r w:rsidR="00B906AE" w:rsidRPr="00EC0361">
              <w:rPr>
                <w:rStyle w:val="Hyperlink"/>
                <w:noProof/>
              </w:rPr>
              <w:t>Research and Development Foundational Assets</w:t>
            </w:r>
            <w:r w:rsidR="00B906AE">
              <w:rPr>
                <w:noProof/>
                <w:webHidden/>
              </w:rPr>
              <w:tab/>
            </w:r>
            <w:r w:rsidR="00B906AE">
              <w:rPr>
                <w:noProof/>
                <w:webHidden/>
              </w:rPr>
              <w:fldChar w:fldCharType="begin"/>
            </w:r>
            <w:r w:rsidR="00B906AE">
              <w:rPr>
                <w:noProof/>
                <w:webHidden/>
              </w:rPr>
              <w:instrText xml:space="preserve"> PAGEREF _Toc160186098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94242D">
            <w:rPr>
              <w:noProof/>
            </w:rPr>
            <w:t>70</w:t>
          </w:r>
        </w:p>
        <w:p w14:paraId="547D6AA1" w14:textId="786E4922"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099" w:history="1">
            <w:r w:rsidR="00B906AE" w:rsidRPr="00EC0361">
              <w:rPr>
                <w:rStyle w:val="Hyperlink"/>
                <w:noProof/>
              </w:rPr>
              <w:t>9.4</w:t>
            </w:r>
            <w:r w:rsidR="00B906AE">
              <w:rPr>
                <w:rFonts w:eastAsiaTheme="minorEastAsia" w:cstheme="minorBidi"/>
                <w:noProof/>
                <w:kern w:val="2"/>
                <w:sz w:val="22"/>
                <w14:ligatures w14:val="standardContextual"/>
              </w:rPr>
              <w:tab/>
            </w:r>
            <w:r w:rsidR="00B906AE" w:rsidRPr="00EC0361">
              <w:rPr>
                <w:rStyle w:val="Hyperlink"/>
                <w:noProof/>
              </w:rPr>
              <w:t>Patent program: Background and goals</w:t>
            </w:r>
            <w:r w:rsidR="00B906AE">
              <w:rPr>
                <w:noProof/>
                <w:webHidden/>
              </w:rPr>
              <w:tab/>
            </w:r>
            <w:r w:rsidR="00B906AE">
              <w:rPr>
                <w:noProof/>
                <w:webHidden/>
              </w:rPr>
              <w:fldChar w:fldCharType="begin"/>
            </w:r>
            <w:r w:rsidR="00B906AE">
              <w:rPr>
                <w:noProof/>
                <w:webHidden/>
              </w:rPr>
              <w:instrText xml:space="preserve"> PAGEREF _Toc160186099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94242D">
            <w:rPr>
              <w:noProof/>
            </w:rPr>
            <w:t>70</w:t>
          </w:r>
        </w:p>
        <w:p w14:paraId="6A709487" w14:textId="35948D97"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00" w:history="1">
            <w:r w:rsidR="00B906AE" w:rsidRPr="00EC0361">
              <w:rPr>
                <w:rStyle w:val="Hyperlink"/>
                <w:noProof/>
              </w:rPr>
              <w:t>9.5</w:t>
            </w:r>
            <w:r w:rsidR="00B906AE">
              <w:rPr>
                <w:rFonts w:eastAsiaTheme="minorEastAsia" w:cstheme="minorBidi"/>
                <w:noProof/>
                <w:kern w:val="2"/>
                <w:sz w:val="22"/>
                <w14:ligatures w14:val="standardContextual"/>
              </w:rPr>
              <w:tab/>
            </w:r>
            <w:r w:rsidR="00B906AE" w:rsidRPr="00EC0361">
              <w:rPr>
                <w:rStyle w:val="Hyperlink"/>
                <w:noProof/>
              </w:rPr>
              <w:t>How to Partner with Forest Service Technology Transfer</w:t>
            </w:r>
            <w:r w:rsidR="00B906AE">
              <w:rPr>
                <w:noProof/>
                <w:webHidden/>
              </w:rPr>
              <w:tab/>
            </w:r>
            <w:r w:rsidR="00B906AE">
              <w:rPr>
                <w:noProof/>
                <w:webHidden/>
              </w:rPr>
              <w:fldChar w:fldCharType="begin"/>
            </w:r>
            <w:r w:rsidR="00B906AE">
              <w:rPr>
                <w:noProof/>
                <w:webHidden/>
              </w:rPr>
              <w:instrText xml:space="preserve"> PAGEREF _Toc160186100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724BD4">
            <w:rPr>
              <w:noProof/>
            </w:rPr>
            <w:t>1</w:t>
          </w:r>
        </w:p>
        <w:p w14:paraId="7BFEEA69" w14:textId="7F4F7DFC" w:rsidR="00B906AE" w:rsidRDefault="00B2178E">
          <w:pPr>
            <w:pStyle w:val="TOC4"/>
            <w:tabs>
              <w:tab w:val="right" w:leader="dot" w:pos="10070"/>
            </w:tabs>
            <w:rPr>
              <w:rFonts w:eastAsiaTheme="minorEastAsia" w:cstheme="minorBidi"/>
              <w:noProof/>
              <w:kern w:val="2"/>
              <w:sz w:val="22"/>
              <w14:ligatures w14:val="standardContextual"/>
            </w:rPr>
          </w:pPr>
          <w:hyperlink w:anchor="_Toc160186101" w:history="1">
            <w:r w:rsidR="00B906AE" w:rsidRPr="00EC0361">
              <w:rPr>
                <w:rStyle w:val="Hyperlink"/>
                <w:rFonts w:ascii="Times New Roman" w:eastAsia="Times New Roman" w:hAnsi="Times New Roman"/>
                <w:bCs/>
                <w:iCs/>
                <w:noProof/>
              </w:rPr>
              <w:t>Material Transfer Agreement (MTA):</w:t>
            </w:r>
            <w:r w:rsidR="00B906AE">
              <w:rPr>
                <w:noProof/>
                <w:webHidden/>
              </w:rPr>
              <w:tab/>
            </w:r>
            <w:r w:rsidR="00B906AE">
              <w:rPr>
                <w:noProof/>
                <w:webHidden/>
              </w:rPr>
              <w:fldChar w:fldCharType="begin"/>
            </w:r>
            <w:r w:rsidR="00B906AE">
              <w:rPr>
                <w:noProof/>
                <w:webHidden/>
              </w:rPr>
              <w:instrText xml:space="preserve"> PAGEREF _Toc160186101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886DE1">
            <w:rPr>
              <w:noProof/>
            </w:rPr>
            <w:t>1</w:t>
          </w:r>
        </w:p>
        <w:p w14:paraId="7D73C982" w14:textId="6C8F3B75" w:rsidR="00B906AE" w:rsidRDefault="00B2178E">
          <w:pPr>
            <w:pStyle w:val="TOC4"/>
            <w:tabs>
              <w:tab w:val="right" w:leader="dot" w:pos="10070"/>
            </w:tabs>
            <w:rPr>
              <w:rFonts w:eastAsiaTheme="minorEastAsia" w:cstheme="minorBidi"/>
              <w:noProof/>
              <w:kern w:val="2"/>
              <w:sz w:val="22"/>
              <w14:ligatures w14:val="standardContextual"/>
            </w:rPr>
          </w:pPr>
          <w:hyperlink w:anchor="_Toc160186102" w:history="1">
            <w:r w:rsidR="00B906AE" w:rsidRPr="00EC0361">
              <w:rPr>
                <w:rStyle w:val="Hyperlink"/>
                <w:rFonts w:ascii="Times New Roman" w:eastAsia="Times New Roman" w:hAnsi="Times New Roman"/>
                <w:bCs/>
                <w:iCs/>
                <w:noProof/>
              </w:rPr>
              <w:t>Data Material Transfer Agreement (DMTA):</w:t>
            </w:r>
            <w:r w:rsidR="00B906AE">
              <w:rPr>
                <w:noProof/>
                <w:webHidden/>
              </w:rPr>
              <w:tab/>
            </w:r>
            <w:r w:rsidR="00B906AE">
              <w:rPr>
                <w:noProof/>
                <w:webHidden/>
              </w:rPr>
              <w:fldChar w:fldCharType="begin"/>
            </w:r>
            <w:r w:rsidR="00B906AE">
              <w:rPr>
                <w:noProof/>
                <w:webHidden/>
              </w:rPr>
              <w:instrText xml:space="preserve"> PAGEREF _Toc160186102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886DE1">
            <w:rPr>
              <w:noProof/>
            </w:rPr>
            <w:t>1</w:t>
          </w:r>
        </w:p>
        <w:p w14:paraId="5E067ABC" w14:textId="29EB66C7" w:rsidR="00B906AE" w:rsidRDefault="00B2178E">
          <w:pPr>
            <w:pStyle w:val="TOC4"/>
            <w:tabs>
              <w:tab w:val="right" w:leader="dot" w:pos="10070"/>
            </w:tabs>
            <w:rPr>
              <w:rFonts w:eastAsiaTheme="minorEastAsia" w:cstheme="minorBidi"/>
              <w:noProof/>
              <w:kern w:val="2"/>
              <w:sz w:val="22"/>
              <w14:ligatures w14:val="standardContextual"/>
            </w:rPr>
          </w:pPr>
          <w:hyperlink w:anchor="_Toc160186103" w:history="1">
            <w:r w:rsidR="00B906AE" w:rsidRPr="00EC0361">
              <w:rPr>
                <w:rStyle w:val="Hyperlink"/>
                <w:rFonts w:ascii="Times New Roman" w:eastAsia="Times New Roman" w:hAnsi="Times New Roman"/>
                <w:bCs/>
                <w:iCs/>
                <w:noProof/>
              </w:rPr>
              <w:t>Cooperative Research and Development Agreement (CRADA):</w:t>
            </w:r>
            <w:r w:rsidR="00B906AE">
              <w:rPr>
                <w:noProof/>
                <w:webHidden/>
              </w:rPr>
              <w:tab/>
            </w:r>
            <w:r w:rsidR="00B906AE">
              <w:rPr>
                <w:noProof/>
                <w:webHidden/>
              </w:rPr>
              <w:fldChar w:fldCharType="begin"/>
            </w:r>
            <w:r w:rsidR="00B906AE">
              <w:rPr>
                <w:noProof/>
                <w:webHidden/>
              </w:rPr>
              <w:instrText xml:space="preserve"> PAGEREF _Toc160186103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6B0D16">
            <w:rPr>
              <w:noProof/>
            </w:rPr>
            <w:t>2</w:t>
          </w:r>
        </w:p>
        <w:p w14:paraId="399F578A" w14:textId="19BAA460" w:rsidR="00B906AE" w:rsidRDefault="00B2178E">
          <w:pPr>
            <w:pStyle w:val="TOC4"/>
            <w:tabs>
              <w:tab w:val="right" w:leader="dot" w:pos="10070"/>
            </w:tabs>
            <w:rPr>
              <w:rFonts w:eastAsiaTheme="minorEastAsia" w:cstheme="minorBidi"/>
              <w:noProof/>
              <w:kern w:val="2"/>
              <w:sz w:val="22"/>
              <w14:ligatures w14:val="standardContextual"/>
            </w:rPr>
          </w:pPr>
          <w:hyperlink w:anchor="_Toc160186104" w:history="1">
            <w:r w:rsidR="00B906AE" w:rsidRPr="00EC0361">
              <w:rPr>
                <w:rStyle w:val="Hyperlink"/>
                <w:rFonts w:ascii="Times New Roman" w:eastAsia="Times New Roman" w:hAnsi="Times New Roman"/>
                <w:bCs/>
                <w:iCs/>
                <w:noProof/>
              </w:rPr>
              <w:t>MTA CRADA:</w:t>
            </w:r>
            <w:r w:rsidR="00B906AE">
              <w:rPr>
                <w:noProof/>
                <w:webHidden/>
              </w:rPr>
              <w:tab/>
            </w:r>
            <w:r w:rsidR="00B906AE">
              <w:rPr>
                <w:noProof/>
                <w:webHidden/>
              </w:rPr>
              <w:fldChar w:fldCharType="begin"/>
            </w:r>
            <w:r w:rsidR="00B906AE">
              <w:rPr>
                <w:noProof/>
                <w:webHidden/>
              </w:rPr>
              <w:instrText xml:space="preserve"> PAGEREF _Toc160186104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6B0D16">
            <w:rPr>
              <w:noProof/>
            </w:rPr>
            <w:t>2</w:t>
          </w:r>
        </w:p>
        <w:p w14:paraId="30EE096C" w14:textId="56B9AF00" w:rsidR="00B906AE" w:rsidRDefault="00B2178E">
          <w:pPr>
            <w:pStyle w:val="TOC4"/>
            <w:tabs>
              <w:tab w:val="right" w:leader="dot" w:pos="10070"/>
            </w:tabs>
            <w:rPr>
              <w:rFonts w:eastAsiaTheme="minorEastAsia" w:cstheme="minorBidi"/>
              <w:noProof/>
              <w:kern w:val="2"/>
              <w:sz w:val="22"/>
              <w14:ligatures w14:val="standardContextual"/>
            </w:rPr>
          </w:pPr>
          <w:hyperlink w:anchor="_Toc160186105" w:history="1">
            <w:r w:rsidR="00B906AE" w:rsidRPr="00EC0361">
              <w:rPr>
                <w:rStyle w:val="Hyperlink"/>
                <w:rFonts w:ascii="Times New Roman" w:eastAsia="Times New Roman" w:hAnsi="Times New Roman"/>
                <w:bCs/>
                <w:iCs/>
                <w:noProof/>
              </w:rPr>
              <w:t>Breeding Material Transfer Agreement (BMTA):</w:t>
            </w:r>
            <w:r w:rsidR="00B906AE">
              <w:rPr>
                <w:noProof/>
                <w:webHidden/>
              </w:rPr>
              <w:tab/>
            </w:r>
            <w:r w:rsidR="00B906AE">
              <w:rPr>
                <w:noProof/>
                <w:webHidden/>
              </w:rPr>
              <w:fldChar w:fldCharType="begin"/>
            </w:r>
            <w:r w:rsidR="00B906AE">
              <w:rPr>
                <w:noProof/>
                <w:webHidden/>
              </w:rPr>
              <w:instrText xml:space="preserve"> PAGEREF _Toc160186105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6B0D16">
            <w:rPr>
              <w:noProof/>
            </w:rPr>
            <w:t>2</w:t>
          </w:r>
        </w:p>
        <w:p w14:paraId="36EC483B" w14:textId="59DAEDB3" w:rsidR="00B906AE" w:rsidRDefault="00B2178E">
          <w:pPr>
            <w:pStyle w:val="TOC4"/>
            <w:tabs>
              <w:tab w:val="right" w:leader="dot" w:pos="10070"/>
            </w:tabs>
            <w:rPr>
              <w:rFonts w:eastAsiaTheme="minorEastAsia" w:cstheme="minorBidi"/>
              <w:noProof/>
              <w:kern w:val="2"/>
              <w:sz w:val="22"/>
              <w14:ligatures w14:val="standardContextual"/>
            </w:rPr>
          </w:pPr>
          <w:hyperlink w:anchor="_Toc160186106" w:history="1">
            <w:r w:rsidR="00B906AE" w:rsidRPr="00EC0361">
              <w:rPr>
                <w:rStyle w:val="Hyperlink"/>
                <w:rFonts w:ascii="Times New Roman" w:eastAsia="Times New Roman" w:hAnsi="Times New Roman"/>
                <w:bCs/>
                <w:iCs/>
                <w:noProof/>
              </w:rPr>
              <w:t>Patents, Provisional and Non-Provisional:</w:t>
            </w:r>
            <w:r w:rsidR="00B906AE">
              <w:rPr>
                <w:noProof/>
                <w:webHidden/>
              </w:rPr>
              <w:tab/>
            </w:r>
            <w:r w:rsidR="00B906AE">
              <w:rPr>
                <w:noProof/>
                <w:webHidden/>
              </w:rPr>
              <w:fldChar w:fldCharType="begin"/>
            </w:r>
            <w:r w:rsidR="00B906AE">
              <w:rPr>
                <w:noProof/>
                <w:webHidden/>
              </w:rPr>
              <w:instrText xml:space="preserve"> PAGEREF _Toc160186106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3D00DD">
            <w:rPr>
              <w:noProof/>
            </w:rPr>
            <w:t>2</w:t>
          </w:r>
        </w:p>
        <w:p w14:paraId="219BCAAA" w14:textId="56DA10AC"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07" w:history="1">
            <w:r w:rsidR="00B906AE" w:rsidRPr="00EC0361">
              <w:rPr>
                <w:rStyle w:val="Hyperlink"/>
                <w:rFonts w:ascii="Times New Roman" w:hAnsi="Times New Roman"/>
                <w:noProof/>
              </w:rPr>
              <w:t>9.6</w:t>
            </w:r>
            <w:r w:rsidR="00B906AE">
              <w:rPr>
                <w:rFonts w:eastAsiaTheme="minorEastAsia" w:cstheme="minorBidi"/>
                <w:noProof/>
                <w:kern w:val="2"/>
                <w:sz w:val="22"/>
                <w14:ligatures w14:val="standardContextual"/>
              </w:rPr>
              <w:tab/>
            </w:r>
            <w:r w:rsidR="00B906AE" w:rsidRPr="00EC0361">
              <w:rPr>
                <w:rStyle w:val="Hyperlink"/>
                <w:rFonts w:ascii="Times New Roman" w:hAnsi="Times New Roman"/>
                <w:noProof/>
              </w:rPr>
              <w:t>Downstream outcomes that support the National Forest System:</w:t>
            </w:r>
            <w:r w:rsidR="00B906AE">
              <w:rPr>
                <w:noProof/>
                <w:webHidden/>
              </w:rPr>
              <w:tab/>
            </w:r>
            <w:r w:rsidR="00B906AE">
              <w:rPr>
                <w:noProof/>
                <w:webHidden/>
              </w:rPr>
              <w:fldChar w:fldCharType="begin"/>
            </w:r>
            <w:r w:rsidR="00B906AE">
              <w:rPr>
                <w:noProof/>
                <w:webHidden/>
              </w:rPr>
              <w:instrText xml:space="preserve"> PAGEREF _Toc160186107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31056E">
            <w:rPr>
              <w:noProof/>
            </w:rPr>
            <w:t>3</w:t>
          </w:r>
        </w:p>
        <w:p w14:paraId="70BA9D51" w14:textId="4F357CA9" w:rsidR="00B906AE" w:rsidRDefault="00B2178E">
          <w:pPr>
            <w:pStyle w:val="TOC2"/>
            <w:tabs>
              <w:tab w:val="left" w:pos="720"/>
              <w:tab w:val="right" w:leader="dot" w:pos="10070"/>
            </w:tabs>
            <w:rPr>
              <w:noProof/>
            </w:rPr>
          </w:pPr>
          <w:hyperlink w:anchor="_Toc160186108" w:history="1">
            <w:r w:rsidR="00B906AE" w:rsidRPr="00EC0361">
              <w:rPr>
                <w:rStyle w:val="Hyperlink"/>
                <w:rFonts w:ascii="Times New Roman" w:hAnsi="Times New Roman"/>
                <w:noProof/>
              </w:rPr>
              <w:t>9.7</w:t>
            </w:r>
            <w:r w:rsidR="00B906AE">
              <w:rPr>
                <w:rFonts w:eastAsiaTheme="minorEastAsia" w:cstheme="minorBidi"/>
                <w:noProof/>
                <w:kern w:val="2"/>
                <w:sz w:val="22"/>
                <w14:ligatures w14:val="standardContextual"/>
              </w:rPr>
              <w:tab/>
            </w:r>
            <w:r w:rsidR="00B906AE" w:rsidRPr="00EC0361">
              <w:rPr>
                <w:rStyle w:val="Hyperlink"/>
                <w:rFonts w:ascii="Times New Roman" w:hAnsi="Times New Roman"/>
                <w:noProof/>
              </w:rPr>
              <w:t>Appendix A: Data tables</w:t>
            </w:r>
            <w:r w:rsidR="00B906AE">
              <w:rPr>
                <w:noProof/>
                <w:webHidden/>
              </w:rPr>
              <w:tab/>
            </w:r>
            <w:r w:rsidR="00B906AE">
              <w:rPr>
                <w:noProof/>
                <w:webHidden/>
              </w:rPr>
              <w:fldChar w:fldCharType="begin"/>
            </w:r>
            <w:r w:rsidR="00B906AE">
              <w:rPr>
                <w:noProof/>
                <w:webHidden/>
              </w:rPr>
              <w:instrText xml:space="preserve"> PAGEREF _Toc160186108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7400D3">
            <w:rPr>
              <w:noProof/>
            </w:rPr>
            <w:t>8</w:t>
          </w:r>
        </w:p>
        <w:p w14:paraId="7525425E" w14:textId="085169DD" w:rsidR="00214633" w:rsidRDefault="00B2178E" w:rsidP="00214633">
          <w:pPr>
            <w:pStyle w:val="TOC2"/>
            <w:tabs>
              <w:tab w:val="right" w:leader="dot" w:pos="10070"/>
            </w:tabs>
            <w:rPr>
              <w:rFonts w:eastAsiaTheme="minorEastAsia" w:cstheme="minorBidi"/>
              <w:noProof/>
              <w:kern w:val="2"/>
              <w:sz w:val="22"/>
              <w14:ligatures w14:val="standardContextual"/>
            </w:rPr>
          </w:pPr>
          <w:hyperlink w:anchor="_Toc160186110" w:history="1">
            <w:r w:rsidR="00214633" w:rsidRPr="00EC0361">
              <w:rPr>
                <w:rStyle w:val="Hyperlink"/>
                <w:rFonts w:ascii="Times New Roman" w:eastAsia="Times New Roman" w:hAnsi="Times New Roman"/>
                <w:noProof/>
              </w:rPr>
              <w:t xml:space="preserve">TABLE </w:t>
            </w:r>
            <w:r w:rsidR="00214633">
              <w:rPr>
                <w:rStyle w:val="Hyperlink"/>
                <w:rFonts w:ascii="Times New Roman" w:eastAsia="Times New Roman" w:hAnsi="Times New Roman"/>
                <w:noProof/>
              </w:rPr>
              <w:t>1</w:t>
            </w:r>
            <w:r w:rsidR="00214633" w:rsidRPr="00EC0361">
              <w:rPr>
                <w:rStyle w:val="Hyperlink"/>
                <w:rFonts w:ascii="Times New Roman" w:eastAsia="Times New Roman" w:hAnsi="Times New Roman"/>
                <w:noProof/>
              </w:rPr>
              <w:t xml:space="preserve">. </w:t>
            </w:r>
            <w:r w:rsidR="0014302A">
              <w:rPr>
                <w:rStyle w:val="Hyperlink"/>
                <w:rFonts w:ascii="Times New Roman" w:eastAsia="Times New Roman" w:hAnsi="Times New Roman"/>
                <w:noProof/>
              </w:rPr>
              <w:t>Collaborative Relationships for Research and Development</w:t>
            </w:r>
            <w:r w:rsidR="00214633">
              <w:rPr>
                <w:noProof/>
                <w:webHidden/>
              </w:rPr>
              <w:tab/>
            </w:r>
            <w:r w:rsidR="00214633">
              <w:rPr>
                <w:noProof/>
                <w:webHidden/>
              </w:rPr>
              <w:fldChar w:fldCharType="begin"/>
            </w:r>
            <w:r w:rsidR="00214633">
              <w:rPr>
                <w:noProof/>
                <w:webHidden/>
              </w:rPr>
              <w:instrText xml:space="preserve"> PAGEREF _Toc160186110 \h </w:instrText>
            </w:r>
            <w:r w:rsidR="00214633">
              <w:rPr>
                <w:noProof/>
                <w:webHidden/>
              </w:rPr>
            </w:r>
            <w:r w:rsidR="00214633">
              <w:rPr>
                <w:noProof/>
                <w:webHidden/>
              </w:rPr>
              <w:fldChar w:fldCharType="separate"/>
            </w:r>
            <w:r w:rsidR="00214633">
              <w:rPr>
                <w:noProof/>
                <w:webHidden/>
              </w:rPr>
              <w:t>178</w:t>
            </w:r>
            <w:r w:rsidR="00214633">
              <w:rPr>
                <w:noProof/>
                <w:webHidden/>
              </w:rPr>
              <w:fldChar w:fldCharType="end"/>
            </w:r>
          </w:hyperlink>
        </w:p>
        <w:p w14:paraId="42322A28" w14:textId="152985F5" w:rsidR="00B906AE" w:rsidRDefault="00B2178E">
          <w:pPr>
            <w:pStyle w:val="TOC2"/>
            <w:tabs>
              <w:tab w:val="right" w:leader="dot" w:pos="10070"/>
            </w:tabs>
            <w:rPr>
              <w:rFonts w:eastAsiaTheme="minorEastAsia" w:cstheme="minorBidi"/>
              <w:noProof/>
              <w:kern w:val="2"/>
              <w:sz w:val="22"/>
              <w14:ligatures w14:val="standardContextual"/>
            </w:rPr>
          </w:pPr>
          <w:hyperlink w:anchor="_Toc160186109" w:history="1">
            <w:r w:rsidR="00B906AE" w:rsidRPr="00EC0361">
              <w:rPr>
                <w:rStyle w:val="Hyperlink"/>
                <w:rFonts w:ascii="Times New Roman" w:eastAsia="Times New Roman" w:hAnsi="Times New Roman"/>
                <w:noProof/>
              </w:rPr>
              <w:t>TABLE 2. Invention Disclosure and Patenting</w:t>
            </w:r>
            <w:r w:rsidR="00B906AE">
              <w:rPr>
                <w:noProof/>
                <w:webHidden/>
              </w:rPr>
              <w:tab/>
            </w:r>
            <w:r w:rsidR="00B906AE">
              <w:rPr>
                <w:noProof/>
                <w:webHidden/>
              </w:rPr>
              <w:fldChar w:fldCharType="begin"/>
            </w:r>
            <w:r w:rsidR="00B906AE">
              <w:rPr>
                <w:noProof/>
                <w:webHidden/>
              </w:rPr>
              <w:instrText xml:space="preserve"> PAGEREF _Toc160186109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6729EB">
            <w:rPr>
              <w:noProof/>
            </w:rPr>
            <w:t>8</w:t>
          </w:r>
        </w:p>
        <w:p w14:paraId="19881295" w14:textId="04EABA2A" w:rsidR="00B906AE" w:rsidRDefault="00B2178E">
          <w:pPr>
            <w:pStyle w:val="TOC2"/>
            <w:tabs>
              <w:tab w:val="right" w:leader="dot" w:pos="10070"/>
            </w:tabs>
            <w:rPr>
              <w:rFonts w:eastAsiaTheme="minorEastAsia" w:cstheme="minorBidi"/>
              <w:noProof/>
              <w:kern w:val="2"/>
              <w:sz w:val="22"/>
              <w14:ligatures w14:val="standardContextual"/>
            </w:rPr>
          </w:pPr>
          <w:hyperlink w:anchor="_Toc160186110" w:history="1">
            <w:r w:rsidR="00B906AE" w:rsidRPr="00EC0361">
              <w:rPr>
                <w:rStyle w:val="Hyperlink"/>
                <w:rFonts w:ascii="Times New Roman" w:eastAsia="Times New Roman" w:hAnsi="Times New Roman"/>
                <w:noProof/>
              </w:rPr>
              <w:t>TABLE 3. Profile of Active Licenses</w:t>
            </w:r>
            <w:r w:rsidR="00B906AE">
              <w:rPr>
                <w:noProof/>
                <w:webHidden/>
              </w:rPr>
              <w:tab/>
            </w:r>
            <w:r w:rsidR="00B906AE">
              <w:rPr>
                <w:noProof/>
                <w:webHidden/>
              </w:rPr>
              <w:fldChar w:fldCharType="begin"/>
            </w:r>
            <w:r w:rsidR="00B906AE">
              <w:rPr>
                <w:noProof/>
                <w:webHidden/>
              </w:rPr>
              <w:instrText xml:space="preserve"> PAGEREF _Toc160186110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C353F9">
            <w:rPr>
              <w:noProof/>
            </w:rPr>
            <w:t>9</w:t>
          </w:r>
        </w:p>
        <w:p w14:paraId="143D8DA3" w14:textId="2D7E8F35" w:rsidR="00B906AE" w:rsidRDefault="00B2178E">
          <w:pPr>
            <w:pStyle w:val="TOC2"/>
            <w:tabs>
              <w:tab w:val="right" w:leader="dot" w:pos="10070"/>
            </w:tabs>
            <w:rPr>
              <w:rFonts w:eastAsiaTheme="minorEastAsia" w:cstheme="minorBidi"/>
              <w:noProof/>
              <w:kern w:val="2"/>
              <w:sz w:val="22"/>
              <w14:ligatures w14:val="standardContextual"/>
            </w:rPr>
          </w:pPr>
          <w:hyperlink w:anchor="_Toc160186111" w:history="1">
            <w:r w:rsidR="00B906AE" w:rsidRPr="00EC0361">
              <w:rPr>
                <w:rStyle w:val="Hyperlink"/>
                <w:rFonts w:ascii="Times New Roman" w:eastAsia="Times New Roman" w:hAnsi="Times New Roman"/>
                <w:noProof/>
              </w:rPr>
              <w:t>TABLE 4. Characteristics of Income Bearing Licenses</w:t>
            </w:r>
            <w:r w:rsidR="00B906AE">
              <w:rPr>
                <w:noProof/>
                <w:webHidden/>
              </w:rPr>
              <w:tab/>
            </w:r>
            <w:r w:rsidR="00B906AE">
              <w:rPr>
                <w:noProof/>
                <w:webHidden/>
              </w:rPr>
              <w:fldChar w:fldCharType="begin"/>
            </w:r>
            <w:r w:rsidR="00B906AE">
              <w:rPr>
                <w:noProof/>
                <w:webHidden/>
              </w:rPr>
              <w:instrText xml:space="preserve"> PAGEREF _Toc160186111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C353F9">
            <w:rPr>
              <w:noProof/>
            </w:rPr>
            <w:t>9</w:t>
          </w:r>
        </w:p>
        <w:p w14:paraId="186F5FD6" w14:textId="053BBE2B" w:rsidR="00B906AE" w:rsidRDefault="00B2178E">
          <w:pPr>
            <w:pStyle w:val="TOC2"/>
            <w:tabs>
              <w:tab w:val="right" w:leader="dot" w:pos="10070"/>
            </w:tabs>
            <w:rPr>
              <w:rFonts w:eastAsiaTheme="minorEastAsia" w:cstheme="minorBidi"/>
              <w:noProof/>
              <w:kern w:val="2"/>
              <w:sz w:val="22"/>
              <w14:ligatures w14:val="standardContextual"/>
            </w:rPr>
          </w:pPr>
          <w:hyperlink w:anchor="_Toc160186112" w:history="1">
            <w:r w:rsidR="00B906AE" w:rsidRPr="00EC0361">
              <w:rPr>
                <w:rStyle w:val="Hyperlink"/>
                <w:rFonts w:ascii="Times New Roman" w:eastAsia="Times New Roman" w:hAnsi="Times New Roman"/>
                <w:noProof/>
              </w:rPr>
              <w:t>TABLE 5: Income from Licensing</w:t>
            </w:r>
            <w:r w:rsidR="00B906AE">
              <w:rPr>
                <w:noProof/>
                <w:webHidden/>
              </w:rPr>
              <w:tab/>
            </w:r>
            <w:r w:rsidR="00B906AE">
              <w:rPr>
                <w:noProof/>
                <w:webHidden/>
              </w:rPr>
              <w:fldChar w:fldCharType="begin"/>
            </w:r>
            <w:r w:rsidR="00B906AE">
              <w:rPr>
                <w:noProof/>
                <w:webHidden/>
              </w:rPr>
              <w:instrText xml:space="preserve"> PAGEREF _Toc160186112 \h </w:instrText>
            </w:r>
            <w:r w:rsidR="00B906AE">
              <w:rPr>
                <w:noProof/>
                <w:webHidden/>
              </w:rPr>
            </w:r>
            <w:r w:rsidR="00B906AE">
              <w:rPr>
                <w:noProof/>
                <w:webHidden/>
              </w:rPr>
              <w:fldChar w:fldCharType="separate"/>
            </w:r>
            <w:r w:rsidR="009033D2">
              <w:rPr>
                <w:noProof/>
                <w:webHidden/>
              </w:rPr>
              <w:t>17</w:t>
            </w:r>
            <w:r w:rsidR="00B906AE">
              <w:rPr>
                <w:noProof/>
                <w:webHidden/>
              </w:rPr>
              <w:fldChar w:fldCharType="end"/>
            </w:r>
          </w:hyperlink>
          <w:r w:rsidR="00BB6800">
            <w:rPr>
              <w:noProof/>
            </w:rPr>
            <w:t>9</w:t>
          </w:r>
        </w:p>
        <w:p w14:paraId="03BC625F" w14:textId="4A2FCD56" w:rsidR="00B906AE" w:rsidRDefault="00B2178E">
          <w:pPr>
            <w:pStyle w:val="TOC2"/>
            <w:tabs>
              <w:tab w:val="right" w:leader="dot" w:pos="10070"/>
            </w:tabs>
            <w:rPr>
              <w:rFonts w:eastAsiaTheme="minorEastAsia" w:cstheme="minorBidi"/>
              <w:noProof/>
              <w:kern w:val="2"/>
              <w:sz w:val="22"/>
              <w14:ligatures w14:val="standardContextual"/>
            </w:rPr>
          </w:pPr>
          <w:hyperlink w:anchor="_Toc160186113" w:history="1">
            <w:r w:rsidR="00B906AE" w:rsidRPr="00EC0361">
              <w:rPr>
                <w:rStyle w:val="Hyperlink"/>
                <w:rFonts w:ascii="Times New Roman" w:eastAsia="Times New Roman" w:hAnsi="Times New Roman"/>
                <w:noProof/>
              </w:rPr>
              <w:t>TABLE 6: Fiscal Year 2022 Forest Service Accomplishment Metrics in support of the Research, Education, and Economics Action Plan</w:t>
            </w:r>
            <w:r w:rsidR="00B906AE">
              <w:rPr>
                <w:noProof/>
                <w:webHidden/>
              </w:rPr>
              <w:tab/>
            </w:r>
            <w:r w:rsidR="00B906AE">
              <w:rPr>
                <w:noProof/>
                <w:webHidden/>
              </w:rPr>
              <w:fldChar w:fldCharType="begin"/>
            </w:r>
            <w:r w:rsidR="00B906AE">
              <w:rPr>
                <w:noProof/>
                <w:webHidden/>
              </w:rPr>
              <w:instrText xml:space="preserve"> PAGEREF _Toc160186113 \h </w:instrText>
            </w:r>
            <w:r w:rsidR="00B906AE">
              <w:rPr>
                <w:noProof/>
                <w:webHidden/>
              </w:rPr>
            </w:r>
            <w:r w:rsidR="00B906AE">
              <w:rPr>
                <w:noProof/>
                <w:webHidden/>
              </w:rPr>
              <w:fldChar w:fldCharType="separate"/>
            </w:r>
            <w:r w:rsidR="009033D2">
              <w:rPr>
                <w:noProof/>
                <w:webHidden/>
              </w:rPr>
              <w:t>1</w:t>
            </w:r>
            <w:r w:rsidR="00B906AE">
              <w:rPr>
                <w:noProof/>
                <w:webHidden/>
              </w:rPr>
              <w:fldChar w:fldCharType="end"/>
            </w:r>
          </w:hyperlink>
          <w:r w:rsidR="00BB6800">
            <w:rPr>
              <w:noProof/>
            </w:rPr>
            <w:t>80</w:t>
          </w:r>
        </w:p>
        <w:p w14:paraId="6D1690E1" w14:textId="7AD43A80" w:rsidR="00B906AE" w:rsidRDefault="00B2178E">
          <w:pPr>
            <w:pStyle w:val="TOC1"/>
            <w:rPr>
              <w:rFonts w:eastAsiaTheme="minorEastAsia" w:cstheme="minorBidi"/>
              <w:b w:val="0"/>
              <w:noProof/>
              <w:kern w:val="2"/>
              <w:sz w:val="22"/>
              <w14:ligatures w14:val="standardContextual"/>
            </w:rPr>
          </w:pPr>
          <w:hyperlink w:anchor="_Toc160186114" w:history="1">
            <w:r w:rsidR="00B906AE" w:rsidRPr="00EC0361">
              <w:rPr>
                <w:rStyle w:val="Hyperlink"/>
                <w:rFonts w:cstheme="minorHAnsi"/>
                <w:noProof/>
              </w:rPr>
              <w:t>10</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National Agricultural Statistics Service (NASS)</w:t>
            </w:r>
            <w:r w:rsidR="00B906AE">
              <w:rPr>
                <w:noProof/>
                <w:webHidden/>
              </w:rPr>
              <w:tab/>
            </w:r>
            <w:r w:rsidR="00B906AE">
              <w:rPr>
                <w:noProof/>
                <w:webHidden/>
              </w:rPr>
              <w:fldChar w:fldCharType="begin"/>
            </w:r>
            <w:r w:rsidR="00B906AE">
              <w:rPr>
                <w:noProof/>
                <w:webHidden/>
              </w:rPr>
              <w:instrText xml:space="preserve"> PAGEREF _Toc160186114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1743C2">
            <w:rPr>
              <w:noProof/>
            </w:rPr>
            <w:t>1</w:t>
          </w:r>
        </w:p>
        <w:p w14:paraId="15C0F4B0" w14:textId="20E3D95E"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15" w:history="1">
            <w:r w:rsidR="00B906AE" w:rsidRPr="00EC0361">
              <w:rPr>
                <w:rStyle w:val="Hyperlink"/>
                <w:rFonts w:ascii="Calibri" w:eastAsia="Times New Roman" w:hAnsi="Calibri" w:cs="Calibri"/>
                <w:noProof/>
                <w:kern w:val="32"/>
              </w:rPr>
              <w:t>10.1</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Mission Statement</w:t>
            </w:r>
            <w:r w:rsidR="00B906AE">
              <w:rPr>
                <w:noProof/>
                <w:webHidden/>
              </w:rPr>
              <w:tab/>
            </w:r>
            <w:r w:rsidR="00B906AE">
              <w:rPr>
                <w:noProof/>
                <w:webHidden/>
              </w:rPr>
              <w:fldChar w:fldCharType="begin"/>
            </w:r>
            <w:r w:rsidR="00B906AE">
              <w:rPr>
                <w:noProof/>
                <w:webHidden/>
              </w:rPr>
              <w:instrText xml:space="preserve"> PAGEREF _Toc160186115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1743C2">
            <w:rPr>
              <w:noProof/>
            </w:rPr>
            <w:t>1</w:t>
          </w:r>
        </w:p>
        <w:p w14:paraId="2677BB9C" w14:textId="5EBC12B3"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16" w:history="1">
            <w:r w:rsidR="00B906AE" w:rsidRPr="00EC0361">
              <w:rPr>
                <w:rStyle w:val="Hyperlink"/>
                <w:rFonts w:ascii="Calibri" w:eastAsia="Times New Roman" w:hAnsi="Calibri" w:cs="Calibri"/>
                <w:noProof/>
                <w:kern w:val="32"/>
              </w:rPr>
              <w:t>10.2</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Nature and Structure of Research Program</w:t>
            </w:r>
            <w:r w:rsidR="00B906AE">
              <w:rPr>
                <w:noProof/>
                <w:webHidden/>
              </w:rPr>
              <w:tab/>
            </w:r>
            <w:r w:rsidR="00B906AE">
              <w:rPr>
                <w:noProof/>
                <w:webHidden/>
              </w:rPr>
              <w:fldChar w:fldCharType="begin"/>
            </w:r>
            <w:r w:rsidR="00B906AE">
              <w:rPr>
                <w:noProof/>
                <w:webHidden/>
              </w:rPr>
              <w:instrText xml:space="preserve"> PAGEREF _Toc160186116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1743C2">
            <w:rPr>
              <w:noProof/>
            </w:rPr>
            <w:t>1</w:t>
          </w:r>
        </w:p>
        <w:p w14:paraId="5A6527F0" w14:textId="0955234F"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17" w:history="1">
            <w:r w:rsidR="00B906AE" w:rsidRPr="00EC0361">
              <w:rPr>
                <w:rStyle w:val="Hyperlink"/>
                <w:rFonts w:ascii="Calibri" w:eastAsia="Times New Roman" w:hAnsi="Calibri" w:cs="Calibri"/>
                <w:noProof/>
                <w:kern w:val="32"/>
              </w:rPr>
              <w:t>10.3</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Downstream Outcomes</w:t>
            </w:r>
            <w:r w:rsidR="00B906AE">
              <w:rPr>
                <w:noProof/>
                <w:webHidden/>
              </w:rPr>
              <w:tab/>
            </w:r>
            <w:r w:rsidR="00B906AE">
              <w:rPr>
                <w:noProof/>
                <w:webHidden/>
              </w:rPr>
              <w:fldChar w:fldCharType="begin"/>
            </w:r>
            <w:r w:rsidR="00B906AE">
              <w:rPr>
                <w:noProof/>
                <w:webHidden/>
              </w:rPr>
              <w:instrText xml:space="preserve"> PAGEREF _Toc160186117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1743C2">
            <w:rPr>
              <w:noProof/>
            </w:rPr>
            <w:t>1</w:t>
          </w:r>
        </w:p>
        <w:p w14:paraId="75B9FAF9" w14:textId="1B7E8A43"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18" w:history="1">
            <w:r w:rsidR="00B906AE" w:rsidRPr="00EC0361">
              <w:rPr>
                <w:rStyle w:val="Hyperlink"/>
                <w:rFonts w:ascii="Calibri" w:hAnsi="Calibri" w:cs="Calibri"/>
                <w:bCs/>
                <w:iCs/>
                <w:noProof/>
                <w:kern w:val="32"/>
              </w:rPr>
              <w:t>10.3.1</w:t>
            </w:r>
            <w:r w:rsidR="00B906AE">
              <w:rPr>
                <w:rFonts w:eastAsiaTheme="minorEastAsia" w:cstheme="minorBidi"/>
                <w:noProof/>
                <w:kern w:val="2"/>
                <w:sz w:val="22"/>
                <w14:ligatures w14:val="standardContextual"/>
              </w:rPr>
              <w:tab/>
            </w:r>
            <w:r w:rsidR="00B906AE" w:rsidRPr="00EC0361">
              <w:rPr>
                <w:rStyle w:val="Hyperlink"/>
                <w:rFonts w:ascii="Calibri" w:hAnsi="Calibri" w:cs="Calibri"/>
                <w:bCs/>
                <w:iCs/>
                <w:noProof/>
                <w:kern w:val="32"/>
              </w:rPr>
              <w:t>Estimation Enhancements:</w:t>
            </w:r>
            <w:r w:rsidR="00B906AE">
              <w:rPr>
                <w:noProof/>
                <w:webHidden/>
              </w:rPr>
              <w:tab/>
            </w:r>
            <w:r w:rsidR="00B906AE">
              <w:rPr>
                <w:noProof/>
                <w:webHidden/>
              </w:rPr>
              <w:fldChar w:fldCharType="begin"/>
            </w:r>
            <w:r w:rsidR="00B906AE">
              <w:rPr>
                <w:noProof/>
                <w:webHidden/>
              </w:rPr>
              <w:instrText xml:space="preserve"> PAGEREF _Toc160186118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E86353">
            <w:rPr>
              <w:noProof/>
            </w:rPr>
            <w:t>1</w:t>
          </w:r>
        </w:p>
        <w:p w14:paraId="7ADE2C06" w14:textId="4A8E088A"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19" w:history="1">
            <w:r w:rsidR="00B906AE" w:rsidRPr="00EC0361">
              <w:rPr>
                <w:rStyle w:val="Hyperlink"/>
                <w:rFonts w:ascii="Calibri" w:eastAsia="Times New Roman" w:hAnsi="Calibri" w:cs="Calibri"/>
                <w:bCs/>
                <w:iCs/>
                <w:noProof/>
                <w:kern w:val="32"/>
              </w:rPr>
              <w:t>10.3.2</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Decision Support System (DSS)</w:t>
            </w:r>
            <w:r w:rsidR="00B906AE">
              <w:rPr>
                <w:noProof/>
                <w:webHidden/>
              </w:rPr>
              <w:tab/>
            </w:r>
            <w:r w:rsidR="00B906AE">
              <w:rPr>
                <w:noProof/>
                <w:webHidden/>
              </w:rPr>
              <w:fldChar w:fldCharType="begin"/>
            </w:r>
            <w:r w:rsidR="00B906AE">
              <w:rPr>
                <w:noProof/>
                <w:webHidden/>
              </w:rPr>
              <w:instrText xml:space="preserve"> PAGEREF _Toc160186119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E86353">
            <w:rPr>
              <w:noProof/>
            </w:rPr>
            <w:t>3</w:t>
          </w:r>
        </w:p>
        <w:p w14:paraId="384BCEE7" w14:textId="4B892FA4"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20" w:history="1">
            <w:r w:rsidR="00B906AE" w:rsidRPr="00EC0361">
              <w:rPr>
                <w:rStyle w:val="Hyperlink"/>
                <w:rFonts w:ascii="Calibri" w:hAnsi="Calibri" w:cs="Calibri"/>
                <w:bCs/>
                <w:iCs/>
                <w:noProof/>
                <w:kern w:val="32"/>
              </w:rPr>
              <w:t>10.3.3</w:t>
            </w:r>
            <w:r w:rsidR="00B906AE">
              <w:rPr>
                <w:rFonts w:eastAsiaTheme="minorEastAsia" w:cstheme="minorBidi"/>
                <w:noProof/>
                <w:kern w:val="2"/>
                <w:sz w:val="22"/>
                <w14:ligatures w14:val="standardContextual"/>
              </w:rPr>
              <w:tab/>
            </w:r>
            <w:r w:rsidR="00B906AE" w:rsidRPr="00EC0361">
              <w:rPr>
                <w:rStyle w:val="Hyperlink"/>
                <w:rFonts w:ascii="Calibri" w:hAnsi="Calibri" w:cs="Calibri"/>
                <w:bCs/>
                <w:iCs/>
                <w:noProof/>
                <w:kern w:val="32"/>
              </w:rPr>
              <w:t>Effect of Revisions in the post-2020 June Area Survey on Data Quality:</w:t>
            </w:r>
            <w:r w:rsidR="00B906AE">
              <w:rPr>
                <w:noProof/>
                <w:webHidden/>
              </w:rPr>
              <w:tab/>
            </w:r>
            <w:r w:rsidR="00B906AE">
              <w:rPr>
                <w:noProof/>
                <w:webHidden/>
              </w:rPr>
              <w:fldChar w:fldCharType="begin"/>
            </w:r>
            <w:r w:rsidR="00B906AE">
              <w:rPr>
                <w:noProof/>
                <w:webHidden/>
              </w:rPr>
              <w:instrText xml:space="preserve"> PAGEREF _Toc160186120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E86353">
            <w:rPr>
              <w:noProof/>
            </w:rPr>
            <w:t>3</w:t>
          </w:r>
        </w:p>
        <w:p w14:paraId="4F4D3CF9" w14:textId="487A4AAF"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21" w:history="1">
            <w:r w:rsidR="00B906AE" w:rsidRPr="00EC0361">
              <w:rPr>
                <w:rStyle w:val="Hyperlink"/>
                <w:rFonts w:ascii="Calibri" w:hAnsi="Calibri" w:cs="Calibri"/>
                <w:bCs/>
                <w:iCs/>
                <w:noProof/>
                <w:kern w:val="32"/>
              </w:rPr>
              <w:t>10.3.4</w:t>
            </w:r>
            <w:r w:rsidR="00B906AE">
              <w:rPr>
                <w:rFonts w:eastAsiaTheme="minorEastAsia" w:cstheme="minorBidi"/>
                <w:noProof/>
                <w:kern w:val="2"/>
                <w:sz w:val="22"/>
                <w14:ligatures w14:val="standardContextual"/>
              </w:rPr>
              <w:tab/>
            </w:r>
            <w:r w:rsidR="00B906AE" w:rsidRPr="00EC0361">
              <w:rPr>
                <w:rStyle w:val="Hyperlink"/>
                <w:rFonts w:ascii="Calibri" w:hAnsi="Calibri" w:cs="Calibri"/>
                <w:bCs/>
                <w:iCs/>
                <w:noProof/>
                <w:kern w:val="32"/>
              </w:rPr>
              <w:t>Automated Stratification for Construction of Area Frame:</w:t>
            </w:r>
            <w:r w:rsidR="00B906AE">
              <w:rPr>
                <w:noProof/>
                <w:webHidden/>
              </w:rPr>
              <w:tab/>
            </w:r>
            <w:r w:rsidR="00B906AE">
              <w:rPr>
                <w:noProof/>
                <w:webHidden/>
              </w:rPr>
              <w:fldChar w:fldCharType="begin"/>
            </w:r>
            <w:r w:rsidR="00B906AE">
              <w:rPr>
                <w:noProof/>
                <w:webHidden/>
              </w:rPr>
              <w:instrText xml:space="preserve"> PAGEREF _Toc160186121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FA68E4">
            <w:rPr>
              <w:noProof/>
            </w:rPr>
            <w:t>4</w:t>
          </w:r>
        </w:p>
        <w:p w14:paraId="6128FA1E" w14:textId="2AE39F66"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22" w:history="1">
            <w:r w:rsidR="00B906AE" w:rsidRPr="00EC0361">
              <w:rPr>
                <w:rStyle w:val="Hyperlink"/>
                <w:rFonts w:ascii="Calibri" w:hAnsi="Calibri" w:cs="Calibri"/>
                <w:bCs/>
                <w:iCs/>
                <w:noProof/>
                <w:kern w:val="32"/>
              </w:rPr>
              <w:t>10.3.5</w:t>
            </w:r>
            <w:r w:rsidR="00B906AE">
              <w:rPr>
                <w:rFonts w:eastAsiaTheme="minorEastAsia" w:cstheme="minorBidi"/>
                <w:noProof/>
                <w:kern w:val="2"/>
                <w:sz w:val="22"/>
                <w14:ligatures w14:val="standardContextual"/>
              </w:rPr>
              <w:tab/>
            </w:r>
            <w:r w:rsidR="00B906AE" w:rsidRPr="00EC0361">
              <w:rPr>
                <w:rStyle w:val="Hyperlink"/>
                <w:rFonts w:ascii="Calibri" w:hAnsi="Calibri" w:cs="Calibri"/>
                <w:bCs/>
                <w:iCs/>
                <w:noProof/>
                <w:kern w:val="32"/>
              </w:rPr>
              <w:t>Sampling Frames and Webscraping:</w:t>
            </w:r>
            <w:r w:rsidR="00B906AE">
              <w:rPr>
                <w:noProof/>
                <w:webHidden/>
              </w:rPr>
              <w:tab/>
            </w:r>
            <w:r w:rsidR="00B906AE">
              <w:rPr>
                <w:noProof/>
                <w:webHidden/>
              </w:rPr>
              <w:fldChar w:fldCharType="begin"/>
            </w:r>
            <w:r w:rsidR="00B906AE">
              <w:rPr>
                <w:noProof/>
                <w:webHidden/>
              </w:rPr>
              <w:instrText xml:space="preserve"> PAGEREF _Toc160186122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FA68E4">
            <w:rPr>
              <w:noProof/>
            </w:rPr>
            <w:t>4</w:t>
          </w:r>
        </w:p>
        <w:p w14:paraId="7C102CAF" w14:textId="14AB859E"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23" w:history="1">
            <w:r w:rsidR="00B906AE" w:rsidRPr="00EC0361">
              <w:rPr>
                <w:rStyle w:val="Hyperlink"/>
                <w:rFonts w:ascii="Calibri" w:hAnsi="Calibri" w:cs="Calibri"/>
                <w:bCs/>
                <w:iCs/>
                <w:noProof/>
                <w:kern w:val="32"/>
              </w:rPr>
              <w:t>10.3.6</w:t>
            </w:r>
            <w:r w:rsidR="00B906AE">
              <w:rPr>
                <w:rFonts w:eastAsiaTheme="minorEastAsia" w:cstheme="minorBidi"/>
                <w:noProof/>
                <w:kern w:val="2"/>
                <w:sz w:val="22"/>
                <w14:ligatures w14:val="standardContextual"/>
              </w:rPr>
              <w:tab/>
            </w:r>
            <w:r w:rsidR="00B906AE" w:rsidRPr="00EC0361">
              <w:rPr>
                <w:rStyle w:val="Hyperlink"/>
                <w:rFonts w:ascii="Calibri" w:hAnsi="Calibri" w:cs="Calibri"/>
                <w:bCs/>
                <w:iCs/>
                <w:noProof/>
                <w:kern w:val="32"/>
              </w:rPr>
              <w:t>Geospatial Products:</w:t>
            </w:r>
            <w:r w:rsidR="00B906AE">
              <w:rPr>
                <w:noProof/>
                <w:webHidden/>
              </w:rPr>
              <w:tab/>
            </w:r>
            <w:r w:rsidR="00B906AE">
              <w:rPr>
                <w:noProof/>
                <w:webHidden/>
              </w:rPr>
              <w:fldChar w:fldCharType="begin"/>
            </w:r>
            <w:r w:rsidR="00B906AE">
              <w:rPr>
                <w:noProof/>
                <w:webHidden/>
              </w:rPr>
              <w:instrText xml:space="preserve"> PAGEREF _Toc160186123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F51DB7">
            <w:rPr>
              <w:noProof/>
            </w:rPr>
            <w:t>5</w:t>
          </w:r>
        </w:p>
        <w:p w14:paraId="138F22F9" w14:textId="33D90788"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24" w:history="1">
            <w:r w:rsidR="00B906AE" w:rsidRPr="00EC0361">
              <w:rPr>
                <w:rStyle w:val="Hyperlink"/>
                <w:rFonts w:ascii="Calibri" w:eastAsia="Times New Roman" w:hAnsi="Calibri" w:cs="Calibri"/>
                <w:bCs/>
                <w:iCs/>
                <w:noProof/>
                <w:kern w:val="32"/>
              </w:rPr>
              <w:t>10.3.7</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Data Collection Enhancement for the Census of Agriculture and NASS Surveys:</w:t>
            </w:r>
            <w:r w:rsidR="00B906AE">
              <w:rPr>
                <w:noProof/>
                <w:webHidden/>
              </w:rPr>
              <w:tab/>
            </w:r>
            <w:r w:rsidR="00B906AE">
              <w:rPr>
                <w:noProof/>
                <w:webHidden/>
              </w:rPr>
              <w:fldChar w:fldCharType="begin"/>
            </w:r>
            <w:r w:rsidR="00B906AE">
              <w:rPr>
                <w:noProof/>
                <w:webHidden/>
              </w:rPr>
              <w:instrText xml:space="preserve"> PAGEREF _Toc160186124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A80DEA">
            <w:rPr>
              <w:noProof/>
            </w:rPr>
            <w:t>6</w:t>
          </w:r>
        </w:p>
        <w:p w14:paraId="753D656C" w14:textId="0E81DBCC"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25" w:history="1">
            <w:r w:rsidR="00B906AE" w:rsidRPr="00EC0361">
              <w:rPr>
                <w:rStyle w:val="Hyperlink"/>
                <w:rFonts w:ascii="Calibri" w:eastAsia="Times New Roman" w:hAnsi="Calibri" w:cs="Calibri"/>
                <w:bCs/>
                <w:iCs/>
                <w:noProof/>
                <w:kern w:val="32"/>
              </w:rPr>
              <w:t>10.3.8</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Using Email and Text Communications in Data Collection:</w:t>
            </w:r>
            <w:r w:rsidR="00B906AE">
              <w:rPr>
                <w:noProof/>
                <w:webHidden/>
              </w:rPr>
              <w:tab/>
            </w:r>
            <w:r w:rsidR="00B906AE">
              <w:rPr>
                <w:noProof/>
                <w:webHidden/>
              </w:rPr>
              <w:fldChar w:fldCharType="begin"/>
            </w:r>
            <w:r w:rsidR="00B906AE">
              <w:rPr>
                <w:noProof/>
                <w:webHidden/>
              </w:rPr>
              <w:instrText xml:space="preserve"> PAGEREF _Toc160186125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A80DEA">
            <w:rPr>
              <w:noProof/>
            </w:rPr>
            <w:t>6</w:t>
          </w:r>
        </w:p>
        <w:p w14:paraId="4F68DE90" w14:textId="2755F3E5"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26" w:history="1">
            <w:r w:rsidR="00B906AE" w:rsidRPr="00EC0361">
              <w:rPr>
                <w:rStyle w:val="Hyperlink"/>
                <w:rFonts w:ascii="Calibri" w:eastAsia="Times New Roman" w:hAnsi="Calibri" w:cs="Calibri"/>
                <w:bCs/>
                <w:iCs/>
                <w:noProof/>
                <w:kern w:val="32"/>
              </w:rPr>
              <w:t>10.3.9</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Computer-Assisted Personal Interviewing (CAPI):</w:t>
            </w:r>
            <w:r w:rsidR="00B906AE">
              <w:rPr>
                <w:noProof/>
                <w:webHidden/>
              </w:rPr>
              <w:tab/>
            </w:r>
            <w:r w:rsidR="00B906AE">
              <w:rPr>
                <w:noProof/>
                <w:webHidden/>
              </w:rPr>
              <w:fldChar w:fldCharType="begin"/>
            </w:r>
            <w:r w:rsidR="00B906AE">
              <w:rPr>
                <w:noProof/>
                <w:webHidden/>
              </w:rPr>
              <w:instrText xml:space="preserve"> PAGEREF _Toc160186126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650BB2">
            <w:rPr>
              <w:noProof/>
            </w:rPr>
            <w:t>7</w:t>
          </w:r>
        </w:p>
        <w:p w14:paraId="052F1DBF" w14:textId="1D0E4A42"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27" w:history="1">
            <w:r w:rsidR="00B906AE" w:rsidRPr="00EC0361">
              <w:rPr>
                <w:rStyle w:val="Hyperlink"/>
                <w:rFonts w:ascii="Calibri" w:eastAsia="Times New Roman" w:hAnsi="Calibri" w:cs="Calibri"/>
                <w:bCs/>
                <w:iCs/>
                <w:noProof/>
                <w:kern w:val="32"/>
              </w:rPr>
              <w:t>10.3.10</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NASS Mobility Management:</w:t>
            </w:r>
            <w:r w:rsidR="00B906AE">
              <w:rPr>
                <w:noProof/>
                <w:webHidden/>
              </w:rPr>
              <w:tab/>
            </w:r>
            <w:r w:rsidR="00B906AE">
              <w:rPr>
                <w:noProof/>
                <w:webHidden/>
              </w:rPr>
              <w:fldChar w:fldCharType="begin"/>
            </w:r>
            <w:r w:rsidR="00B906AE">
              <w:rPr>
                <w:noProof/>
                <w:webHidden/>
              </w:rPr>
              <w:instrText xml:space="preserve"> PAGEREF _Toc160186127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650BB2">
            <w:rPr>
              <w:noProof/>
            </w:rPr>
            <w:t>7</w:t>
          </w:r>
        </w:p>
        <w:p w14:paraId="7B94DD48" w14:textId="5F74AA5D"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28" w:history="1">
            <w:r w:rsidR="00B906AE" w:rsidRPr="00EC0361">
              <w:rPr>
                <w:rStyle w:val="Hyperlink"/>
                <w:rFonts w:ascii="Calibri" w:eastAsia="Times New Roman" w:hAnsi="Calibri" w:cs="Calibri"/>
                <w:bCs/>
                <w:iCs/>
                <w:noProof/>
                <w:kern w:val="32"/>
              </w:rPr>
              <w:t>10.3.11</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NASS Data Collection Systems and Applications:</w:t>
            </w:r>
            <w:r w:rsidR="00B906AE">
              <w:rPr>
                <w:noProof/>
                <w:webHidden/>
              </w:rPr>
              <w:tab/>
            </w:r>
            <w:r w:rsidR="00B906AE">
              <w:rPr>
                <w:noProof/>
                <w:webHidden/>
              </w:rPr>
              <w:fldChar w:fldCharType="begin"/>
            </w:r>
            <w:r w:rsidR="00B906AE">
              <w:rPr>
                <w:noProof/>
                <w:webHidden/>
              </w:rPr>
              <w:instrText xml:space="preserve"> PAGEREF _Toc160186128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650BB2">
            <w:rPr>
              <w:noProof/>
            </w:rPr>
            <w:t>7</w:t>
          </w:r>
        </w:p>
        <w:p w14:paraId="18FA1C81" w14:textId="3C542F10"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29" w:history="1">
            <w:r w:rsidR="00B906AE" w:rsidRPr="00EC0361">
              <w:rPr>
                <w:rStyle w:val="Hyperlink"/>
                <w:rFonts w:ascii="Calibri" w:eastAsia="Times New Roman" w:hAnsi="Calibri" w:cs="Calibri"/>
                <w:bCs/>
                <w:iCs/>
                <w:noProof/>
                <w:kern w:val="32"/>
              </w:rPr>
              <w:t>10.3.12</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Print Order Tracking System:</w:t>
            </w:r>
            <w:r w:rsidR="00B906AE">
              <w:rPr>
                <w:noProof/>
                <w:webHidden/>
              </w:rPr>
              <w:tab/>
            </w:r>
            <w:r w:rsidR="00B906AE">
              <w:rPr>
                <w:noProof/>
                <w:webHidden/>
              </w:rPr>
              <w:fldChar w:fldCharType="begin"/>
            </w:r>
            <w:r w:rsidR="00B906AE">
              <w:rPr>
                <w:noProof/>
                <w:webHidden/>
              </w:rPr>
              <w:instrText xml:space="preserve"> PAGEREF _Toc160186129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BF0B0C">
            <w:rPr>
              <w:noProof/>
            </w:rPr>
            <w:t>8</w:t>
          </w:r>
        </w:p>
        <w:p w14:paraId="4E243264" w14:textId="4999198C"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30" w:history="1">
            <w:r w:rsidR="00B906AE" w:rsidRPr="00EC0361">
              <w:rPr>
                <w:rStyle w:val="Hyperlink"/>
                <w:rFonts w:ascii="Calibri" w:eastAsia="Times New Roman" w:hAnsi="Calibri" w:cs="Calibri"/>
                <w:bCs/>
                <w:iCs/>
                <w:noProof/>
                <w:kern w:val="32"/>
              </w:rPr>
              <w:t>10.3.13</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Modernization of Data Dissemination:</w:t>
            </w:r>
            <w:r w:rsidR="00B906AE">
              <w:rPr>
                <w:noProof/>
                <w:webHidden/>
              </w:rPr>
              <w:tab/>
            </w:r>
            <w:r w:rsidR="00B906AE">
              <w:rPr>
                <w:noProof/>
                <w:webHidden/>
              </w:rPr>
              <w:fldChar w:fldCharType="begin"/>
            </w:r>
            <w:r w:rsidR="00B906AE">
              <w:rPr>
                <w:noProof/>
                <w:webHidden/>
              </w:rPr>
              <w:instrText xml:space="preserve"> PAGEREF _Toc160186130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BF0B0C">
            <w:rPr>
              <w:noProof/>
            </w:rPr>
            <w:t>8</w:t>
          </w:r>
        </w:p>
        <w:p w14:paraId="5DAE02A3" w14:textId="71C19EA6"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31" w:history="1">
            <w:r w:rsidR="00B906AE" w:rsidRPr="00EC0361">
              <w:rPr>
                <w:rStyle w:val="Hyperlink"/>
                <w:rFonts w:ascii="Calibri" w:eastAsia="Times New Roman" w:hAnsi="Calibri" w:cs="Calibri"/>
                <w:bCs/>
                <w:iCs/>
                <w:noProof/>
                <w:kern w:val="32"/>
              </w:rPr>
              <w:t>10.3.14</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Integrating, Modeling and Analysis of Non-Survey with Survey Data into NASS Estimation Processes:</w:t>
            </w:r>
            <w:r w:rsidR="00B906AE">
              <w:rPr>
                <w:noProof/>
                <w:webHidden/>
              </w:rPr>
              <w:tab/>
            </w:r>
            <w:r w:rsidR="00B906AE">
              <w:rPr>
                <w:noProof/>
                <w:webHidden/>
              </w:rPr>
              <w:fldChar w:fldCharType="begin"/>
            </w:r>
            <w:r w:rsidR="00B906AE">
              <w:rPr>
                <w:noProof/>
                <w:webHidden/>
              </w:rPr>
              <w:instrText xml:space="preserve"> PAGEREF _Toc160186131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BF0B0C">
            <w:rPr>
              <w:noProof/>
            </w:rPr>
            <w:t>8</w:t>
          </w:r>
        </w:p>
        <w:p w14:paraId="77A81F06" w14:textId="151F7F3A"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32" w:history="1">
            <w:r w:rsidR="00B906AE" w:rsidRPr="00EC0361">
              <w:rPr>
                <w:rStyle w:val="Hyperlink"/>
                <w:rFonts w:ascii="Calibri" w:eastAsia="Times New Roman" w:hAnsi="Calibri" w:cs="Calibri"/>
                <w:bCs/>
                <w:iCs/>
                <w:noProof/>
                <w:kern w:val="32"/>
              </w:rPr>
              <w:t>10.3.15</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Use of Previously Reported Data in NASS Surveys and the Census of Agriculture:</w:t>
            </w:r>
            <w:r w:rsidR="00B906AE">
              <w:rPr>
                <w:noProof/>
                <w:webHidden/>
              </w:rPr>
              <w:tab/>
            </w:r>
            <w:r w:rsidR="00B906AE">
              <w:rPr>
                <w:noProof/>
                <w:webHidden/>
              </w:rPr>
              <w:fldChar w:fldCharType="begin"/>
            </w:r>
            <w:r w:rsidR="00B906AE">
              <w:rPr>
                <w:noProof/>
                <w:webHidden/>
              </w:rPr>
              <w:instrText xml:space="preserve"> PAGEREF _Toc160186132 \h </w:instrText>
            </w:r>
            <w:r w:rsidR="00B906AE">
              <w:rPr>
                <w:noProof/>
                <w:webHidden/>
              </w:rPr>
            </w:r>
            <w:r w:rsidR="00B906AE">
              <w:rPr>
                <w:noProof/>
                <w:webHidden/>
              </w:rPr>
              <w:fldChar w:fldCharType="separate"/>
            </w:r>
            <w:r w:rsidR="009033D2">
              <w:rPr>
                <w:noProof/>
                <w:webHidden/>
              </w:rPr>
              <w:t>18</w:t>
            </w:r>
            <w:r w:rsidR="00B906AE">
              <w:rPr>
                <w:noProof/>
                <w:webHidden/>
              </w:rPr>
              <w:fldChar w:fldCharType="end"/>
            </w:r>
          </w:hyperlink>
          <w:r w:rsidR="00403879">
            <w:rPr>
              <w:noProof/>
            </w:rPr>
            <w:t>9</w:t>
          </w:r>
        </w:p>
        <w:p w14:paraId="07BB1408" w14:textId="3A2AEA45"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33" w:history="1">
            <w:r w:rsidR="00B906AE" w:rsidRPr="00EC0361">
              <w:rPr>
                <w:rStyle w:val="Hyperlink"/>
                <w:rFonts w:ascii="Calibri" w:eastAsia="Times New Roman" w:hAnsi="Calibri" w:cs="Calibri"/>
                <w:bCs/>
                <w:iCs/>
                <w:noProof/>
                <w:kern w:val="32"/>
              </w:rPr>
              <w:t>10.3.16</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Automated Editing and Imputation:</w:t>
            </w:r>
            <w:r w:rsidR="00B906AE">
              <w:rPr>
                <w:noProof/>
                <w:webHidden/>
              </w:rPr>
              <w:tab/>
            </w:r>
            <w:r w:rsidR="00B906AE">
              <w:rPr>
                <w:noProof/>
                <w:webHidden/>
              </w:rPr>
              <w:fldChar w:fldCharType="begin"/>
            </w:r>
            <w:r w:rsidR="00B906AE">
              <w:rPr>
                <w:noProof/>
                <w:webHidden/>
              </w:rPr>
              <w:instrText xml:space="preserve"> PAGEREF _Toc160186133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403879">
            <w:rPr>
              <w:noProof/>
            </w:rPr>
            <w:t>0</w:t>
          </w:r>
        </w:p>
        <w:p w14:paraId="2EFC2B48" w14:textId="50AEE84D" w:rsidR="00B906AE" w:rsidRDefault="00B2178E">
          <w:pPr>
            <w:pStyle w:val="TOC3"/>
            <w:tabs>
              <w:tab w:val="left" w:pos="1540"/>
              <w:tab w:val="right" w:leader="dot" w:pos="10070"/>
            </w:tabs>
            <w:rPr>
              <w:rFonts w:eastAsiaTheme="minorEastAsia" w:cstheme="minorBidi"/>
              <w:noProof/>
              <w:kern w:val="2"/>
              <w:sz w:val="22"/>
              <w14:ligatures w14:val="standardContextual"/>
            </w:rPr>
          </w:pPr>
          <w:hyperlink w:anchor="_Toc160186134" w:history="1">
            <w:r w:rsidR="00B906AE" w:rsidRPr="00EC0361">
              <w:rPr>
                <w:rStyle w:val="Hyperlink"/>
                <w:rFonts w:ascii="Calibri" w:eastAsia="Times New Roman" w:hAnsi="Calibri" w:cs="Calibri"/>
                <w:bCs/>
                <w:iCs/>
                <w:noProof/>
                <w:kern w:val="32"/>
              </w:rPr>
              <w:t>10.3.17</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Modernization of Data Analysis:</w:t>
            </w:r>
            <w:r w:rsidR="00B906AE">
              <w:rPr>
                <w:noProof/>
                <w:webHidden/>
              </w:rPr>
              <w:tab/>
            </w:r>
            <w:r w:rsidR="00B906AE">
              <w:rPr>
                <w:noProof/>
                <w:webHidden/>
              </w:rPr>
              <w:fldChar w:fldCharType="begin"/>
            </w:r>
            <w:r w:rsidR="00B906AE">
              <w:rPr>
                <w:noProof/>
                <w:webHidden/>
              </w:rPr>
              <w:instrText xml:space="preserve"> PAGEREF _Toc160186134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403879">
            <w:rPr>
              <w:noProof/>
            </w:rPr>
            <w:t>0</w:t>
          </w:r>
        </w:p>
        <w:p w14:paraId="1B1541B9" w14:textId="571E1930"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35" w:history="1">
            <w:r w:rsidR="00B906AE" w:rsidRPr="00EC0361">
              <w:rPr>
                <w:rStyle w:val="Hyperlink"/>
                <w:rFonts w:ascii="Calibri" w:eastAsia="Times New Roman" w:hAnsi="Calibri" w:cs="Calibri"/>
                <w:noProof/>
                <w:kern w:val="32"/>
              </w:rPr>
              <w:t>10.4</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Outreach Activities</w:t>
            </w:r>
            <w:r w:rsidR="00B906AE">
              <w:rPr>
                <w:noProof/>
                <w:webHidden/>
              </w:rPr>
              <w:tab/>
            </w:r>
            <w:r w:rsidR="00B906AE">
              <w:rPr>
                <w:noProof/>
                <w:webHidden/>
              </w:rPr>
              <w:fldChar w:fldCharType="begin"/>
            </w:r>
            <w:r w:rsidR="00B906AE">
              <w:rPr>
                <w:noProof/>
                <w:webHidden/>
              </w:rPr>
              <w:instrText xml:space="preserve"> PAGEREF _Toc160186135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3C2311">
            <w:rPr>
              <w:noProof/>
            </w:rPr>
            <w:t>1</w:t>
          </w:r>
        </w:p>
        <w:p w14:paraId="19872483" w14:textId="30549E43"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36" w:history="1">
            <w:r w:rsidR="00B906AE" w:rsidRPr="00EC0361">
              <w:rPr>
                <w:rStyle w:val="Hyperlink"/>
                <w:rFonts w:ascii="Calibri" w:eastAsia="Times New Roman" w:hAnsi="Calibri" w:cs="Calibri"/>
                <w:bCs/>
                <w:iCs/>
                <w:noProof/>
                <w:kern w:val="32"/>
              </w:rPr>
              <w:t>10.4.1</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Data User Input:</w:t>
            </w:r>
            <w:r w:rsidR="00B906AE">
              <w:rPr>
                <w:noProof/>
                <w:webHidden/>
              </w:rPr>
              <w:tab/>
            </w:r>
            <w:r w:rsidR="00B906AE">
              <w:rPr>
                <w:noProof/>
                <w:webHidden/>
              </w:rPr>
              <w:fldChar w:fldCharType="begin"/>
            </w:r>
            <w:r w:rsidR="00B906AE">
              <w:rPr>
                <w:noProof/>
                <w:webHidden/>
              </w:rPr>
              <w:instrText xml:space="preserve"> PAGEREF _Toc160186136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3C2311">
            <w:rPr>
              <w:noProof/>
            </w:rPr>
            <w:t>1</w:t>
          </w:r>
        </w:p>
        <w:p w14:paraId="709061F2" w14:textId="21420733"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37" w:history="1">
            <w:r w:rsidR="00B906AE" w:rsidRPr="00EC0361">
              <w:rPr>
                <w:rStyle w:val="Hyperlink"/>
                <w:rFonts w:ascii="Calibri" w:eastAsia="Times New Roman" w:hAnsi="Calibri" w:cs="Calibri"/>
                <w:noProof/>
                <w:kern w:val="32"/>
              </w:rPr>
              <w:t>10.5</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iCs/>
                <w:noProof/>
                <w:kern w:val="32"/>
              </w:rPr>
              <w:t>Publications</w:t>
            </w:r>
            <w:r w:rsidR="00B906AE">
              <w:rPr>
                <w:noProof/>
                <w:webHidden/>
              </w:rPr>
              <w:tab/>
            </w:r>
            <w:r w:rsidR="00B906AE">
              <w:rPr>
                <w:noProof/>
                <w:webHidden/>
              </w:rPr>
              <w:fldChar w:fldCharType="begin"/>
            </w:r>
            <w:r w:rsidR="00B906AE">
              <w:rPr>
                <w:noProof/>
                <w:webHidden/>
              </w:rPr>
              <w:instrText xml:space="preserve"> PAGEREF _Toc160186137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3C2311">
            <w:rPr>
              <w:noProof/>
            </w:rPr>
            <w:t>1</w:t>
          </w:r>
        </w:p>
        <w:p w14:paraId="6E0A6F22" w14:textId="108B351A"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38" w:history="1">
            <w:r w:rsidR="00B906AE" w:rsidRPr="00EC0361">
              <w:rPr>
                <w:rStyle w:val="Hyperlink"/>
                <w:rFonts w:ascii="Calibri" w:eastAsia="Times New Roman" w:hAnsi="Calibri" w:cs="Calibri"/>
                <w:bCs/>
                <w:iCs/>
                <w:noProof/>
                <w:kern w:val="32"/>
              </w:rPr>
              <w:t>10.5.1</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Peer-Reviewed Scientific Publications  9 entries</w:t>
            </w:r>
            <w:r w:rsidR="00B906AE">
              <w:rPr>
                <w:noProof/>
                <w:webHidden/>
              </w:rPr>
              <w:tab/>
            </w:r>
            <w:r w:rsidR="00B906AE">
              <w:rPr>
                <w:noProof/>
                <w:webHidden/>
              </w:rPr>
              <w:fldChar w:fldCharType="begin"/>
            </w:r>
            <w:r w:rsidR="00B906AE">
              <w:rPr>
                <w:noProof/>
                <w:webHidden/>
              </w:rPr>
              <w:instrText xml:space="preserve"> PAGEREF _Toc160186138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3C2311">
            <w:rPr>
              <w:noProof/>
            </w:rPr>
            <w:t>1</w:t>
          </w:r>
        </w:p>
        <w:p w14:paraId="21564CB0" w14:textId="34718D34"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39" w:history="1">
            <w:r w:rsidR="00B906AE" w:rsidRPr="00EC0361">
              <w:rPr>
                <w:rStyle w:val="Hyperlink"/>
                <w:rFonts w:ascii="Calibri" w:eastAsia="Times New Roman" w:hAnsi="Calibri" w:cs="Calibri"/>
                <w:bCs/>
                <w:iCs/>
                <w:noProof/>
                <w:kern w:val="32"/>
              </w:rPr>
              <w:t>10.5.2</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Scientific Meeting Proceedings 18 entries</w:t>
            </w:r>
            <w:r w:rsidR="00B906AE">
              <w:rPr>
                <w:noProof/>
                <w:webHidden/>
              </w:rPr>
              <w:tab/>
            </w:r>
            <w:r w:rsidR="00B906AE">
              <w:rPr>
                <w:noProof/>
                <w:webHidden/>
              </w:rPr>
              <w:fldChar w:fldCharType="begin"/>
            </w:r>
            <w:r w:rsidR="00B906AE">
              <w:rPr>
                <w:noProof/>
                <w:webHidden/>
              </w:rPr>
              <w:instrText xml:space="preserve"> PAGEREF _Toc160186139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3C2311">
            <w:rPr>
              <w:noProof/>
            </w:rPr>
            <w:t>2</w:t>
          </w:r>
        </w:p>
        <w:p w14:paraId="06C8AD9E" w14:textId="655B66A7"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40" w:history="1">
            <w:r w:rsidR="00B906AE" w:rsidRPr="00EC0361">
              <w:rPr>
                <w:rStyle w:val="Hyperlink"/>
                <w:rFonts w:ascii="Calibri" w:eastAsia="Times New Roman" w:hAnsi="Calibri" w:cs="Calibri"/>
                <w:bCs/>
                <w:iCs/>
                <w:noProof/>
                <w:kern w:val="32"/>
              </w:rPr>
              <w:t>10.5.3</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Research Reports Published 1 entry</w:t>
            </w:r>
            <w:r w:rsidR="00B906AE">
              <w:rPr>
                <w:noProof/>
                <w:webHidden/>
              </w:rPr>
              <w:tab/>
            </w:r>
            <w:r w:rsidR="00B906AE">
              <w:rPr>
                <w:noProof/>
                <w:webHidden/>
              </w:rPr>
              <w:fldChar w:fldCharType="begin"/>
            </w:r>
            <w:r w:rsidR="00B906AE">
              <w:rPr>
                <w:noProof/>
                <w:webHidden/>
              </w:rPr>
              <w:instrText xml:space="preserve"> PAGEREF _Toc160186140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F17A35">
            <w:rPr>
              <w:noProof/>
            </w:rPr>
            <w:t>4</w:t>
          </w:r>
        </w:p>
        <w:p w14:paraId="5BB94A48" w14:textId="416D14CD"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41" w:history="1">
            <w:r w:rsidR="00B906AE" w:rsidRPr="00EC0361">
              <w:rPr>
                <w:rStyle w:val="Hyperlink"/>
                <w:rFonts w:ascii="Calibri" w:eastAsia="Times New Roman" w:hAnsi="Calibri" w:cs="Calibri"/>
                <w:bCs/>
                <w:iCs/>
                <w:noProof/>
                <w:kern w:val="32"/>
              </w:rPr>
              <w:t>10.5.4</w:t>
            </w:r>
            <w:r w:rsidR="00B906AE">
              <w:rPr>
                <w:rFonts w:eastAsiaTheme="minorEastAsia" w:cstheme="minorBidi"/>
                <w:noProof/>
                <w:kern w:val="2"/>
                <w:sz w:val="22"/>
                <w14:ligatures w14:val="standardContextual"/>
              </w:rPr>
              <w:tab/>
            </w:r>
            <w:r w:rsidR="00B906AE" w:rsidRPr="00EC0361">
              <w:rPr>
                <w:rStyle w:val="Hyperlink"/>
                <w:rFonts w:ascii="Calibri" w:eastAsia="Times New Roman" w:hAnsi="Calibri" w:cs="Calibri"/>
                <w:bCs/>
                <w:iCs/>
                <w:noProof/>
                <w:kern w:val="32"/>
              </w:rPr>
              <w:t>Web Apps Developed 4 entries</w:t>
            </w:r>
            <w:r w:rsidR="00B906AE">
              <w:rPr>
                <w:noProof/>
                <w:webHidden/>
              </w:rPr>
              <w:tab/>
            </w:r>
            <w:r w:rsidR="00B906AE">
              <w:rPr>
                <w:noProof/>
                <w:webHidden/>
              </w:rPr>
              <w:fldChar w:fldCharType="begin"/>
            </w:r>
            <w:r w:rsidR="00B906AE">
              <w:rPr>
                <w:noProof/>
                <w:webHidden/>
              </w:rPr>
              <w:instrText xml:space="preserve"> PAGEREF _Toc160186141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F17A35">
            <w:rPr>
              <w:noProof/>
            </w:rPr>
            <w:t>4</w:t>
          </w:r>
        </w:p>
        <w:p w14:paraId="6E639BB9" w14:textId="3438D882" w:rsidR="00B906AE" w:rsidRDefault="00B2178E">
          <w:pPr>
            <w:pStyle w:val="TOC1"/>
            <w:rPr>
              <w:rFonts w:eastAsiaTheme="minorEastAsia" w:cstheme="minorBidi"/>
              <w:b w:val="0"/>
              <w:noProof/>
              <w:kern w:val="2"/>
              <w:sz w:val="22"/>
              <w14:ligatures w14:val="standardContextual"/>
            </w:rPr>
          </w:pPr>
          <w:hyperlink w:anchor="_Toc160186142" w:history="1">
            <w:r w:rsidR="00B906AE" w:rsidRPr="00EC0361">
              <w:rPr>
                <w:rStyle w:val="Hyperlink"/>
                <w:rFonts w:cstheme="minorHAnsi"/>
                <w:noProof/>
              </w:rPr>
              <w:t>11</w:t>
            </w:r>
            <w:r w:rsidR="00B906AE">
              <w:rPr>
                <w:rFonts w:eastAsiaTheme="minorEastAsia" w:cstheme="minorBidi"/>
                <w:b w:val="0"/>
                <w:noProof/>
                <w:kern w:val="2"/>
                <w:sz w:val="22"/>
                <w14:ligatures w14:val="standardContextual"/>
              </w:rPr>
              <w:tab/>
            </w:r>
            <w:r w:rsidR="00B906AE" w:rsidRPr="00EC0361">
              <w:rPr>
                <w:rStyle w:val="Hyperlink"/>
                <w:rFonts w:cstheme="minorHAnsi"/>
                <w:noProof/>
              </w:rPr>
              <w:t>National Institute of Food and Agriculture (NIFA)</w:t>
            </w:r>
            <w:r w:rsidR="00B906AE">
              <w:rPr>
                <w:noProof/>
                <w:webHidden/>
              </w:rPr>
              <w:tab/>
            </w:r>
            <w:r w:rsidR="00B906AE">
              <w:rPr>
                <w:noProof/>
                <w:webHidden/>
              </w:rPr>
              <w:fldChar w:fldCharType="begin"/>
            </w:r>
            <w:r w:rsidR="00B906AE">
              <w:rPr>
                <w:noProof/>
                <w:webHidden/>
              </w:rPr>
              <w:instrText xml:space="preserve"> PAGEREF _Toc160186142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595BCC">
            <w:rPr>
              <w:noProof/>
            </w:rPr>
            <w:t>5</w:t>
          </w:r>
        </w:p>
        <w:p w14:paraId="7E59F3CD" w14:textId="62FE916A" w:rsidR="00B906AE" w:rsidRDefault="00B2178E">
          <w:pPr>
            <w:pStyle w:val="TOC1"/>
            <w:rPr>
              <w:rFonts w:eastAsiaTheme="minorEastAsia" w:cstheme="minorBidi"/>
              <w:b w:val="0"/>
              <w:noProof/>
              <w:kern w:val="2"/>
              <w:sz w:val="22"/>
              <w14:ligatures w14:val="standardContextual"/>
            </w:rPr>
          </w:pPr>
          <w:hyperlink w:anchor="_Toc160186143" w:history="1">
            <w:r w:rsidR="00B906AE" w:rsidRPr="00EC0361">
              <w:rPr>
                <w:rStyle w:val="Hyperlink"/>
                <w:noProof/>
              </w:rPr>
              <w:t>12</w:t>
            </w:r>
            <w:r w:rsidR="00B906AE">
              <w:rPr>
                <w:rFonts w:eastAsiaTheme="minorEastAsia" w:cstheme="minorBidi"/>
                <w:b w:val="0"/>
                <w:noProof/>
                <w:kern w:val="2"/>
                <w:sz w:val="22"/>
                <w14:ligatures w14:val="standardContextual"/>
              </w:rPr>
              <w:tab/>
            </w:r>
            <w:r w:rsidR="00B906AE" w:rsidRPr="00EC0361">
              <w:rPr>
                <w:rStyle w:val="Hyperlink"/>
                <w:noProof/>
              </w:rPr>
              <w:t>Natural Resources Conservation Service (NRCS)</w:t>
            </w:r>
            <w:r w:rsidR="00B906AE">
              <w:rPr>
                <w:noProof/>
                <w:webHidden/>
              </w:rPr>
              <w:tab/>
            </w:r>
            <w:r w:rsidR="00B906AE">
              <w:rPr>
                <w:noProof/>
                <w:webHidden/>
              </w:rPr>
              <w:fldChar w:fldCharType="begin"/>
            </w:r>
            <w:r w:rsidR="00B906AE">
              <w:rPr>
                <w:noProof/>
                <w:webHidden/>
              </w:rPr>
              <w:instrText xml:space="preserve"> PAGEREF _Toc160186143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595BCC">
            <w:rPr>
              <w:noProof/>
            </w:rPr>
            <w:t>6</w:t>
          </w:r>
        </w:p>
        <w:p w14:paraId="5BEAF961" w14:textId="07E430F9"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44" w:history="1">
            <w:r w:rsidR="00B906AE" w:rsidRPr="00EC0361">
              <w:rPr>
                <w:rStyle w:val="Hyperlink"/>
                <w:rFonts w:ascii="Segoe UI Semibold" w:eastAsia="Times New Roman" w:hAnsi="Segoe UI Semibold" w:cs="Arial"/>
                <w:noProof/>
                <w:kern w:val="32"/>
              </w:rPr>
              <w:t>12.1</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Mission Statement</w:t>
            </w:r>
            <w:r w:rsidR="00B906AE">
              <w:rPr>
                <w:noProof/>
                <w:webHidden/>
              </w:rPr>
              <w:tab/>
            </w:r>
            <w:r w:rsidR="00B906AE">
              <w:rPr>
                <w:noProof/>
                <w:webHidden/>
              </w:rPr>
              <w:fldChar w:fldCharType="begin"/>
            </w:r>
            <w:r w:rsidR="00B906AE">
              <w:rPr>
                <w:noProof/>
                <w:webHidden/>
              </w:rPr>
              <w:instrText xml:space="preserve"> PAGEREF _Toc160186144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580636">
            <w:rPr>
              <w:noProof/>
            </w:rPr>
            <w:t>6</w:t>
          </w:r>
        </w:p>
        <w:p w14:paraId="606DEC75" w14:textId="618FEA30"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45" w:history="1">
            <w:r w:rsidR="00B906AE" w:rsidRPr="00EC0361">
              <w:rPr>
                <w:rStyle w:val="Hyperlink"/>
                <w:rFonts w:ascii="Segoe UI Semibold" w:eastAsia="Times New Roman" w:hAnsi="Segoe UI Semibold" w:cs="Arial"/>
                <w:noProof/>
                <w:kern w:val="32"/>
              </w:rPr>
              <w:t>12.2</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Nature and Structure of Technology Programs</w:t>
            </w:r>
            <w:r w:rsidR="00B906AE">
              <w:rPr>
                <w:noProof/>
                <w:webHidden/>
              </w:rPr>
              <w:tab/>
            </w:r>
            <w:r w:rsidR="00B906AE">
              <w:rPr>
                <w:noProof/>
                <w:webHidden/>
              </w:rPr>
              <w:fldChar w:fldCharType="begin"/>
            </w:r>
            <w:r w:rsidR="00B906AE">
              <w:rPr>
                <w:noProof/>
                <w:webHidden/>
              </w:rPr>
              <w:instrText xml:space="preserve"> PAGEREF _Toc160186145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580636">
            <w:rPr>
              <w:noProof/>
            </w:rPr>
            <w:t>6</w:t>
          </w:r>
        </w:p>
        <w:p w14:paraId="741525C2" w14:textId="5D1DD34E"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46" w:history="1">
            <w:r w:rsidR="00B906AE" w:rsidRPr="00EC0361">
              <w:rPr>
                <w:rStyle w:val="Hyperlink"/>
                <w:rFonts w:ascii="Segoe UI Semibold" w:eastAsia="Times New Roman" w:hAnsi="Segoe UI Semibold" w:cs="Arial"/>
                <w:noProof/>
                <w:kern w:val="32"/>
              </w:rPr>
              <w:t>12.3</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Soils Research and Technology Transfer</w:t>
            </w:r>
            <w:r w:rsidR="00B906AE">
              <w:rPr>
                <w:noProof/>
                <w:webHidden/>
              </w:rPr>
              <w:tab/>
            </w:r>
            <w:r w:rsidR="00B906AE">
              <w:rPr>
                <w:noProof/>
                <w:webHidden/>
              </w:rPr>
              <w:fldChar w:fldCharType="begin"/>
            </w:r>
            <w:r w:rsidR="00B906AE">
              <w:rPr>
                <w:noProof/>
                <w:webHidden/>
              </w:rPr>
              <w:instrText xml:space="preserve"> PAGEREF _Toc160186146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580636">
            <w:rPr>
              <w:noProof/>
            </w:rPr>
            <w:t>6</w:t>
          </w:r>
        </w:p>
        <w:p w14:paraId="6A567AD6" w14:textId="2823C092"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47" w:history="1">
            <w:r w:rsidR="00B906AE" w:rsidRPr="00EC0361">
              <w:rPr>
                <w:rStyle w:val="Hyperlink"/>
                <w:rFonts w:ascii="Segoe UI Semibold" w:eastAsia="Times New Roman" w:hAnsi="Segoe UI Semibold" w:cs="Calibri"/>
                <w:bCs/>
                <w:iCs/>
                <w:noProof/>
                <w:kern w:val="32"/>
              </w:rPr>
              <w:t>12.3.1</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PLANTS Database</w:t>
            </w:r>
            <w:r w:rsidR="00B906AE">
              <w:rPr>
                <w:noProof/>
                <w:webHidden/>
              </w:rPr>
              <w:tab/>
            </w:r>
            <w:r w:rsidR="00B906AE">
              <w:rPr>
                <w:noProof/>
                <w:webHidden/>
              </w:rPr>
              <w:fldChar w:fldCharType="begin"/>
            </w:r>
            <w:r w:rsidR="00B906AE">
              <w:rPr>
                <w:noProof/>
                <w:webHidden/>
              </w:rPr>
              <w:instrText xml:space="preserve"> PAGEREF _Toc160186147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580636">
            <w:rPr>
              <w:noProof/>
            </w:rPr>
            <w:t>7</w:t>
          </w:r>
        </w:p>
        <w:p w14:paraId="12B34B39" w14:textId="5E0086A2"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48" w:history="1">
            <w:r w:rsidR="00B906AE" w:rsidRPr="00EC0361">
              <w:rPr>
                <w:rStyle w:val="Hyperlink"/>
                <w:rFonts w:ascii="Segoe UI Semibold" w:eastAsia="Times New Roman" w:hAnsi="Segoe UI Semibold" w:cs="Calibri"/>
                <w:bCs/>
                <w:iCs/>
                <w:noProof/>
                <w:kern w:val="32"/>
              </w:rPr>
              <w:t>12.3.2</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Ecological Site Descriptions</w:t>
            </w:r>
            <w:r w:rsidR="00B906AE">
              <w:rPr>
                <w:noProof/>
                <w:webHidden/>
              </w:rPr>
              <w:tab/>
            </w:r>
            <w:r w:rsidR="00B906AE">
              <w:rPr>
                <w:noProof/>
                <w:webHidden/>
              </w:rPr>
              <w:fldChar w:fldCharType="begin"/>
            </w:r>
            <w:r w:rsidR="00B906AE">
              <w:rPr>
                <w:noProof/>
                <w:webHidden/>
              </w:rPr>
              <w:instrText xml:space="preserve"> PAGEREF _Toc160186148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12043A">
            <w:rPr>
              <w:noProof/>
            </w:rPr>
            <w:t>7</w:t>
          </w:r>
        </w:p>
        <w:p w14:paraId="03597744" w14:textId="2958C455"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49" w:history="1">
            <w:r w:rsidR="00B906AE" w:rsidRPr="00EC0361">
              <w:rPr>
                <w:rStyle w:val="Hyperlink"/>
                <w:rFonts w:ascii="Segoe UI Semibold" w:eastAsia="Times New Roman" w:hAnsi="Segoe UI Semibold" w:cs="Calibri"/>
                <w:bCs/>
                <w:iCs/>
                <w:noProof/>
                <w:kern w:val="32"/>
              </w:rPr>
              <w:t>12.3.3</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Soil Climate Analysis Network and Tribal Soil Climate Analysis Network</w:t>
            </w:r>
            <w:r w:rsidR="00B906AE">
              <w:rPr>
                <w:noProof/>
                <w:webHidden/>
              </w:rPr>
              <w:tab/>
            </w:r>
            <w:r w:rsidR="00B906AE">
              <w:rPr>
                <w:noProof/>
                <w:webHidden/>
              </w:rPr>
              <w:fldChar w:fldCharType="begin"/>
            </w:r>
            <w:r w:rsidR="00B906AE">
              <w:rPr>
                <w:noProof/>
                <w:webHidden/>
              </w:rPr>
              <w:instrText xml:space="preserve"> PAGEREF _Toc160186149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12043A">
            <w:rPr>
              <w:noProof/>
            </w:rPr>
            <w:t>8</w:t>
          </w:r>
        </w:p>
        <w:p w14:paraId="1A412FF7" w14:textId="77A86E58"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50" w:history="1">
            <w:r w:rsidR="00B906AE" w:rsidRPr="00EC0361">
              <w:rPr>
                <w:rStyle w:val="Hyperlink"/>
                <w:rFonts w:ascii="Segoe UI Semibold" w:eastAsia="Times New Roman" w:hAnsi="Segoe UI Semibold" w:cs="Calibri"/>
                <w:bCs/>
                <w:iCs/>
                <w:noProof/>
                <w:kern w:val="32"/>
              </w:rPr>
              <w:t>12.3.4</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Soil Survey Program</w:t>
            </w:r>
            <w:r w:rsidR="00B906AE">
              <w:rPr>
                <w:noProof/>
                <w:webHidden/>
              </w:rPr>
              <w:tab/>
            </w:r>
            <w:r w:rsidR="00B906AE">
              <w:rPr>
                <w:noProof/>
                <w:webHidden/>
              </w:rPr>
              <w:fldChar w:fldCharType="begin"/>
            </w:r>
            <w:r w:rsidR="00B906AE">
              <w:rPr>
                <w:noProof/>
                <w:webHidden/>
              </w:rPr>
              <w:instrText xml:space="preserve"> PAGEREF _Toc160186150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12043A">
            <w:rPr>
              <w:noProof/>
            </w:rPr>
            <w:t>8</w:t>
          </w:r>
        </w:p>
        <w:p w14:paraId="51D9DC6A" w14:textId="359872D1"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51" w:history="1">
            <w:r w:rsidR="00B906AE" w:rsidRPr="00EC0361">
              <w:rPr>
                <w:rStyle w:val="Hyperlink"/>
                <w:rFonts w:ascii="Segoe UI Semibold" w:eastAsia="Times New Roman" w:hAnsi="Segoe UI Semibold" w:cs="Calibri"/>
                <w:bCs/>
                <w:iCs/>
                <w:noProof/>
                <w:kern w:val="32"/>
              </w:rPr>
              <w:t>12.3.5</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Soil Business Systems</w:t>
            </w:r>
            <w:r w:rsidR="00B906AE">
              <w:rPr>
                <w:noProof/>
                <w:webHidden/>
              </w:rPr>
              <w:tab/>
            </w:r>
            <w:r w:rsidR="00B906AE">
              <w:rPr>
                <w:noProof/>
                <w:webHidden/>
              </w:rPr>
              <w:fldChar w:fldCharType="begin"/>
            </w:r>
            <w:r w:rsidR="00B906AE">
              <w:rPr>
                <w:noProof/>
                <w:webHidden/>
              </w:rPr>
              <w:instrText xml:space="preserve"> PAGEREF _Toc160186151 \h </w:instrText>
            </w:r>
            <w:r w:rsidR="00B906AE">
              <w:rPr>
                <w:noProof/>
                <w:webHidden/>
              </w:rPr>
            </w:r>
            <w:r w:rsidR="00B906AE">
              <w:rPr>
                <w:noProof/>
                <w:webHidden/>
              </w:rPr>
              <w:fldChar w:fldCharType="separate"/>
            </w:r>
            <w:r w:rsidR="009033D2">
              <w:rPr>
                <w:noProof/>
                <w:webHidden/>
              </w:rPr>
              <w:t>19</w:t>
            </w:r>
            <w:r w:rsidR="00B906AE">
              <w:rPr>
                <w:noProof/>
                <w:webHidden/>
              </w:rPr>
              <w:fldChar w:fldCharType="end"/>
            </w:r>
          </w:hyperlink>
          <w:r w:rsidR="0012043A">
            <w:rPr>
              <w:noProof/>
            </w:rPr>
            <w:t>9</w:t>
          </w:r>
        </w:p>
        <w:p w14:paraId="2DE9A580" w14:textId="01C08E58"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52" w:history="1">
            <w:r w:rsidR="00B906AE" w:rsidRPr="00EC0361">
              <w:rPr>
                <w:rStyle w:val="Hyperlink"/>
                <w:rFonts w:ascii="Segoe UI Semibold" w:eastAsia="Times New Roman" w:hAnsi="Segoe UI Semibold" w:cs="Calibri"/>
                <w:bCs/>
                <w:iCs/>
                <w:noProof/>
                <w:kern w:val="32"/>
              </w:rPr>
              <w:t>12.3.6</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Kellogg Soil Survey Laboratory</w:t>
            </w:r>
            <w:r w:rsidR="00B906AE">
              <w:rPr>
                <w:noProof/>
                <w:webHidden/>
              </w:rPr>
              <w:tab/>
            </w:r>
            <w:r w:rsidR="00B906AE">
              <w:rPr>
                <w:noProof/>
                <w:webHidden/>
              </w:rPr>
              <w:fldChar w:fldCharType="begin"/>
            </w:r>
            <w:r w:rsidR="00B906AE">
              <w:rPr>
                <w:noProof/>
                <w:webHidden/>
              </w:rPr>
              <w:instrText xml:space="preserve"> PAGEREF _Toc160186152 \h </w:instrText>
            </w:r>
            <w:r w:rsidR="00B906AE">
              <w:rPr>
                <w:noProof/>
                <w:webHidden/>
              </w:rPr>
            </w:r>
            <w:r w:rsidR="00B906AE">
              <w:rPr>
                <w:noProof/>
                <w:webHidden/>
              </w:rPr>
              <w:fldChar w:fldCharType="separate"/>
            </w:r>
            <w:r w:rsidR="0082420F">
              <w:rPr>
                <w:noProof/>
                <w:webHidden/>
              </w:rPr>
              <w:t>20</w:t>
            </w:r>
            <w:r w:rsidR="00B906AE">
              <w:rPr>
                <w:noProof/>
                <w:webHidden/>
              </w:rPr>
              <w:fldChar w:fldCharType="end"/>
            </w:r>
          </w:hyperlink>
          <w:r w:rsidR="0082420F">
            <w:rPr>
              <w:noProof/>
            </w:rPr>
            <w:t>0</w:t>
          </w:r>
        </w:p>
        <w:p w14:paraId="777EF4EA" w14:textId="01DD51B1"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53" w:history="1">
            <w:r w:rsidR="00B906AE" w:rsidRPr="00EC0361">
              <w:rPr>
                <w:rStyle w:val="Hyperlink"/>
                <w:rFonts w:ascii="Segoe UI Semibold" w:eastAsia="Times New Roman" w:hAnsi="Segoe UI Semibold" w:cs="Arial"/>
                <w:noProof/>
                <w:kern w:val="32"/>
              </w:rPr>
              <w:t>12.4</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Plant Materials Centers</w:t>
            </w:r>
            <w:r w:rsidR="00B906AE">
              <w:rPr>
                <w:noProof/>
                <w:webHidden/>
              </w:rPr>
              <w:tab/>
            </w:r>
            <w:r w:rsidR="00B906AE">
              <w:rPr>
                <w:noProof/>
                <w:webHidden/>
              </w:rPr>
              <w:fldChar w:fldCharType="begin"/>
            </w:r>
            <w:r w:rsidR="00B906AE">
              <w:rPr>
                <w:noProof/>
                <w:webHidden/>
              </w:rPr>
              <w:instrText xml:space="preserve"> PAGEREF _Toc160186153 \h </w:instrText>
            </w:r>
            <w:r w:rsidR="00B906AE">
              <w:rPr>
                <w:noProof/>
                <w:webHidden/>
              </w:rPr>
            </w:r>
            <w:r w:rsidR="00B906AE">
              <w:rPr>
                <w:noProof/>
                <w:webHidden/>
              </w:rPr>
              <w:fldChar w:fldCharType="separate"/>
            </w:r>
            <w:r w:rsidR="00E84063">
              <w:rPr>
                <w:noProof/>
                <w:webHidden/>
              </w:rPr>
              <w:t>200</w:t>
            </w:r>
            <w:r w:rsidR="00B906AE">
              <w:rPr>
                <w:noProof/>
                <w:webHidden/>
              </w:rPr>
              <w:fldChar w:fldCharType="end"/>
            </w:r>
          </w:hyperlink>
        </w:p>
        <w:p w14:paraId="5C86B7E8" w14:textId="12EE0EF0"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54" w:history="1">
            <w:r w:rsidR="00B906AE" w:rsidRPr="00EC0361">
              <w:rPr>
                <w:rStyle w:val="Hyperlink"/>
                <w:rFonts w:ascii="Segoe UI Semibold" w:eastAsia="Times New Roman" w:hAnsi="Segoe UI Semibold" w:cs="Calibri"/>
                <w:bCs/>
                <w:iCs/>
                <w:noProof/>
                <w:kern w:val="32"/>
              </w:rPr>
              <w:t>12.4.1</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Plant Materials Technology Development and Transfer</w:t>
            </w:r>
            <w:r w:rsidR="00B906AE">
              <w:rPr>
                <w:noProof/>
                <w:webHidden/>
              </w:rPr>
              <w:tab/>
            </w:r>
            <w:r w:rsidR="00B906AE">
              <w:rPr>
                <w:noProof/>
                <w:webHidden/>
              </w:rPr>
              <w:fldChar w:fldCharType="begin"/>
            </w:r>
            <w:r w:rsidR="00B906AE">
              <w:rPr>
                <w:noProof/>
                <w:webHidden/>
              </w:rPr>
              <w:instrText xml:space="preserve"> PAGEREF _Toc160186154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E84063">
            <w:rPr>
              <w:noProof/>
            </w:rPr>
            <w:t>1</w:t>
          </w:r>
        </w:p>
        <w:p w14:paraId="374A25B6" w14:textId="0F74279E"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55" w:history="1">
            <w:r w:rsidR="00B906AE" w:rsidRPr="00EC0361">
              <w:rPr>
                <w:rStyle w:val="Hyperlink"/>
                <w:rFonts w:ascii="Segoe UI Semibold" w:eastAsia="Times New Roman" w:hAnsi="Segoe UI Semibold" w:cs="Calibri"/>
                <w:bCs/>
                <w:iCs/>
                <w:noProof/>
                <w:kern w:val="32"/>
              </w:rPr>
              <w:t>12.4.2</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Conservation Plants</w:t>
            </w:r>
            <w:r w:rsidR="00B906AE">
              <w:rPr>
                <w:noProof/>
                <w:webHidden/>
              </w:rPr>
              <w:tab/>
            </w:r>
            <w:r w:rsidR="00B906AE">
              <w:rPr>
                <w:noProof/>
                <w:webHidden/>
              </w:rPr>
              <w:fldChar w:fldCharType="begin"/>
            </w:r>
            <w:r w:rsidR="00B906AE">
              <w:rPr>
                <w:noProof/>
                <w:webHidden/>
              </w:rPr>
              <w:instrText xml:space="preserve"> PAGEREF _Toc160186155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930B2A">
            <w:rPr>
              <w:noProof/>
            </w:rPr>
            <w:t>2</w:t>
          </w:r>
        </w:p>
        <w:p w14:paraId="32957635" w14:textId="3C7334B0"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56" w:history="1">
            <w:r w:rsidR="00B906AE" w:rsidRPr="00EC0361">
              <w:rPr>
                <w:rStyle w:val="Hyperlink"/>
                <w:rFonts w:ascii="Segoe UI Semibold" w:eastAsia="Times New Roman" w:hAnsi="Segoe UI Semibold" w:cs="Arial"/>
                <w:noProof/>
                <w:kern w:val="32"/>
              </w:rPr>
              <w:t>12.5</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Conservation Practice Standards</w:t>
            </w:r>
            <w:r w:rsidR="00B906AE">
              <w:rPr>
                <w:noProof/>
                <w:webHidden/>
              </w:rPr>
              <w:tab/>
            </w:r>
            <w:r w:rsidR="00B906AE">
              <w:rPr>
                <w:noProof/>
                <w:webHidden/>
              </w:rPr>
              <w:fldChar w:fldCharType="begin"/>
            </w:r>
            <w:r w:rsidR="00B906AE">
              <w:rPr>
                <w:noProof/>
                <w:webHidden/>
              </w:rPr>
              <w:instrText xml:space="preserve"> PAGEREF _Toc160186156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0634A6">
            <w:rPr>
              <w:noProof/>
            </w:rPr>
            <w:t>3</w:t>
          </w:r>
        </w:p>
        <w:p w14:paraId="2AE4A6D9" w14:textId="1787D1B2"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57" w:history="1">
            <w:r w:rsidR="00B906AE" w:rsidRPr="00EC0361">
              <w:rPr>
                <w:rStyle w:val="Hyperlink"/>
                <w:rFonts w:ascii="Segoe UI Semibold" w:eastAsia="Times New Roman" w:hAnsi="Segoe UI Semibold" w:cs="Arial"/>
                <w:noProof/>
                <w:kern w:val="32"/>
              </w:rPr>
              <w:t>12.6</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Conservation Engineering</w:t>
            </w:r>
            <w:r w:rsidR="00B906AE">
              <w:rPr>
                <w:noProof/>
                <w:webHidden/>
              </w:rPr>
              <w:tab/>
            </w:r>
            <w:r w:rsidR="00B906AE">
              <w:rPr>
                <w:noProof/>
                <w:webHidden/>
              </w:rPr>
              <w:fldChar w:fldCharType="begin"/>
            </w:r>
            <w:r w:rsidR="00B906AE">
              <w:rPr>
                <w:noProof/>
                <w:webHidden/>
              </w:rPr>
              <w:instrText xml:space="preserve"> PAGEREF _Toc160186157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0634A6">
            <w:rPr>
              <w:noProof/>
            </w:rPr>
            <w:t>3</w:t>
          </w:r>
        </w:p>
        <w:p w14:paraId="20E19346" w14:textId="016A4EE8"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58" w:history="1">
            <w:r w:rsidR="00B906AE" w:rsidRPr="00EC0361">
              <w:rPr>
                <w:rStyle w:val="Hyperlink"/>
                <w:rFonts w:ascii="Segoe UI Semibold" w:eastAsia="Times New Roman" w:hAnsi="Segoe UI Semibold" w:cs="Calibri"/>
                <w:bCs/>
                <w:iCs/>
                <w:noProof/>
                <w:kern w:val="32"/>
              </w:rPr>
              <w:t>12.6.1</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National Engineering Technical Directives</w:t>
            </w:r>
            <w:r w:rsidR="00B906AE">
              <w:rPr>
                <w:noProof/>
                <w:webHidden/>
              </w:rPr>
              <w:tab/>
            </w:r>
            <w:r w:rsidR="00B906AE">
              <w:rPr>
                <w:noProof/>
                <w:webHidden/>
              </w:rPr>
              <w:fldChar w:fldCharType="begin"/>
            </w:r>
            <w:r w:rsidR="00B906AE">
              <w:rPr>
                <w:noProof/>
                <w:webHidden/>
              </w:rPr>
              <w:instrText xml:space="preserve"> PAGEREF _Toc160186158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0634A6">
            <w:rPr>
              <w:noProof/>
            </w:rPr>
            <w:t>3</w:t>
          </w:r>
        </w:p>
        <w:p w14:paraId="08DBA000" w14:textId="7E80DDD6"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59" w:history="1">
            <w:r w:rsidR="00B906AE" w:rsidRPr="00EC0361">
              <w:rPr>
                <w:rStyle w:val="Hyperlink"/>
                <w:rFonts w:ascii="Segoe UI Semibold" w:eastAsia="Times New Roman" w:hAnsi="Segoe UI Semibold" w:cs="Calibri"/>
                <w:bCs/>
                <w:iCs/>
                <w:noProof/>
                <w:kern w:val="32"/>
              </w:rPr>
              <w:t>12.6.2</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Collaboration with the American Society of Civil Engineers, the Association of State Dam Safety Officials, and the Agricultural Research Service</w:t>
            </w:r>
            <w:r w:rsidR="00B906AE">
              <w:rPr>
                <w:noProof/>
                <w:webHidden/>
              </w:rPr>
              <w:tab/>
            </w:r>
            <w:r w:rsidR="00B906AE">
              <w:rPr>
                <w:noProof/>
                <w:webHidden/>
              </w:rPr>
              <w:fldChar w:fldCharType="begin"/>
            </w:r>
            <w:r w:rsidR="00B906AE">
              <w:rPr>
                <w:noProof/>
                <w:webHidden/>
              </w:rPr>
              <w:instrText xml:space="preserve"> PAGEREF _Toc160186159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D90656">
            <w:rPr>
              <w:noProof/>
            </w:rPr>
            <w:t>4</w:t>
          </w:r>
        </w:p>
        <w:p w14:paraId="6C95E2FC" w14:textId="0489865F"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60" w:history="1">
            <w:r w:rsidR="00B906AE" w:rsidRPr="00EC0361">
              <w:rPr>
                <w:rStyle w:val="Hyperlink"/>
                <w:rFonts w:ascii="Segoe UI Semibold" w:eastAsia="Times New Roman" w:hAnsi="Segoe UI Semibold" w:cs="Calibri"/>
                <w:bCs/>
                <w:iCs/>
                <w:noProof/>
                <w:kern w:val="32"/>
              </w:rPr>
              <w:t>12.6.3</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National Design, Construction, and Soil Mechanics Center–Soil Mechanics Laboratories</w:t>
            </w:r>
            <w:r w:rsidR="00B906AE">
              <w:rPr>
                <w:noProof/>
                <w:webHidden/>
              </w:rPr>
              <w:tab/>
            </w:r>
            <w:r w:rsidR="00B906AE">
              <w:rPr>
                <w:noProof/>
                <w:webHidden/>
              </w:rPr>
              <w:fldChar w:fldCharType="begin"/>
            </w:r>
            <w:r w:rsidR="00B906AE">
              <w:rPr>
                <w:noProof/>
                <w:webHidden/>
              </w:rPr>
              <w:instrText xml:space="preserve"> PAGEREF _Toc160186160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D90656">
            <w:rPr>
              <w:noProof/>
            </w:rPr>
            <w:t>4</w:t>
          </w:r>
        </w:p>
        <w:p w14:paraId="4D31C639" w14:textId="2180CF76"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61" w:history="1">
            <w:r w:rsidR="00B906AE" w:rsidRPr="00EC0361">
              <w:rPr>
                <w:rStyle w:val="Hyperlink"/>
                <w:rFonts w:ascii="Segoe UI Semibold" w:eastAsia="Times New Roman" w:hAnsi="Segoe UI Semibold" w:cs="Calibri"/>
                <w:bCs/>
                <w:iCs/>
                <w:noProof/>
                <w:kern w:val="32"/>
              </w:rPr>
              <w:t>12.6.4</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National Design, Construction, and Soil Mechanics Center – Design and Construction</w:t>
            </w:r>
            <w:r w:rsidR="00B906AE">
              <w:rPr>
                <w:noProof/>
                <w:webHidden/>
              </w:rPr>
              <w:tab/>
            </w:r>
            <w:r w:rsidR="00B906AE">
              <w:rPr>
                <w:noProof/>
                <w:webHidden/>
              </w:rPr>
              <w:fldChar w:fldCharType="begin"/>
            </w:r>
            <w:r w:rsidR="00B906AE">
              <w:rPr>
                <w:noProof/>
                <w:webHidden/>
              </w:rPr>
              <w:instrText xml:space="preserve"> PAGEREF _Toc160186161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314B33">
            <w:rPr>
              <w:noProof/>
            </w:rPr>
            <w:t>5</w:t>
          </w:r>
        </w:p>
        <w:p w14:paraId="098E491C" w14:textId="54B2A871"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62" w:history="1">
            <w:r w:rsidR="00B906AE" w:rsidRPr="00EC0361">
              <w:rPr>
                <w:rStyle w:val="Hyperlink"/>
                <w:rFonts w:ascii="Segoe UI Semibold" w:eastAsia="Times New Roman" w:hAnsi="Segoe UI Semibold" w:cs="Arial"/>
                <w:noProof/>
                <w:kern w:val="32"/>
              </w:rPr>
              <w:t>12.7</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National Technology Support Centers</w:t>
            </w:r>
            <w:r w:rsidR="00B906AE">
              <w:rPr>
                <w:noProof/>
                <w:webHidden/>
              </w:rPr>
              <w:tab/>
            </w:r>
            <w:r w:rsidR="00B906AE">
              <w:rPr>
                <w:noProof/>
                <w:webHidden/>
              </w:rPr>
              <w:fldChar w:fldCharType="begin"/>
            </w:r>
            <w:r w:rsidR="00B906AE">
              <w:rPr>
                <w:noProof/>
                <w:webHidden/>
              </w:rPr>
              <w:instrText xml:space="preserve"> PAGEREF _Toc160186162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314B33">
            <w:rPr>
              <w:noProof/>
            </w:rPr>
            <w:t>6</w:t>
          </w:r>
        </w:p>
        <w:p w14:paraId="329766D4" w14:textId="5F7B1DBF"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63" w:history="1">
            <w:r w:rsidR="00B906AE" w:rsidRPr="00EC0361">
              <w:rPr>
                <w:rStyle w:val="Hyperlink"/>
                <w:rFonts w:ascii="Segoe UI Semibold" w:eastAsia="Times New Roman" w:hAnsi="Segoe UI Semibold" w:cs="Calibri"/>
                <w:bCs/>
                <w:iCs/>
                <w:noProof/>
                <w:kern w:val="32"/>
              </w:rPr>
              <w:t>12.7.1</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Calibri"/>
                <w:bCs/>
                <w:iCs/>
                <w:noProof/>
                <w:kern w:val="32"/>
              </w:rPr>
              <w:t>National Technology Acquisition and Development Team Activities</w:t>
            </w:r>
            <w:r w:rsidR="00B906AE">
              <w:rPr>
                <w:noProof/>
                <w:webHidden/>
              </w:rPr>
              <w:tab/>
            </w:r>
            <w:r w:rsidR="00B906AE">
              <w:rPr>
                <w:noProof/>
                <w:webHidden/>
              </w:rPr>
              <w:fldChar w:fldCharType="begin"/>
            </w:r>
            <w:r w:rsidR="00B906AE">
              <w:rPr>
                <w:noProof/>
                <w:webHidden/>
              </w:rPr>
              <w:instrText xml:space="preserve"> PAGEREF _Toc160186163 \h </w:instrText>
            </w:r>
            <w:r w:rsidR="00B906AE">
              <w:rPr>
                <w:noProof/>
                <w:webHidden/>
              </w:rPr>
            </w:r>
            <w:r w:rsidR="00B906AE">
              <w:rPr>
                <w:noProof/>
                <w:webHidden/>
              </w:rPr>
              <w:fldChar w:fldCharType="separate"/>
            </w:r>
            <w:r w:rsidR="009033D2">
              <w:rPr>
                <w:noProof/>
                <w:webHidden/>
              </w:rPr>
              <w:t>20</w:t>
            </w:r>
            <w:r w:rsidR="00B906AE">
              <w:rPr>
                <w:noProof/>
                <w:webHidden/>
              </w:rPr>
              <w:fldChar w:fldCharType="end"/>
            </w:r>
          </w:hyperlink>
          <w:r w:rsidR="002143EB">
            <w:rPr>
              <w:noProof/>
            </w:rPr>
            <w:t>8</w:t>
          </w:r>
        </w:p>
        <w:p w14:paraId="75509A92" w14:textId="251D23F8"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64" w:history="1">
            <w:r w:rsidR="00B906AE" w:rsidRPr="00EC0361">
              <w:rPr>
                <w:rStyle w:val="Hyperlink"/>
                <w:rFonts w:ascii="Segoe UI Semibold" w:eastAsia="Times New Roman" w:hAnsi="Segoe UI Semibold" w:cs="Arial"/>
                <w:noProof/>
                <w:kern w:val="32"/>
              </w:rPr>
              <w:t>12.8</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Science and Technology Training Library</w:t>
            </w:r>
            <w:r w:rsidR="00B906AE">
              <w:rPr>
                <w:noProof/>
                <w:webHidden/>
              </w:rPr>
              <w:tab/>
            </w:r>
            <w:r w:rsidR="00B906AE">
              <w:rPr>
                <w:noProof/>
                <w:webHidden/>
              </w:rPr>
              <w:fldChar w:fldCharType="begin"/>
            </w:r>
            <w:r w:rsidR="00B906AE">
              <w:rPr>
                <w:noProof/>
                <w:webHidden/>
              </w:rPr>
              <w:instrText xml:space="preserve"> PAGEREF _Toc160186164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2143EB">
            <w:rPr>
              <w:noProof/>
            </w:rPr>
            <w:t>2</w:t>
          </w:r>
        </w:p>
        <w:p w14:paraId="3046BECA" w14:textId="2B8B1FC0"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65" w:history="1">
            <w:r w:rsidR="00B906AE" w:rsidRPr="00EC0361">
              <w:rPr>
                <w:rStyle w:val="Hyperlink"/>
                <w:rFonts w:ascii="Segoe UI Semibold" w:eastAsia="Times New Roman" w:hAnsi="Segoe UI Semibold" w:cs="Arial"/>
                <w:noProof/>
                <w:kern w:val="32"/>
              </w:rPr>
              <w:t>12.9</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Soil Health</w:t>
            </w:r>
            <w:r w:rsidR="00B906AE">
              <w:rPr>
                <w:noProof/>
                <w:webHidden/>
              </w:rPr>
              <w:tab/>
            </w:r>
            <w:r w:rsidR="00B906AE">
              <w:rPr>
                <w:noProof/>
                <w:webHidden/>
              </w:rPr>
              <w:fldChar w:fldCharType="begin"/>
            </w:r>
            <w:r w:rsidR="00B906AE">
              <w:rPr>
                <w:noProof/>
                <w:webHidden/>
              </w:rPr>
              <w:instrText xml:space="preserve"> PAGEREF _Toc160186165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2143EB">
            <w:rPr>
              <w:noProof/>
            </w:rPr>
            <w:t>2</w:t>
          </w:r>
        </w:p>
        <w:p w14:paraId="251206A7" w14:textId="2A2658A1" w:rsidR="00B906AE" w:rsidRDefault="00B2178E">
          <w:pPr>
            <w:pStyle w:val="TOC3"/>
            <w:tabs>
              <w:tab w:val="left" w:pos="1320"/>
              <w:tab w:val="right" w:leader="dot" w:pos="10070"/>
            </w:tabs>
            <w:rPr>
              <w:rFonts w:eastAsiaTheme="minorEastAsia" w:cstheme="minorBidi"/>
              <w:noProof/>
              <w:kern w:val="2"/>
              <w:sz w:val="22"/>
              <w14:ligatures w14:val="standardContextual"/>
            </w:rPr>
          </w:pPr>
          <w:hyperlink w:anchor="_Toc160186166" w:history="1">
            <w:r w:rsidR="00B906AE" w:rsidRPr="00EC0361">
              <w:rPr>
                <w:rStyle w:val="Hyperlink"/>
                <w:rFonts w:ascii="Segoe UI Semibold" w:eastAsia="Times New Roman" w:hAnsi="Segoe UI Semibold" w:cs="Calibri"/>
                <w:bCs/>
                <w:iCs/>
                <w:noProof/>
                <w:kern w:val="32"/>
              </w:rPr>
              <w:t>12.9.1</w:t>
            </w:r>
            <w:r w:rsidR="00B906AE">
              <w:rPr>
                <w:rFonts w:eastAsiaTheme="minorEastAsia" w:cstheme="minorBidi"/>
                <w:noProof/>
                <w:kern w:val="2"/>
                <w:sz w:val="22"/>
                <w14:ligatures w14:val="standardContextual"/>
              </w:rPr>
              <w:tab/>
            </w:r>
            <w:r w:rsidR="00B906AE" w:rsidRPr="00EC0361">
              <w:rPr>
                <w:rStyle w:val="Hyperlink"/>
                <w:rFonts w:ascii="Segoe UI Semibold" w:hAnsi="Segoe UI Semibold" w:cs="Calibri"/>
                <w:bCs/>
                <w:iCs/>
                <w:noProof/>
                <w:kern w:val="32"/>
              </w:rPr>
              <w:t>Soil Health Highlight Story</w:t>
            </w:r>
            <w:r w:rsidR="00B906AE">
              <w:rPr>
                <w:noProof/>
                <w:webHidden/>
              </w:rPr>
              <w:tab/>
            </w:r>
            <w:r w:rsidR="00B906AE">
              <w:rPr>
                <w:noProof/>
                <w:webHidden/>
              </w:rPr>
              <w:fldChar w:fldCharType="begin"/>
            </w:r>
            <w:r w:rsidR="00B906AE">
              <w:rPr>
                <w:noProof/>
                <w:webHidden/>
              </w:rPr>
              <w:instrText xml:space="preserve"> PAGEREF _Toc160186166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2143EB">
            <w:rPr>
              <w:noProof/>
            </w:rPr>
            <w:t>4</w:t>
          </w:r>
        </w:p>
        <w:p w14:paraId="3F960225" w14:textId="0186CB69" w:rsidR="00B906AE" w:rsidRDefault="00B2178E">
          <w:pPr>
            <w:pStyle w:val="TOC2"/>
            <w:tabs>
              <w:tab w:val="left" w:pos="960"/>
              <w:tab w:val="right" w:leader="dot" w:pos="10070"/>
            </w:tabs>
            <w:rPr>
              <w:rFonts w:eastAsiaTheme="minorEastAsia" w:cstheme="minorBidi"/>
              <w:noProof/>
              <w:kern w:val="2"/>
              <w:sz w:val="22"/>
              <w14:ligatures w14:val="standardContextual"/>
            </w:rPr>
          </w:pPr>
          <w:hyperlink w:anchor="_Toc160186167" w:history="1">
            <w:r w:rsidR="00B906AE" w:rsidRPr="00EC0361">
              <w:rPr>
                <w:rStyle w:val="Hyperlink"/>
                <w:rFonts w:ascii="Segoe UI Semibold" w:eastAsia="Times New Roman" w:hAnsi="Segoe UI Semibold" w:cs="Arial"/>
                <w:noProof/>
                <w:kern w:val="32"/>
              </w:rPr>
              <w:t>12.10</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Watershed Protection and Dam Safety</w:t>
            </w:r>
            <w:r w:rsidR="00B906AE">
              <w:rPr>
                <w:noProof/>
                <w:webHidden/>
              </w:rPr>
              <w:tab/>
            </w:r>
            <w:r w:rsidR="00B906AE">
              <w:rPr>
                <w:noProof/>
                <w:webHidden/>
              </w:rPr>
              <w:fldChar w:fldCharType="begin"/>
            </w:r>
            <w:r w:rsidR="00B906AE">
              <w:rPr>
                <w:noProof/>
                <w:webHidden/>
              </w:rPr>
              <w:instrText xml:space="preserve"> PAGEREF _Toc160186167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2143EB">
            <w:rPr>
              <w:noProof/>
            </w:rPr>
            <w:t>4</w:t>
          </w:r>
        </w:p>
        <w:p w14:paraId="78DD183C" w14:textId="58487FB4" w:rsidR="00B906AE" w:rsidRDefault="00B2178E">
          <w:pPr>
            <w:pStyle w:val="TOC2"/>
            <w:tabs>
              <w:tab w:val="left" w:pos="720"/>
              <w:tab w:val="right" w:leader="dot" w:pos="10070"/>
            </w:tabs>
            <w:rPr>
              <w:rFonts w:eastAsiaTheme="minorEastAsia" w:cstheme="minorBidi"/>
              <w:noProof/>
              <w:kern w:val="2"/>
              <w:sz w:val="22"/>
              <w14:ligatures w14:val="standardContextual"/>
            </w:rPr>
          </w:pPr>
          <w:hyperlink w:anchor="_Toc160186168" w:history="1">
            <w:r w:rsidR="00B906AE" w:rsidRPr="00EC0361">
              <w:rPr>
                <w:rStyle w:val="Hyperlink"/>
                <w:rFonts w:ascii="Segoe UI Semibold" w:eastAsia="Times New Roman" w:hAnsi="Segoe UI Semibold" w:cs="Arial"/>
                <w:noProof/>
                <w:kern w:val="32"/>
              </w:rPr>
              <w:t>12.11</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Snow Survey and Water Supply Forecasting</w:t>
            </w:r>
            <w:r w:rsidR="00B906AE">
              <w:rPr>
                <w:noProof/>
                <w:webHidden/>
              </w:rPr>
              <w:tab/>
            </w:r>
            <w:r w:rsidR="00B906AE">
              <w:rPr>
                <w:noProof/>
                <w:webHidden/>
              </w:rPr>
              <w:fldChar w:fldCharType="begin"/>
            </w:r>
            <w:r w:rsidR="00B906AE">
              <w:rPr>
                <w:noProof/>
                <w:webHidden/>
              </w:rPr>
              <w:instrText xml:space="preserve"> PAGEREF _Toc160186168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2143EB">
            <w:rPr>
              <w:noProof/>
            </w:rPr>
            <w:t>5</w:t>
          </w:r>
        </w:p>
        <w:p w14:paraId="54F7AAFC" w14:textId="7898421F" w:rsidR="00B906AE" w:rsidRDefault="00B2178E">
          <w:pPr>
            <w:pStyle w:val="TOC2"/>
            <w:tabs>
              <w:tab w:val="left" w:pos="960"/>
              <w:tab w:val="right" w:leader="dot" w:pos="10070"/>
            </w:tabs>
            <w:rPr>
              <w:rFonts w:eastAsiaTheme="minorEastAsia" w:cstheme="minorBidi"/>
              <w:noProof/>
              <w:kern w:val="2"/>
              <w:sz w:val="22"/>
              <w14:ligatures w14:val="standardContextual"/>
            </w:rPr>
          </w:pPr>
          <w:hyperlink w:anchor="_Toc160186169" w:history="1">
            <w:r w:rsidR="00B906AE" w:rsidRPr="00EC0361">
              <w:rPr>
                <w:rStyle w:val="Hyperlink"/>
                <w:rFonts w:ascii="Segoe UI Semibold" w:eastAsia="Times New Roman" w:hAnsi="Segoe UI Semibold" w:cs="Arial"/>
                <w:noProof/>
                <w:kern w:val="32"/>
              </w:rPr>
              <w:t>12.12</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The National Resources Inventory</w:t>
            </w:r>
            <w:r w:rsidR="00B906AE">
              <w:rPr>
                <w:noProof/>
                <w:webHidden/>
              </w:rPr>
              <w:tab/>
            </w:r>
            <w:r w:rsidR="00B906AE">
              <w:rPr>
                <w:noProof/>
                <w:webHidden/>
              </w:rPr>
              <w:fldChar w:fldCharType="begin"/>
            </w:r>
            <w:r w:rsidR="00B906AE">
              <w:rPr>
                <w:noProof/>
                <w:webHidden/>
              </w:rPr>
              <w:instrText xml:space="preserve"> PAGEREF _Toc160186169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2143EB">
            <w:rPr>
              <w:noProof/>
            </w:rPr>
            <w:t>6</w:t>
          </w:r>
        </w:p>
        <w:p w14:paraId="3C6762AF" w14:textId="65C9E449" w:rsidR="00B906AE" w:rsidRDefault="00B2178E">
          <w:pPr>
            <w:pStyle w:val="TOC2"/>
            <w:tabs>
              <w:tab w:val="left" w:pos="960"/>
              <w:tab w:val="right" w:leader="dot" w:pos="10070"/>
            </w:tabs>
            <w:rPr>
              <w:rFonts w:eastAsiaTheme="minorEastAsia" w:cstheme="minorBidi"/>
              <w:noProof/>
              <w:kern w:val="2"/>
              <w:sz w:val="22"/>
              <w14:ligatures w14:val="standardContextual"/>
            </w:rPr>
          </w:pPr>
          <w:hyperlink w:anchor="_Toc160186170" w:history="1">
            <w:r w:rsidR="00B906AE" w:rsidRPr="00EC0361">
              <w:rPr>
                <w:rStyle w:val="Hyperlink"/>
                <w:rFonts w:ascii="Segoe UI Semibold" w:eastAsia="Times New Roman" w:hAnsi="Segoe UI Semibold" w:cs="Arial"/>
                <w:noProof/>
                <w:kern w:val="32"/>
              </w:rPr>
              <w:t>12.13</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Conservation Effects Assessment Project</w:t>
            </w:r>
            <w:r w:rsidR="00B906AE">
              <w:rPr>
                <w:noProof/>
                <w:webHidden/>
              </w:rPr>
              <w:tab/>
            </w:r>
            <w:r w:rsidR="00B906AE">
              <w:rPr>
                <w:noProof/>
                <w:webHidden/>
              </w:rPr>
              <w:fldChar w:fldCharType="begin"/>
            </w:r>
            <w:r w:rsidR="00B906AE">
              <w:rPr>
                <w:noProof/>
                <w:webHidden/>
              </w:rPr>
              <w:instrText xml:space="preserve"> PAGEREF _Toc160186170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2143EB">
            <w:rPr>
              <w:noProof/>
            </w:rPr>
            <w:t>6</w:t>
          </w:r>
        </w:p>
        <w:p w14:paraId="6541A4F2" w14:textId="316E14D7" w:rsidR="00B906AE" w:rsidRDefault="00B2178E">
          <w:pPr>
            <w:pStyle w:val="TOC2"/>
            <w:tabs>
              <w:tab w:val="left" w:pos="960"/>
              <w:tab w:val="right" w:leader="dot" w:pos="10070"/>
            </w:tabs>
            <w:rPr>
              <w:rFonts w:eastAsiaTheme="minorEastAsia" w:cstheme="minorBidi"/>
              <w:noProof/>
              <w:kern w:val="2"/>
              <w:sz w:val="22"/>
              <w14:ligatures w14:val="standardContextual"/>
            </w:rPr>
          </w:pPr>
          <w:hyperlink w:anchor="_Toc160186171" w:history="1">
            <w:r w:rsidR="00B906AE" w:rsidRPr="00EC0361">
              <w:rPr>
                <w:rStyle w:val="Hyperlink"/>
                <w:rFonts w:ascii="Segoe UI Semibold" w:eastAsia="Times New Roman" w:hAnsi="Segoe UI Semibold" w:cs="Arial"/>
                <w:noProof/>
                <w:kern w:val="32"/>
              </w:rPr>
              <w:t>12.14</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Conservation Innovation Grants</w:t>
            </w:r>
            <w:r w:rsidR="00B906AE">
              <w:rPr>
                <w:noProof/>
                <w:webHidden/>
              </w:rPr>
              <w:tab/>
            </w:r>
            <w:r w:rsidR="00B906AE">
              <w:rPr>
                <w:noProof/>
                <w:webHidden/>
              </w:rPr>
              <w:fldChar w:fldCharType="begin"/>
            </w:r>
            <w:r w:rsidR="00B906AE">
              <w:rPr>
                <w:noProof/>
                <w:webHidden/>
              </w:rPr>
              <w:instrText xml:space="preserve"> PAGEREF _Toc160186171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E5497E">
            <w:rPr>
              <w:noProof/>
            </w:rPr>
            <w:t>7</w:t>
          </w:r>
        </w:p>
        <w:p w14:paraId="2261BBCC" w14:textId="29708BCC" w:rsidR="00B906AE" w:rsidRDefault="00B2178E">
          <w:pPr>
            <w:pStyle w:val="TOC2"/>
            <w:tabs>
              <w:tab w:val="left" w:pos="960"/>
              <w:tab w:val="right" w:leader="dot" w:pos="10070"/>
            </w:tabs>
            <w:rPr>
              <w:rFonts w:eastAsiaTheme="minorEastAsia" w:cstheme="minorBidi"/>
              <w:noProof/>
              <w:kern w:val="2"/>
              <w:sz w:val="22"/>
              <w14:ligatures w14:val="standardContextual"/>
            </w:rPr>
          </w:pPr>
          <w:hyperlink w:anchor="_Toc160186172" w:history="1">
            <w:r w:rsidR="00B906AE" w:rsidRPr="00EC0361">
              <w:rPr>
                <w:rStyle w:val="Hyperlink"/>
                <w:rFonts w:ascii="Segoe UI Semibold" w:eastAsia="Times New Roman" w:hAnsi="Segoe UI Semibold" w:cs="Arial"/>
                <w:noProof/>
                <w:kern w:val="32"/>
              </w:rPr>
              <w:t>12.15</w:t>
            </w:r>
            <w:r w:rsidR="00B906AE">
              <w:rPr>
                <w:rFonts w:eastAsiaTheme="minorEastAsia" w:cstheme="minorBidi"/>
                <w:noProof/>
                <w:kern w:val="2"/>
                <w:sz w:val="22"/>
                <w14:ligatures w14:val="standardContextual"/>
              </w:rPr>
              <w:tab/>
            </w:r>
            <w:r w:rsidR="00B906AE" w:rsidRPr="00EC0361">
              <w:rPr>
                <w:rStyle w:val="Hyperlink"/>
                <w:rFonts w:ascii="Segoe UI Semibold" w:eastAsia="Times New Roman" w:hAnsi="Segoe UI Semibold" w:cs="Arial"/>
                <w:iCs/>
                <w:noProof/>
                <w:kern w:val="32"/>
              </w:rPr>
              <w:t>NRCS Technology Transfer Metrics</w:t>
            </w:r>
            <w:r w:rsidR="00B906AE">
              <w:rPr>
                <w:noProof/>
                <w:webHidden/>
              </w:rPr>
              <w:tab/>
            </w:r>
            <w:r w:rsidR="00B906AE">
              <w:rPr>
                <w:noProof/>
                <w:webHidden/>
              </w:rPr>
              <w:fldChar w:fldCharType="begin"/>
            </w:r>
            <w:r w:rsidR="00B906AE">
              <w:rPr>
                <w:noProof/>
                <w:webHidden/>
              </w:rPr>
              <w:instrText xml:space="preserve"> PAGEREF _Toc160186172 \h </w:instrText>
            </w:r>
            <w:r w:rsidR="00B906AE">
              <w:rPr>
                <w:noProof/>
                <w:webHidden/>
              </w:rPr>
            </w:r>
            <w:r w:rsidR="00B906AE">
              <w:rPr>
                <w:noProof/>
                <w:webHidden/>
              </w:rPr>
              <w:fldChar w:fldCharType="separate"/>
            </w:r>
            <w:r w:rsidR="009033D2">
              <w:rPr>
                <w:noProof/>
                <w:webHidden/>
              </w:rPr>
              <w:t>21</w:t>
            </w:r>
            <w:r w:rsidR="00B906AE">
              <w:rPr>
                <w:noProof/>
                <w:webHidden/>
              </w:rPr>
              <w:fldChar w:fldCharType="end"/>
            </w:r>
          </w:hyperlink>
          <w:r w:rsidR="00E5497E">
            <w:rPr>
              <w:noProof/>
            </w:rPr>
            <w:t>8</w:t>
          </w:r>
        </w:p>
        <w:p w14:paraId="3505B8CA" w14:textId="1A6E3975" w:rsidR="00103268" w:rsidRPr="00107C19" w:rsidRDefault="00103268" w:rsidP="00103268">
          <w:pPr>
            <w:rPr>
              <w:rFonts w:cstheme="minorHAnsi"/>
              <w:b/>
              <w:noProof/>
              <w:color w:val="000000" w:themeColor="text1"/>
            </w:rPr>
          </w:pPr>
          <w:r w:rsidRPr="00107C19">
            <w:rPr>
              <w:rFonts w:cstheme="minorHAnsi"/>
              <w:b/>
              <w:color w:val="000000" w:themeColor="text1"/>
            </w:rPr>
            <w:fldChar w:fldCharType="end"/>
          </w:r>
        </w:p>
      </w:sdtContent>
    </w:sdt>
    <w:p w14:paraId="22DCA458" w14:textId="77777777" w:rsidR="007802F9" w:rsidRPr="00107C19" w:rsidRDefault="007802F9">
      <w:pPr>
        <w:spacing w:before="0" w:after="200" w:line="276" w:lineRule="auto"/>
        <w:rPr>
          <w:rFonts w:eastAsia="Times New Roman" w:cstheme="minorHAnsi"/>
          <w:b/>
          <w:bCs/>
          <w:iCs/>
          <w:color w:val="000000" w:themeColor="text1"/>
          <w:kern w:val="32"/>
          <w:sz w:val="28"/>
          <w:szCs w:val="28"/>
        </w:rPr>
      </w:pPr>
      <w:r w:rsidRPr="00107C19">
        <w:rPr>
          <w:rFonts w:cstheme="minorHAnsi"/>
          <w:b/>
          <w:color w:val="000000" w:themeColor="text1"/>
          <w:szCs w:val="28"/>
        </w:rPr>
        <w:br w:type="page"/>
      </w:r>
    </w:p>
    <w:p w14:paraId="4F36CBE0" w14:textId="1CE0B7A7" w:rsidR="00A91749" w:rsidRPr="00107C19" w:rsidRDefault="00A91749" w:rsidP="00695E0D">
      <w:pPr>
        <w:pStyle w:val="Heading1"/>
        <w:numPr>
          <w:ilvl w:val="0"/>
          <w:numId w:val="20"/>
        </w:numPr>
        <w:rPr>
          <w:b/>
          <w:bCs w:val="0"/>
          <w:color w:val="000000" w:themeColor="text1"/>
        </w:rPr>
      </w:pPr>
      <w:bookmarkStart w:id="3" w:name="_Toc123023748"/>
      <w:bookmarkStart w:id="4" w:name="_Toc160185938"/>
      <w:r w:rsidRPr="00107C19">
        <w:rPr>
          <w:b/>
          <w:bCs w:val="0"/>
          <w:color w:val="000000" w:themeColor="text1"/>
        </w:rPr>
        <w:lastRenderedPageBreak/>
        <w:t>Introduction</w:t>
      </w:r>
      <w:bookmarkEnd w:id="3"/>
      <w:bookmarkEnd w:id="4"/>
    </w:p>
    <w:p w14:paraId="67363E0C" w14:textId="53A72B59" w:rsidR="00A91749" w:rsidRPr="00107C19" w:rsidRDefault="00A91749" w:rsidP="00A91749">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President Abraham Lincoln coined the phrase “the People’s Department,” acknowledging the role of the U.S. Department of Agriculture in solving problems—a service that benefits all people every day. Thus, well before the coining of the modern-day phrase of “technology transfer,” it was the culture of USDA to deliver solutions to the people of the United States. Today, USDA broadly defines technology transfer as the adoption of research outcomes (i.e., solutions) for public benefit. A seemingly simple statement, the process of adoption is complicated, requiring integration of many assets from disparate sources in the successful delivery of solutions. “Public benefit” is achieved through many mechanisms including public release of information, tools, and solutions (e.g., germplasm, plants, and other materials; adoption and enhancement of research outcomes by partners through collaborative research; formal cooperative research and development agreements (CRADA) authorized by the Federal Technology Transfer Act (1986); direct Federal, State, or local technical assistance; or through licensing of biological materials or protected intellectual property directly to not-for-profit entities and for-profit private-sector firms). Additionally, successful adoption of USDA knowledge and research outcomes typically requires complementary assets and services provided by multiple agencies in USDA, including agencies that are not primarily engaged in direct research in the physical and life science arenas.</w:t>
      </w:r>
    </w:p>
    <w:p w14:paraId="775864CE" w14:textId="77777777" w:rsidR="00A91749" w:rsidRPr="00107C19" w:rsidRDefault="00A91749" w:rsidP="00A91749">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 xml:space="preserve">Private-sector involvement in technology transfer adds the benefits of creating new or expanded businesses, jobs, and economic prosperity. Science-based innovations from USDA intramural research, often developed through public-private partnerships (PPPs), create new or improved technologies, processes, products, and services that benefit the Nation by increasing productivity, increasing efficiency (keeping costs low), and enhancing global competitiveness for the U.S. agriculture sector. Thus, technology-transfer functions are critical to accelerating utility of public research and development investments, creating economic activity, and in job creation and sustainable economic development. </w:t>
      </w:r>
    </w:p>
    <w:p w14:paraId="0B33E7C5" w14:textId="77777777" w:rsidR="00A91749" w:rsidRPr="00107C19" w:rsidRDefault="00A91749" w:rsidP="00A91749">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 xml:space="preserve">The USDA, Agricultural Research Service (ARS) has been delegated authority by the U.S. Secretary of Agriculture to administer the patent program for ARS and to review CRADAs and administer technology licensing programs for all intramural research conducted by USDA. These activities are housed in the Office of Technology Transfer. </w:t>
      </w:r>
    </w:p>
    <w:p w14:paraId="36851062" w14:textId="73ABED4A" w:rsidR="00A91749" w:rsidRPr="00107C19" w:rsidRDefault="00A91749" w:rsidP="00A91749">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On October 28, 2011, following a series of reports identifying the status of technology transfer from Federal funds and Federal laboratories, the White House issued the Presidential Memorandum— “Accelerating Technology Transfer and Commercialization of Federal Research in Support of High-Growth Businesses.” Issuance of this Memorandum provided an unprecedented opportunity for unifying technology transfer across USDA science and technology agencies as the mechanism to deliver these outcomes for public good. In the USDA’s response to the Presidential Memorandum (</w:t>
      </w:r>
      <w:hyperlink r:id="rId9" w:history="1">
        <w:r w:rsidR="00EF2A3F" w:rsidRPr="00107C19">
          <w:rPr>
            <w:rStyle w:val="Hyperlink"/>
            <w:rFonts w:cstheme="minorHAnsi"/>
            <w:i w:val="0"/>
            <w:iCs w:val="0"/>
            <w:color w:val="000000" w:themeColor="text1"/>
          </w:rPr>
          <w:t>http://www.nist.gov/tpo/publications/upload/USDA-Tech-Transfer-Plan.pdf</w:t>
        </w:r>
      </w:hyperlink>
      <w:r w:rsidR="00EF2A3F" w:rsidRPr="00107C19">
        <w:rPr>
          <w:rFonts w:asciiTheme="minorHAnsi" w:hAnsiTheme="minorHAnsi" w:cstheme="minorHAnsi"/>
          <w:i w:val="0"/>
          <w:iCs w:val="0"/>
          <w:color w:val="000000" w:themeColor="text1"/>
          <w:u w:val="none"/>
        </w:rPr>
        <w:t xml:space="preserve"> </w:t>
      </w:r>
      <w:r w:rsidRPr="00107C19">
        <w:rPr>
          <w:rFonts w:asciiTheme="minorHAnsi" w:hAnsiTheme="minorHAnsi" w:cstheme="minorHAnsi"/>
          <w:i w:val="0"/>
          <w:iCs w:val="0"/>
          <w:color w:val="000000" w:themeColor="text1"/>
          <w:u w:val="none"/>
        </w:rPr>
        <w:t xml:space="preserve">), several initiatives were identified to promote technology transfer and commercialization. These initiatives ushered in a new era of unprecedented collaboration among USDA agencies to enhance services and opportunities to the customers and stakeholders of the Department. This report describes progress in implementing these initiatives. </w:t>
      </w:r>
    </w:p>
    <w:p w14:paraId="7F64763D" w14:textId="77777777" w:rsidR="00A91749" w:rsidRPr="00107C19" w:rsidRDefault="00A91749" w:rsidP="00A91749">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lastRenderedPageBreak/>
        <w:t xml:space="preserve"> This report also covers technology-transfer activities and metrics for the USDA, Agricultural Marketing Service (AMS), Animal and Plant Health Inspection Service (APHIS), Agricultural Research Service (ARS), Economic Research Service (ERS), Foreign Agricultural Service (FAS), Food Safety and Inspection Service (FSIS), Forest Service (FS), National Agricultural Statistics Service (NASS), National Institute of Food and Agriculture (NIFA), Natural Resources Conservation Service (NRCS), and Rural Development (RD).</w:t>
      </w:r>
    </w:p>
    <w:p w14:paraId="5D8D2CA8" w14:textId="2CF3B62B" w:rsidR="00D66538" w:rsidRPr="00107C19" w:rsidRDefault="00A91749" w:rsidP="00695E0D">
      <w:pPr>
        <w:pStyle w:val="Heading1"/>
        <w:numPr>
          <w:ilvl w:val="0"/>
          <w:numId w:val="20"/>
        </w:numPr>
        <w:rPr>
          <w:b/>
          <w:bCs w:val="0"/>
          <w:color w:val="000000" w:themeColor="text1"/>
        </w:rPr>
      </w:pPr>
      <w:bookmarkStart w:id="5" w:name="_Toc123023749"/>
      <w:bookmarkStart w:id="6" w:name="_Toc160185939"/>
      <w:r w:rsidRPr="00107C19">
        <w:rPr>
          <w:b/>
          <w:bCs w:val="0"/>
          <w:color w:val="000000" w:themeColor="text1"/>
        </w:rPr>
        <w:lastRenderedPageBreak/>
        <w:t xml:space="preserve">Combined </w:t>
      </w:r>
      <w:r w:rsidR="00D92B35" w:rsidRPr="00107C19">
        <w:rPr>
          <w:b/>
          <w:bCs w:val="0"/>
          <w:color w:val="000000" w:themeColor="text1"/>
        </w:rPr>
        <w:t xml:space="preserve">Fiscal Year </w:t>
      </w:r>
      <w:r w:rsidRPr="00107C19">
        <w:rPr>
          <w:b/>
          <w:bCs w:val="0"/>
          <w:color w:val="000000" w:themeColor="text1"/>
        </w:rPr>
        <w:t>Metric Tables</w:t>
      </w:r>
      <w:bookmarkEnd w:id="5"/>
      <w:bookmarkEnd w:id="6"/>
      <w:r w:rsidRPr="00107C19">
        <w:rPr>
          <w:b/>
          <w:bCs w:val="0"/>
          <w:color w:val="000000" w:themeColor="text1"/>
        </w:rPr>
        <w:t xml:space="preserve"> </w:t>
      </w:r>
    </w:p>
    <w:p w14:paraId="6EE2AB89" w14:textId="3A9E14B5" w:rsidR="00A91749" w:rsidRPr="00107C19" w:rsidRDefault="00D66538" w:rsidP="00D66538">
      <w:pPr>
        <w:pStyle w:val="TableHeading"/>
        <w:rPr>
          <w:bCs/>
          <w:color w:val="000000" w:themeColor="text1"/>
        </w:rPr>
      </w:pPr>
      <w:r w:rsidRPr="00107C19">
        <w:rPr>
          <w:color w:val="000000" w:themeColor="text1"/>
        </w:rPr>
        <w:t>Table 1. Invention disclosures and patenting profile from Animal and Plant Health Inspection Service, Agricultural Research Service, and Forest Service. ND = no data. PCT = Patent Cooperation Treaty.</w:t>
      </w:r>
    </w:p>
    <w:tbl>
      <w:tblPr>
        <w:tblW w:w="10075"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369"/>
        <w:gridCol w:w="1396"/>
        <w:gridCol w:w="1350"/>
        <w:gridCol w:w="1260"/>
        <w:gridCol w:w="1260"/>
        <w:gridCol w:w="1440"/>
      </w:tblGrid>
      <w:tr w:rsidR="00FE517A" w:rsidRPr="00107C19" w14:paraId="720103F5" w14:textId="77777777" w:rsidTr="006963C8">
        <w:trPr>
          <w:trHeight w:val="304"/>
        </w:trPr>
        <w:tc>
          <w:tcPr>
            <w:tcW w:w="3369" w:type="dxa"/>
            <w:tcBorders>
              <w:top w:val="single" w:sz="8" w:space="0" w:color="auto"/>
            </w:tcBorders>
            <w:shd w:val="clear" w:color="auto" w:fill="D9D9D9" w:themeFill="background1" w:themeFillShade="D9"/>
            <w:vAlign w:val="center"/>
            <w:hideMark/>
          </w:tcPr>
          <w:p w14:paraId="6B075419" w14:textId="25A66F2E" w:rsidR="00FE517A" w:rsidRPr="00107C19" w:rsidRDefault="00FE517A" w:rsidP="00FE517A">
            <w:pPr>
              <w:pStyle w:val="TableHeading"/>
              <w:rPr>
                <w:color w:val="000000" w:themeColor="text1"/>
              </w:rPr>
            </w:pPr>
            <w:r w:rsidRPr="00107C19">
              <w:rPr>
                <w:color w:val="000000" w:themeColor="text1"/>
              </w:rPr>
              <w:t>Patenting</w:t>
            </w:r>
          </w:p>
        </w:tc>
        <w:tc>
          <w:tcPr>
            <w:tcW w:w="1396" w:type="dxa"/>
            <w:tcBorders>
              <w:top w:val="single" w:sz="8" w:space="0" w:color="auto"/>
            </w:tcBorders>
            <w:shd w:val="clear" w:color="auto" w:fill="D9D9D9" w:themeFill="background1" w:themeFillShade="D9"/>
            <w:noWrap/>
          </w:tcPr>
          <w:p w14:paraId="13322F35" w14:textId="48F5121A" w:rsidR="00FE517A" w:rsidRPr="00107C19" w:rsidRDefault="00FE517A" w:rsidP="00AA3AA9">
            <w:pPr>
              <w:pStyle w:val="TableHeading"/>
              <w:jc w:val="center"/>
              <w:rPr>
                <w:bCs/>
                <w:color w:val="000000" w:themeColor="text1"/>
              </w:rPr>
            </w:pPr>
            <w:r w:rsidRPr="005D7BBB">
              <w:t>2019</w:t>
            </w:r>
          </w:p>
        </w:tc>
        <w:tc>
          <w:tcPr>
            <w:tcW w:w="1350" w:type="dxa"/>
            <w:tcBorders>
              <w:top w:val="single" w:sz="8" w:space="0" w:color="auto"/>
            </w:tcBorders>
            <w:shd w:val="clear" w:color="auto" w:fill="D9D9D9" w:themeFill="background1" w:themeFillShade="D9"/>
            <w:noWrap/>
          </w:tcPr>
          <w:p w14:paraId="0749BBEE" w14:textId="10FA2A2B" w:rsidR="00FE517A" w:rsidRPr="00107C19" w:rsidRDefault="00FE517A" w:rsidP="00AA3AA9">
            <w:pPr>
              <w:pStyle w:val="TableHeading"/>
              <w:jc w:val="center"/>
              <w:rPr>
                <w:bCs/>
                <w:color w:val="000000" w:themeColor="text1"/>
              </w:rPr>
            </w:pPr>
            <w:r w:rsidRPr="005D7BBB">
              <w:t>2020</w:t>
            </w:r>
          </w:p>
        </w:tc>
        <w:tc>
          <w:tcPr>
            <w:tcW w:w="1260" w:type="dxa"/>
            <w:tcBorders>
              <w:top w:val="single" w:sz="8" w:space="0" w:color="auto"/>
            </w:tcBorders>
            <w:shd w:val="clear" w:color="auto" w:fill="D9D9D9" w:themeFill="background1" w:themeFillShade="D9"/>
          </w:tcPr>
          <w:p w14:paraId="32BB4B5D" w14:textId="26965D3C" w:rsidR="00FE517A" w:rsidRPr="00107C19" w:rsidRDefault="00FE517A" w:rsidP="00AA3AA9">
            <w:pPr>
              <w:pStyle w:val="TableHeading"/>
              <w:jc w:val="center"/>
              <w:rPr>
                <w:bCs/>
                <w:color w:val="000000" w:themeColor="text1"/>
              </w:rPr>
            </w:pPr>
            <w:r w:rsidRPr="005D7BBB">
              <w:t>2021</w:t>
            </w:r>
          </w:p>
        </w:tc>
        <w:tc>
          <w:tcPr>
            <w:tcW w:w="1260" w:type="dxa"/>
            <w:tcBorders>
              <w:top w:val="single" w:sz="8" w:space="0" w:color="auto"/>
            </w:tcBorders>
            <w:shd w:val="clear" w:color="auto" w:fill="D9D9D9" w:themeFill="background1" w:themeFillShade="D9"/>
          </w:tcPr>
          <w:p w14:paraId="56470793" w14:textId="5F9FB6F1" w:rsidR="00FE517A" w:rsidRPr="00107C19" w:rsidRDefault="00FE517A" w:rsidP="00AA3AA9">
            <w:pPr>
              <w:pStyle w:val="TableHeading"/>
              <w:jc w:val="center"/>
              <w:rPr>
                <w:bCs/>
                <w:color w:val="000000" w:themeColor="text1"/>
              </w:rPr>
            </w:pPr>
            <w:r w:rsidRPr="005D7BBB">
              <w:t>2022</w:t>
            </w:r>
          </w:p>
        </w:tc>
        <w:tc>
          <w:tcPr>
            <w:tcW w:w="1440" w:type="dxa"/>
            <w:tcBorders>
              <w:top w:val="single" w:sz="8" w:space="0" w:color="auto"/>
            </w:tcBorders>
            <w:shd w:val="clear" w:color="auto" w:fill="D9D9D9" w:themeFill="background1" w:themeFillShade="D9"/>
            <w:vAlign w:val="center"/>
          </w:tcPr>
          <w:p w14:paraId="0C7EA808" w14:textId="177A8D9A" w:rsidR="00FE517A" w:rsidRPr="00CB4A26" w:rsidRDefault="009033D2" w:rsidP="00CB4A26">
            <w:pPr>
              <w:pStyle w:val="TableHeading"/>
              <w:jc w:val="center"/>
            </w:pPr>
            <w:r w:rsidRPr="00CB4A26">
              <w:t>2023</w:t>
            </w:r>
          </w:p>
        </w:tc>
      </w:tr>
      <w:tr w:rsidR="00FE517A" w:rsidRPr="00107C19" w14:paraId="113B98AB" w14:textId="77777777" w:rsidTr="006963C8">
        <w:trPr>
          <w:trHeight w:val="304"/>
        </w:trPr>
        <w:tc>
          <w:tcPr>
            <w:tcW w:w="3369" w:type="dxa"/>
            <w:shd w:val="clear" w:color="auto" w:fill="auto"/>
            <w:vAlign w:val="center"/>
            <w:hideMark/>
          </w:tcPr>
          <w:p w14:paraId="1B7EB72F" w14:textId="08FB2C4D" w:rsidR="00FE517A" w:rsidRPr="00107C19" w:rsidRDefault="00FE517A" w:rsidP="00FE517A">
            <w:pPr>
              <w:pStyle w:val="TableText"/>
              <w:rPr>
                <w:rFonts w:cstheme="minorHAnsi"/>
                <w:color w:val="000000" w:themeColor="text1"/>
              </w:rPr>
            </w:pPr>
            <w:r w:rsidRPr="00107C19">
              <w:rPr>
                <w:rFonts w:cstheme="minorHAnsi"/>
                <w:color w:val="000000" w:themeColor="text1"/>
              </w:rPr>
              <w:t>New inventions disclosers</w:t>
            </w:r>
          </w:p>
        </w:tc>
        <w:tc>
          <w:tcPr>
            <w:tcW w:w="1396" w:type="dxa"/>
            <w:noWrap/>
          </w:tcPr>
          <w:p w14:paraId="67465499" w14:textId="0D3A1432" w:rsidR="00FE517A" w:rsidRPr="00107C19" w:rsidRDefault="00FE517A" w:rsidP="00AA3AA9">
            <w:pPr>
              <w:pStyle w:val="TableText"/>
              <w:jc w:val="center"/>
              <w:rPr>
                <w:rFonts w:cstheme="minorHAnsi"/>
                <w:color w:val="000000" w:themeColor="text1"/>
              </w:rPr>
            </w:pPr>
            <w:r w:rsidRPr="005D7BBB">
              <w:t>243</w:t>
            </w:r>
          </w:p>
        </w:tc>
        <w:tc>
          <w:tcPr>
            <w:tcW w:w="1350" w:type="dxa"/>
            <w:noWrap/>
          </w:tcPr>
          <w:p w14:paraId="10285936" w14:textId="1F6F8E24" w:rsidR="00FE517A" w:rsidRPr="00107C19" w:rsidRDefault="00FE517A" w:rsidP="00AA3AA9">
            <w:pPr>
              <w:pStyle w:val="TableText"/>
              <w:jc w:val="center"/>
              <w:rPr>
                <w:rFonts w:cstheme="minorHAnsi"/>
                <w:color w:val="000000" w:themeColor="text1"/>
              </w:rPr>
            </w:pPr>
            <w:r w:rsidRPr="005D7BBB">
              <w:t>213</w:t>
            </w:r>
          </w:p>
        </w:tc>
        <w:tc>
          <w:tcPr>
            <w:tcW w:w="1260" w:type="dxa"/>
          </w:tcPr>
          <w:p w14:paraId="76F3281B" w14:textId="1FCD8B70" w:rsidR="00FE517A" w:rsidRPr="00107C19" w:rsidRDefault="00FE517A" w:rsidP="00AA3AA9">
            <w:pPr>
              <w:pStyle w:val="TableText"/>
              <w:jc w:val="center"/>
              <w:rPr>
                <w:rFonts w:cstheme="minorHAnsi"/>
                <w:color w:val="000000" w:themeColor="text1"/>
              </w:rPr>
            </w:pPr>
            <w:r w:rsidRPr="005D7BBB">
              <w:t>187</w:t>
            </w:r>
          </w:p>
        </w:tc>
        <w:tc>
          <w:tcPr>
            <w:tcW w:w="1260" w:type="dxa"/>
          </w:tcPr>
          <w:p w14:paraId="69569C8D" w14:textId="43885C8A" w:rsidR="00FE517A" w:rsidRPr="00107C19" w:rsidRDefault="00FE517A" w:rsidP="00AA3AA9">
            <w:pPr>
              <w:pStyle w:val="TableText"/>
              <w:jc w:val="center"/>
              <w:rPr>
                <w:rFonts w:cstheme="minorHAnsi"/>
                <w:color w:val="000000" w:themeColor="text1"/>
              </w:rPr>
            </w:pPr>
            <w:r w:rsidRPr="005D7BBB">
              <w:t>156</w:t>
            </w:r>
          </w:p>
        </w:tc>
        <w:tc>
          <w:tcPr>
            <w:tcW w:w="1440" w:type="dxa"/>
            <w:vAlign w:val="center"/>
          </w:tcPr>
          <w:p w14:paraId="0EB001A4" w14:textId="3B19C2D0" w:rsidR="00FE517A" w:rsidRPr="00CB4A26" w:rsidRDefault="009033D2" w:rsidP="00CB4A26">
            <w:pPr>
              <w:pStyle w:val="TableHeading"/>
              <w:jc w:val="center"/>
              <w:rPr>
                <w:b w:val="0"/>
                <w:bCs/>
              </w:rPr>
            </w:pPr>
            <w:r w:rsidRPr="00CB4A26">
              <w:rPr>
                <w:b w:val="0"/>
                <w:bCs/>
              </w:rPr>
              <w:t>109</w:t>
            </w:r>
          </w:p>
        </w:tc>
      </w:tr>
      <w:tr w:rsidR="00FE517A" w:rsidRPr="00107C19" w14:paraId="5AAE4FF5" w14:textId="77777777" w:rsidTr="006963C8">
        <w:trPr>
          <w:trHeight w:val="304"/>
        </w:trPr>
        <w:tc>
          <w:tcPr>
            <w:tcW w:w="3369" w:type="dxa"/>
            <w:shd w:val="clear" w:color="auto" w:fill="auto"/>
            <w:vAlign w:val="center"/>
            <w:hideMark/>
          </w:tcPr>
          <w:p w14:paraId="365C926B" w14:textId="1A82D767" w:rsidR="00FE517A" w:rsidRPr="00107C19" w:rsidRDefault="00FE517A" w:rsidP="00FE517A">
            <w:pPr>
              <w:pStyle w:val="TableText"/>
              <w:rPr>
                <w:rFonts w:cstheme="minorHAnsi"/>
                <w:color w:val="000000" w:themeColor="text1"/>
              </w:rPr>
            </w:pPr>
            <w:r w:rsidRPr="00107C19">
              <w:rPr>
                <w:rFonts w:cstheme="minorHAnsi"/>
                <w:color w:val="000000" w:themeColor="text1"/>
              </w:rPr>
              <w:t xml:space="preserve">Patent applications filed </w:t>
            </w:r>
          </w:p>
        </w:tc>
        <w:tc>
          <w:tcPr>
            <w:tcW w:w="1396" w:type="dxa"/>
            <w:noWrap/>
          </w:tcPr>
          <w:p w14:paraId="1869D27D" w14:textId="6152FBD6" w:rsidR="00FE517A" w:rsidRPr="00107C19" w:rsidRDefault="00FE517A" w:rsidP="00AA3AA9">
            <w:pPr>
              <w:pStyle w:val="TableText"/>
              <w:jc w:val="center"/>
              <w:rPr>
                <w:rFonts w:cstheme="minorHAnsi"/>
                <w:color w:val="000000" w:themeColor="text1"/>
              </w:rPr>
            </w:pPr>
            <w:r w:rsidRPr="005D7BBB">
              <w:t>97</w:t>
            </w:r>
          </w:p>
        </w:tc>
        <w:tc>
          <w:tcPr>
            <w:tcW w:w="1350" w:type="dxa"/>
            <w:noWrap/>
          </w:tcPr>
          <w:p w14:paraId="2EBCC10E" w14:textId="1CBD5EE6" w:rsidR="00FE517A" w:rsidRPr="00107C19" w:rsidRDefault="00FE517A" w:rsidP="00AA3AA9">
            <w:pPr>
              <w:pStyle w:val="TableText"/>
              <w:jc w:val="center"/>
              <w:rPr>
                <w:rFonts w:cstheme="minorHAnsi"/>
                <w:color w:val="000000" w:themeColor="text1"/>
              </w:rPr>
            </w:pPr>
            <w:r w:rsidRPr="005D7BBB">
              <w:t>91</w:t>
            </w:r>
          </w:p>
        </w:tc>
        <w:tc>
          <w:tcPr>
            <w:tcW w:w="1260" w:type="dxa"/>
          </w:tcPr>
          <w:p w14:paraId="1A47000B" w14:textId="00CF01BB" w:rsidR="00FE517A" w:rsidRPr="00107C19" w:rsidRDefault="00FE517A" w:rsidP="00AA3AA9">
            <w:pPr>
              <w:pStyle w:val="TableText"/>
              <w:jc w:val="center"/>
              <w:rPr>
                <w:rFonts w:cstheme="minorHAnsi"/>
                <w:color w:val="000000" w:themeColor="text1"/>
              </w:rPr>
            </w:pPr>
            <w:r w:rsidRPr="005D7BBB">
              <w:t>93</w:t>
            </w:r>
          </w:p>
        </w:tc>
        <w:tc>
          <w:tcPr>
            <w:tcW w:w="1260" w:type="dxa"/>
          </w:tcPr>
          <w:p w14:paraId="30D96430" w14:textId="3B06FBC8" w:rsidR="00FE517A" w:rsidRPr="00107C19" w:rsidRDefault="00FE517A" w:rsidP="00AA3AA9">
            <w:pPr>
              <w:pStyle w:val="TableText"/>
              <w:jc w:val="center"/>
              <w:rPr>
                <w:rFonts w:cstheme="minorHAnsi"/>
                <w:color w:val="000000" w:themeColor="text1"/>
              </w:rPr>
            </w:pPr>
            <w:r w:rsidRPr="005D7BBB">
              <w:t>79</w:t>
            </w:r>
          </w:p>
        </w:tc>
        <w:tc>
          <w:tcPr>
            <w:tcW w:w="1440" w:type="dxa"/>
            <w:vAlign w:val="center"/>
          </w:tcPr>
          <w:p w14:paraId="5F26483E" w14:textId="2990E385" w:rsidR="00FE517A" w:rsidRPr="00CB4A26" w:rsidRDefault="009033D2" w:rsidP="00CB4A26">
            <w:pPr>
              <w:pStyle w:val="TableHeading"/>
              <w:jc w:val="center"/>
              <w:rPr>
                <w:b w:val="0"/>
                <w:bCs/>
              </w:rPr>
            </w:pPr>
            <w:r w:rsidRPr="00CB4A26">
              <w:rPr>
                <w:b w:val="0"/>
                <w:bCs/>
              </w:rPr>
              <w:t>70</w:t>
            </w:r>
          </w:p>
        </w:tc>
      </w:tr>
      <w:tr w:rsidR="00FE517A" w:rsidRPr="00107C19" w14:paraId="1D840602" w14:textId="77777777" w:rsidTr="006963C8">
        <w:trPr>
          <w:trHeight w:val="304"/>
        </w:trPr>
        <w:tc>
          <w:tcPr>
            <w:tcW w:w="3369" w:type="dxa"/>
            <w:shd w:val="clear" w:color="auto" w:fill="auto"/>
            <w:vAlign w:val="center"/>
            <w:hideMark/>
          </w:tcPr>
          <w:p w14:paraId="6C3E573F" w14:textId="4E667E3B" w:rsidR="00FE517A" w:rsidRPr="00107C19" w:rsidRDefault="00FE517A" w:rsidP="00FE517A">
            <w:pPr>
              <w:pStyle w:val="TableText"/>
              <w:rPr>
                <w:rFonts w:cstheme="minorHAnsi"/>
                <w:color w:val="000000" w:themeColor="text1"/>
              </w:rPr>
            </w:pPr>
            <w:r w:rsidRPr="00107C19">
              <w:rPr>
                <w:rFonts w:cstheme="minorHAnsi"/>
                <w:color w:val="000000" w:themeColor="text1"/>
              </w:rPr>
              <w:t xml:space="preserve">Patents issued </w:t>
            </w:r>
          </w:p>
        </w:tc>
        <w:tc>
          <w:tcPr>
            <w:tcW w:w="1396" w:type="dxa"/>
            <w:noWrap/>
          </w:tcPr>
          <w:p w14:paraId="2EA605A6" w14:textId="15F60043" w:rsidR="00FE517A" w:rsidRPr="00107C19" w:rsidRDefault="00FE517A" w:rsidP="00AA3AA9">
            <w:pPr>
              <w:pStyle w:val="TableText"/>
              <w:jc w:val="center"/>
              <w:rPr>
                <w:rFonts w:cstheme="minorHAnsi"/>
                <w:color w:val="000000" w:themeColor="text1"/>
              </w:rPr>
            </w:pPr>
            <w:r w:rsidRPr="005D7BBB">
              <w:t>71</w:t>
            </w:r>
          </w:p>
        </w:tc>
        <w:tc>
          <w:tcPr>
            <w:tcW w:w="1350" w:type="dxa"/>
            <w:noWrap/>
          </w:tcPr>
          <w:p w14:paraId="32336B3A" w14:textId="304F1954" w:rsidR="00FE517A" w:rsidRPr="00107C19" w:rsidRDefault="00FE517A" w:rsidP="00AA3AA9">
            <w:pPr>
              <w:pStyle w:val="TableText"/>
              <w:jc w:val="center"/>
              <w:rPr>
                <w:rFonts w:cstheme="minorHAnsi"/>
                <w:color w:val="000000" w:themeColor="text1"/>
              </w:rPr>
            </w:pPr>
            <w:r w:rsidRPr="005D7BBB">
              <w:t>58</w:t>
            </w:r>
          </w:p>
        </w:tc>
        <w:tc>
          <w:tcPr>
            <w:tcW w:w="1260" w:type="dxa"/>
          </w:tcPr>
          <w:p w14:paraId="79A55334" w14:textId="346DE6E5" w:rsidR="00FE517A" w:rsidRPr="00107C19" w:rsidRDefault="00FE517A" w:rsidP="00AA3AA9">
            <w:pPr>
              <w:pStyle w:val="TableText"/>
              <w:jc w:val="center"/>
              <w:rPr>
                <w:rFonts w:cstheme="minorHAnsi"/>
                <w:color w:val="000000" w:themeColor="text1"/>
              </w:rPr>
            </w:pPr>
            <w:r w:rsidRPr="005D7BBB">
              <w:t>45</w:t>
            </w:r>
          </w:p>
        </w:tc>
        <w:tc>
          <w:tcPr>
            <w:tcW w:w="1260" w:type="dxa"/>
          </w:tcPr>
          <w:p w14:paraId="5675E880" w14:textId="62681C8D" w:rsidR="00FE517A" w:rsidRPr="00107C19" w:rsidRDefault="00FE517A" w:rsidP="00AA3AA9">
            <w:pPr>
              <w:pStyle w:val="TableText"/>
              <w:jc w:val="center"/>
              <w:rPr>
                <w:rFonts w:cstheme="minorHAnsi"/>
                <w:color w:val="000000" w:themeColor="text1"/>
              </w:rPr>
            </w:pPr>
            <w:r w:rsidRPr="005D7BBB">
              <w:t>38</w:t>
            </w:r>
          </w:p>
        </w:tc>
        <w:tc>
          <w:tcPr>
            <w:tcW w:w="1440" w:type="dxa"/>
            <w:vAlign w:val="center"/>
          </w:tcPr>
          <w:p w14:paraId="40E14795" w14:textId="45CC0F57" w:rsidR="00FE517A" w:rsidRPr="00CB4A26" w:rsidRDefault="009033D2" w:rsidP="00CB4A26">
            <w:pPr>
              <w:pStyle w:val="TableHeading"/>
              <w:jc w:val="center"/>
              <w:rPr>
                <w:b w:val="0"/>
                <w:bCs/>
              </w:rPr>
            </w:pPr>
            <w:r w:rsidRPr="00CB4A26">
              <w:rPr>
                <w:b w:val="0"/>
                <w:bCs/>
              </w:rPr>
              <w:t>38</w:t>
            </w:r>
          </w:p>
        </w:tc>
      </w:tr>
      <w:tr w:rsidR="00FE517A" w:rsidRPr="00107C19" w14:paraId="4C81C35C" w14:textId="77777777" w:rsidTr="006963C8">
        <w:trPr>
          <w:trHeight w:val="304"/>
        </w:trPr>
        <w:tc>
          <w:tcPr>
            <w:tcW w:w="3369" w:type="dxa"/>
            <w:shd w:val="clear" w:color="000000" w:fill="auto"/>
            <w:vAlign w:val="center"/>
          </w:tcPr>
          <w:p w14:paraId="6CE73D43" w14:textId="402E7B13" w:rsidR="00FE517A" w:rsidRPr="00107C19" w:rsidRDefault="00FE517A" w:rsidP="00FE517A">
            <w:pPr>
              <w:pStyle w:val="TableText"/>
              <w:rPr>
                <w:rFonts w:cstheme="minorHAnsi"/>
                <w:color w:val="000000" w:themeColor="text1"/>
              </w:rPr>
            </w:pPr>
            <w:r w:rsidRPr="00107C19">
              <w:rPr>
                <w:rFonts w:cstheme="minorHAnsi"/>
                <w:color w:val="000000" w:themeColor="text1"/>
              </w:rPr>
              <w:t xml:space="preserve">Foreign patent applications filed </w:t>
            </w:r>
          </w:p>
        </w:tc>
        <w:tc>
          <w:tcPr>
            <w:tcW w:w="1396" w:type="dxa"/>
            <w:shd w:val="clear" w:color="000000" w:fill="auto"/>
            <w:noWrap/>
          </w:tcPr>
          <w:p w14:paraId="7E261891" w14:textId="4F1C38BF" w:rsidR="00FE517A" w:rsidRPr="00107C19" w:rsidRDefault="00FE517A" w:rsidP="00AA3AA9">
            <w:pPr>
              <w:pStyle w:val="TableText"/>
              <w:jc w:val="center"/>
              <w:rPr>
                <w:rFonts w:cstheme="minorHAnsi"/>
                <w:color w:val="000000" w:themeColor="text1"/>
              </w:rPr>
            </w:pPr>
            <w:r w:rsidRPr="005D7BBB">
              <w:t>ND</w:t>
            </w:r>
          </w:p>
        </w:tc>
        <w:tc>
          <w:tcPr>
            <w:tcW w:w="1350" w:type="dxa"/>
            <w:shd w:val="clear" w:color="000000" w:fill="auto"/>
            <w:noWrap/>
          </w:tcPr>
          <w:p w14:paraId="16895BCE" w14:textId="599FA6A2" w:rsidR="00FE517A" w:rsidRPr="00107C19" w:rsidRDefault="00FE517A" w:rsidP="00AA3AA9">
            <w:pPr>
              <w:pStyle w:val="TableText"/>
              <w:jc w:val="center"/>
              <w:rPr>
                <w:rFonts w:cstheme="minorHAnsi"/>
                <w:color w:val="000000" w:themeColor="text1"/>
              </w:rPr>
            </w:pPr>
            <w:r w:rsidRPr="005D7BBB">
              <w:t>61</w:t>
            </w:r>
          </w:p>
        </w:tc>
        <w:tc>
          <w:tcPr>
            <w:tcW w:w="1260" w:type="dxa"/>
            <w:shd w:val="clear" w:color="000000" w:fill="auto"/>
          </w:tcPr>
          <w:p w14:paraId="2E939B52" w14:textId="104E2DD9" w:rsidR="00FE517A" w:rsidRPr="00107C19" w:rsidRDefault="00FE517A" w:rsidP="00AA3AA9">
            <w:pPr>
              <w:pStyle w:val="TableText"/>
              <w:jc w:val="center"/>
              <w:rPr>
                <w:rFonts w:cstheme="minorHAnsi"/>
                <w:color w:val="000000" w:themeColor="text1"/>
              </w:rPr>
            </w:pPr>
            <w:r w:rsidRPr="005D7BBB">
              <w:t>16</w:t>
            </w:r>
          </w:p>
        </w:tc>
        <w:tc>
          <w:tcPr>
            <w:tcW w:w="1260" w:type="dxa"/>
            <w:shd w:val="clear" w:color="000000" w:fill="auto"/>
          </w:tcPr>
          <w:p w14:paraId="6FBA5614" w14:textId="47C0FD43" w:rsidR="00FE517A" w:rsidRPr="00107C19" w:rsidRDefault="00FE517A" w:rsidP="00AA3AA9">
            <w:pPr>
              <w:pStyle w:val="TableText"/>
              <w:jc w:val="center"/>
              <w:rPr>
                <w:rFonts w:cstheme="minorHAnsi"/>
                <w:color w:val="000000" w:themeColor="text1"/>
              </w:rPr>
            </w:pPr>
            <w:r w:rsidRPr="005D7BBB">
              <w:t>58</w:t>
            </w:r>
          </w:p>
        </w:tc>
        <w:tc>
          <w:tcPr>
            <w:tcW w:w="1440" w:type="dxa"/>
            <w:shd w:val="clear" w:color="000000" w:fill="auto"/>
            <w:vAlign w:val="center"/>
          </w:tcPr>
          <w:p w14:paraId="422CD204" w14:textId="70290918" w:rsidR="00FE517A" w:rsidRPr="00CB4A26" w:rsidRDefault="009033D2" w:rsidP="00CB4A26">
            <w:pPr>
              <w:pStyle w:val="TableHeading"/>
              <w:jc w:val="center"/>
              <w:rPr>
                <w:b w:val="0"/>
                <w:bCs/>
              </w:rPr>
            </w:pPr>
            <w:r w:rsidRPr="00CB4A26">
              <w:rPr>
                <w:b w:val="0"/>
                <w:bCs/>
              </w:rPr>
              <w:t>57</w:t>
            </w:r>
          </w:p>
        </w:tc>
      </w:tr>
      <w:tr w:rsidR="00FE517A" w:rsidRPr="00107C19" w14:paraId="1CD1CE38" w14:textId="77777777" w:rsidTr="006963C8">
        <w:trPr>
          <w:trHeight w:val="304"/>
        </w:trPr>
        <w:tc>
          <w:tcPr>
            <w:tcW w:w="3369" w:type="dxa"/>
            <w:shd w:val="clear" w:color="000000" w:fill="auto"/>
            <w:vAlign w:val="center"/>
          </w:tcPr>
          <w:p w14:paraId="29308D72" w14:textId="566EE662" w:rsidR="00FE517A" w:rsidRPr="00107C19" w:rsidRDefault="00FE517A" w:rsidP="00FE517A">
            <w:pPr>
              <w:pStyle w:val="TableText"/>
              <w:rPr>
                <w:rFonts w:cstheme="minorHAnsi"/>
                <w:color w:val="000000" w:themeColor="text1"/>
              </w:rPr>
            </w:pPr>
            <w:r w:rsidRPr="00107C19">
              <w:rPr>
                <w:rFonts w:cstheme="minorHAnsi"/>
                <w:color w:val="000000" w:themeColor="text1"/>
              </w:rPr>
              <w:t>Patent Cooperation Treaty applications filed</w:t>
            </w:r>
          </w:p>
        </w:tc>
        <w:tc>
          <w:tcPr>
            <w:tcW w:w="1396" w:type="dxa"/>
            <w:shd w:val="clear" w:color="000000" w:fill="auto"/>
            <w:noWrap/>
          </w:tcPr>
          <w:p w14:paraId="46AF0CE7" w14:textId="51C0BB92" w:rsidR="00FE517A" w:rsidRPr="00107C19" w:rsidRDefault="00FE517A" w:rsidP="00AA3AA9">
            <w:pPr>
              <w:pStyle w:val="TableText"/>
              <w:jc w:val="center"/>
              <w:rPr>
                <w:rFonts w:cstheme="minorHAnsi"/>
                <w:color w:val="000000" w:themeColor="text1"/>
              </w:rPr>
            </w:pPr>
            <w:r w:rsidRPr="005D7BBB">
              <w:t>ND</w:t>
            </w:r>
          </w:p>
        </w:tc>
        <w:tc>
          <w:tcPr>
            <w:tcW w:w="1350" w:type="dxa"/>
            <w:shd w:val="clear" w:color="000000" w:fill="auto"/>
            <w:noWrap/>
          </w:tcPr>
          <w:p w14:paraId="448EE67D" w14:textId="1E5F67B0" w:rsidR="00FE517A" w:rsidRPr="00107C19" w:rsidRDefault="00FE517A" w:rsidP="00AA3AA9">
            <w:pPr>
              <w:pStyle w:val="TableText"/>
              <w:jc w:val="center"/>
              <w:rPr>
                <w:rFonts w:cstheme="minorHAnsi"/>
                <w:color w:val="000000" w:themeColor="text1"/>
              </w:rPr>
            </w:pPr>
            <w:r w:rsidRPr="005D7BBB">
              <w:t>16</w:t>
            </w:r>
          </w:p>
        </w:tc>
        <w:tc>
          <w:tcPr>
            <w:tcW w:w="1260" w:type="dxa"/>
            <w:shd w:val="clear" w:color="000000" w:fill="auto"/>
          </w:tcPr>
          <w:p w14:paraId="392D2AD1" w14:textId="68639F89" w:rsidR="00FE517A" w:rsidRPr="00107C19" w:rsidRDefault="00FE517A" w:rsidP="00AA3AA9">
            <w:pPr>
              <w:pStyle w:val="TableText"/>
              <w:jc w:val="center"/>
              <w:rPr>
                <w:rFonts w:cstheme="minorHAnsi"/>
                <w:color w:val="000000" w:themeColor="text1"/>
              </w:rPr>
            </w:pPr>
            <w:r w:rsidRPr="005D7BBB">
              <w:t>19</w:t>
            </w:r>
          </w:p>
        </w:tc>
        <w:tc>
          <w:tcPr>
            <w:tcW w:w="1260" w:type="dxa"/>
            <w:shd w:val="clear" w:color="000000" w:fill="auto"/>
          </w:tcPr>
          <w:p w14:paraId="14D072DD" w14:textId="13360D72" w:rsidR="00FE517A" w:rsidRPr="00107C19" w:rsidRDefault="00FE517A" w:rsidP="00AA3AA9">
            <w:pPr>
              <w:pStyle w:val="TableText"/>
              <w:jc w:val="center"/>
              <w:rPr>
                <w:rFonts w:cstheme="minorHAnsi"/>
                <w:color w:val="000000" w:themeColor="text1"/>
              </w:rPr>
            </w:pPr>
            <w:r w:rsidRPr="005D7BBB">
              <w:t>11</w:t>
            </w:r>
          </w:p>
        </w:tc>
        <w:tc>
          <w:tcPr>
            <w:tcW w:w="1440" w:type="dxa"/>
            <w:shd w:val="clear" w:color="000000" w:fill="auto"/>
            <w:vAlign w:val="center"/>
          </w:tcPr>
          <w:p w14:paraId="12749055" w14:textId="75B945B0" w:rsidR="00FE517A" w:rsidRPr="00CB4A26" w:rsidRDefault="009033D2" w:rsidP="00CB4A26">
            <w:pPr>
              <w:pStyle w:val="TableHeading"/>
              <w:jc w:val="center"/>
              <w:rPr>
                <w:b w:val="0"/>
                <w:bCs/>
              </w:rPr>
            </w:pPr>
            <w:r w:rsidRPr="00CB4A26">
              <w:rPr>
                <w:b w:val="0"/>
                <w:bCs/>
              </w:rPr>
              <w:t>14</w:t>
            </w:r>
          </w:p>
        </w:tc>
      </w:tr>
      <w:tr w:rsidR="00FE517A" w:rsidRPr="00107C19" w14:paraId="3733D823" w14:textId="77777777" w:rsidTr="006963C8">
        <w:trPr>
          <w:trHeight w:val="304"/>
        </w:trPr>
        <w:tc>
          <w:tcPr>
            <w:tcW w:w="3369" w:type="dxa"/>
            <w:shd w:val="clear" w:color="000000" w:fill="auto"/>
            <w:vAlign w:val="center"/>
          </w:tcPr>
          <w:p w14:paraId="5EFC24F5" w14:textId="5AF77E58" w:rsidR="00FE517A" w:rsidRPr="00107C19" w:rsidRDefault="00FE517A" w:rsidP="00FE517A">
            <w:pPr>
              <w:pStyle w:val="TableText"/>
              <w:rPr>
                <w:rFonts w:cstheme="minorHAnsi"/>
                <w:color w:val="000000" w:themeColor="text1"/>
              </w:rPr>
            </w:pPr>
            <w:r w:rsidRPr="00107C19">
              <w:rPr>
                <w:rFonts w:cstheme="minorHAnsi"/>
                <w:color w:val="000000" w:themeColor="text1"/>
              </w:rPr>
              <w:t>Foreign patents issued</w:t>
            </w:r>
          </w:p>
        </w:tc>
        <w:tc>
          <w:tcPr>
            <w:tcW w:w="1396" w:type="dxa"/>
            <w:shd w:val="clear" w:color="000000" w:fill="auto"/>
            <w:noWrap/>
          </w:tcPr>
          <w:p w14:paraId="0A22ACDE" w14:textId="1BAE7741" w:rsidR="00FE517A" w:rsidRPr="00107C19" w:rsidRDefault="00FE517A" w:rsidP="00AA3AA9">
            <w:pPr>
              <w:pStyle w:val="TableText"/>
              <w:jc w:val="center"/>
              <w:rPr>
                <w:rFonts w:cstheme="minorHAnsi"/>
                <w:color w:val="000000" w:themeColor="text1"/>
              </w:rPr>
            </w:pPr>
            <w:r w:rsidRPr="005D7BBB">
              <w:t>ND</w:t>
            </w:r>
          </w:p>
        </w:tc>
        <w:tc>
          <w:tcPr>
            <w:tcW w:w="1350" w:type="dxa"/>
            <w:shd w:val="clear" w:color="000000" w:fill="auto"/>
            <w:noWrap/>
          </w:tcPr>
          <w:p w14:paraId="6F4E6D4E" w14:textId="19CB206B" w:rsidR="00FE517A" w:rsidRPr="00107C19" w:rsidRDefault="00FE517A" w:rsidP="00AA3AA9">
            <w:pPr>
              <w:pStyle w:val="TableText"/>
              <w:jc w:val="center"/>
              <w:rPr>
                <w:rFonts w:cstheme="minorHAnsi"/>
                <w:color w:val="000000" w:themeColor="text1"/>
              </w:rPr>
            </w:pPr>
            <w:r w:rsidRPr="005D7BBB">
              <w:t>5</w:t>
            </w:r>
          </w:p>
        </w:tc>
        <w:tc>
          <w:tcPr>
            <w:tcW w:w="1260" w:type="dxa"/>
            <w:shd w:val="clear" w:color="000000" w:fill="auto"/>
          </w:tcPr>
          <w:p w14:paraId="2EC42D11" w14:textId="51579F71" w:rsidR="00FE517A" w:rsidRPr="00107C19" w:rsidRDefault="00FE517A" w:rsidP="00AA3AA9">
            <w:pPr>
              <w:pStyle w:val="TableText"/>
              <w:jc w:val="center"/>
              <w:rPr>
                <w:rFonts w:cstheme="minorHAnsi"/>
                <w:color w:val="000000" w:themeColor="text1"/>
              </w:rPr>
            </w:pPr>
            <w:r w:rsidRPr="005D7BBB">
              <w:t>7</w:t>
            </w:r>
          </w:p>
        </w:tc>
        <w:tc>
          <w:tcPr>
            <w:tcW w:w="1260" w:type="dxa"/>
            <w:shd w:val="clear" w:color="000000" w:fill="auto"/>
          </w:tcPr>
          <w:p w14:paraId="3701B606" w14:textId="0F586195" w:rsidR="00FE517A" w:rsidRPr="00107C19" w:rsidRDefault="00FE517A" w:rsidP="00AA3AA9">
            <w:pPr>
              <w:pStyle w:val="TableText"/>
              <w:jc w:val="center"/>
              <w:rPr>
                <w:rFonts w:cstheme="minorHAnsi"/>
                <w:color w:val="000000" w:themeColor="text1"/>
              </w:rPr>
            </w:pPr>
            <w:r w:rsidRPr="005D7BBB">
              <w:t>21</w:t>
            </w:r>
          </w:p>
        </w:tc>
        <w:tc>
          <w:tcPr>
            <w:tcW w:w="1440" w:type="dxa"/>
            <w:shd w:val="clear" w:color="000000" w:fill="auto"/>
            <w:vAlign w:val="center"/>
          </w:tcPr>
          <w:p w14:paraId="57B0DDA5" w14:textId="5FB36B25" w:rsidR="00FE517A" w:rsidRPr="00CB4A26" w:rsidRDefault="009033D2" w:rsidP="00CB4A26">
            <w:pPr>
              <w:pStyle w:val="TableHeading"/>
              <w:jc w:val="center"/>
              <w:rPr>
                <w:b w:val="0"/>
                <w:bCs/>
              </w:rPr>
            </w:pPr>
            <w:r w:rsidRPr="00CB4A26">
              <w:rPr>
                <w:b w:val="0"/>
                <w:bCs/>
              </w:rPr>
              <w:t>8</w:t>
            </w:r>
          </w:p>
        </w:tc>
      </w:tr>
    </w:tbl>
    <w:p w14:paraId="4E2A1954" w14:textId="77777777" w:rsidR="00A91749" w:rsidRPr="00107C19" w:rsidRDefault="00A91749" w:rsidP="00A91749">
      <w:pPr>
        <w:contextualSpacing/>
        <w:rPr>
          <w:rFonts w:eastAsia="Times New Roman" w:cstheme="minorHAnsi"/>
          <w:b/>
          <w:color w:val="000000" w:themeColor="text1"/>
          <w:szCs w:val="24"/>
        </w:rPr>
      </w:pPr>
    </w:p>
    <w:p w14:paraId="56830E52" w14:textId="62BA99E5" w:rsidR="00A91749" w:rsidRPr="00107C19" w:rsidRDefault="00D66538" w:rsidP="00D66538">
      <w:pPr>
        <w:pStyle w:val="TableHeading"/>
        <w:rPr>
          <w:color w:val="000000" w:themeColor="text1"/>
        </w:rPr>
      </w:pPr>
      <w:r w:rsidRPr="00107C19">
        <w:rPr>
          <w:color w:val="000000" w:themeColor="text1"/>
        </w:rPr>
        <w:t>Table 2. Licensing profile from Animal and Plant Health Inspection Service, Agricultural Research Service (ARS), and Forest Service (FS). Most of the licensing income came from ARS. NP = data not presented due to confidentiality.</w:t>
      </w:r>
    </w:p>
    <w:tbl>
      <w:tblPr>
        <w:tblW w:w="10070" w:type="dxa"/>
        <w:jc w:val="right"/>
        <w:tblLayout w:type="fixed"/>
        <w:tblLook w:val="04A0" w:firstRow="1" w:lastRow="0" w:firstColumn="1" w:lastColumn="0" w:noHBand="0" w:noVBand="1"/>
      </w:tblPr>
      <w:tblGrid>
        <w:gridCol w:w="3145"/>
        <w:gridCol w:w="1440"/>
        <w:gridCol w:w="1350"/>
        <w:gridCol w:w="1350"/>
        <w:gridCol w:w="1440"/>
        <w:gridCol w:w="1345"/>
      </w:tblGrid>
      <w:tr w:rsidR="00721553" w:rsidRPr="00107C19" w14:paraId="5F364F10" w14:textId="77777777" w:rsidTr="006B5675">
        <w:trPr>
          <w:trHeight w:val="300"/>
          <w:tblHeader/>
          <w:jc w:val="right"/>
        </w:trPr>
        <w:tc>
          <w:tcPr>
            <w:tcW w:w="3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1D6A314" w14:textId="5571D4FE" w:rsidR="00FE517A" w:rsidRPr="00107C19" w:rsidRDefault="00FE517A" w:rsidP="00FE517A">
            <w:pPr>
              <w:pStyle w:val="TableHeading"/>
              <w:rPr>
                <w:color w:val="000000" w:themeColor="text1"/>
              </w:rPr>
            </w:pPr>
            <w:r w:rsidRPr="00107C19">
              <w:rPr>
                <w:color w:val="000000" w:themeColor="text1"/>
              </w:rPr>
              <w:t xml:space="preserve">Licensing </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noWrap/>
          </w:tcPr>
          <w:p w14:paraId="323B10DB" w14:textId="6902B70B" w:rsidR="00FE517A" w:rsidRPr="00107C19" w:rsidRDefault="00FE517A" w:rsidP="00AA3AA9">
            <w:pPr>
              <w:pStyle w:val="TableHeading"/>
              <w:jc w:val="center"/>
              <w:rPr>
                <w:bCs/>
                <w:color w:val="000000" w:themeColor="text1"/>
              </w:rPr>
            </w:pPr>
            <w:r w:rsidRPr="00FC2A72">
              <w:t>2019</w:t>
            </w:r>
          </w:p>
        </w:tc>
        <w:tc>
          <w:tcPr>
            <w:tcW w:w="1350" w:type="dxa"/>
            <w:tcBorders>
              <w:top w:val="single" w:sz="4" w:space="0" w:color="auto"/>
              <w:left w:val="nil"/>
              <w:bottom w:val="single" w:sz="4" w:space="0" w:color="auto"/>
              <w:right w:val="single" w:sz="4" w:space="0" w:color="auto"/>
            </w:tcBorders>
            <w:shd w:val="clear" w:color="auto" w:fill="D9D9D9" w:themeFill="background1" w:themeFillShade="D9"/>
          </w:tcPr>
          <w:p w14:paraId="1F026C31" w14:textId="15819EA8" w:rsidR="00FE517A" w:rsidRPr="00107C19" w:rsidRDefault="00FE517A" w:rsidP="00AA3AA9">
            <w:pPr>
              <w:pStyle w:val="TableHeading"/>
              <w:jc w:val="center"/>
              <w:rPr>
                <w:bCs/>
                <w:color w:val="000000" w:themeColor="text1"/>
              </w:rPr>
            </w:pPr>
            <w:r w:rsidRPr="00FC2A72">
              <w:t>2020</w:t>
            </w:r>
          </w:p>
        </w:tc>
        <w:tc>
          <w:tcPr>
            <w:tcW w:w="1350" w:type="dxa"/>
            <w:tcBorders>
              <w:top w:val="single" w:sz="4" w:space="0" w:color="auto"/>
              <w:left w:val="nil"/>
              <w:bottom w:val="single" w:sz="4" w:space="0" w:color="auto"/>
              <w:right w:val="single" w:sz="4" w:space="0" w:color="auto"/>
            </w:tcBorders>
            <w:shd w:val="clear" w:color="auto" w:fill="D9D9D9" w:themeFill="background1" w:themeFillShade="D9"/>
          </w:tcPr>
          <w:p w14:paraId="3AFD43FB" w14:textId="0E067578" w:rsidR="00FE517A" w:rsidRPr="00107C19" w:rsidRDefault="00FE517A" w:rsidP="00AA3AA9">
            <w:pPr>
              <w:pStyle w:val="TableHeading"/>
              <w:jc w:val="center"/>
              <w:rPr>
                <w:bCs/>
                <w:color w:val="000000" w:themeColor="text1"/>
              </w:rPr>
            </w:pPr>
            <w:r w:rsidRPr="00FC2A72">
              <w:t>2021</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tcPr>
          <w:p w14:paraId="2125C628" w14:textId="185F54A8" w:rsidR="00FE517A" w:rsidRPr="00107C19" w:rsidRDefault="00FE517A" w:rsidP="00AA3AA9">
            <w:pPr>
              <w:pStyle w:val="TableHeading"/>
              <w:jc w:val="center"/>
              <w:rPr>
                <w:bCs/>
                <w:color w:val="000000" w:themeColor="text1"/>
              </w:rPr>
            </w:pPr>
            <w:r w:rsidRPr="00FC2A72">
              <w:t>2022</w:t>
            </w:r>
          </w:p>
        </w:tc>
        <w:tc>
          <w:tcPr>
            <w:tcW w:w="134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12FBB6E" w14:textId="3372EDD5" w:rsidR="00FE517A" w:rsidRPr="00107C19" w:rsidRDefault="00CD6994" w:rsidP="00144589">
            <w:pPr>
              <w:pStyle w:val="TableHeading"/>
              <w:jc w:val="center"/>
              <w:rPr>
                <w:bCs/>
                <w:color w:val="000000" w:themeColor="text1"/>
              </w:rPr>
            </w:pPr>
            <w:r>
              <w:rPr>
                <w:bCs/>
                <w:color w:val="000000" w:themeColor="text1"/>
              </w:rPr>
              <w:t>2023</w:t>
            </w:r>
          </w:p>
        </w:tc>
      </w:tr>
      <w:tr w:rsidR="00721553" w:rsidRPr="00107C19" w14:paraId="0DF95BF1"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40C6D"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Total Active Licenses</w:t>
            </w:r>
          </w:p>
        </w:tc>
        <w:tc>
          <w:tcPr>
            <w:tcW w:w="1440" w:type="dxa"/>
            <w:tcBorders>
              <w:top w:val="single" w:sz="4" w:space="0" w:color="auto"/>
              <w:left w:val="nil"/>
              <w:bottom w:val="single" w:sz="4" w:space="0" w:color="auto"/>
              <w:right w:val="single" w:sz="4" w:space="0" w:color="auto"/>
            </w:tcBorders>
            <w:shd w:val="clear" w:color="auto" w:fill="auto"/>
            <w:noWrap/>
          </w:tcPr>
          <w:p w14:paraId="01DD95DB" w14:textId="4B77AD6D" w:rsidR="00FE517A" w:rsidRPr="00107C19" w:rsidRDefault="00FE517A" w:rsidP="00AA3AA9">
            <w:pPr>
              <w:pStyle w:val="TableText"/>
              <w:jc w:val="center"/>
              <w:rPr>
                <w:rFonts w:cstheme="minorHAnsi"/>
                <w:color w:val="000000" w:themeColor="text1"/>
                <w:sz w:val="22"/>
                <w:szCs w:val="22"/>
              </w:rPr>
            </w:pPr>
            <w:r w:rsidRPr="00FC2A72">
              <w:t>512</w:t>
            </w:r>
          </w:p>
        </w:tc>
        <w:tc>
          <w:tcPr>
            <w:tcW w:w="1350" w:type="dxa"/>
            <w:tcBorders>
              <w:top w:val="single" w:sz="4" w:space="0" w:color="auto"/>
              <w:left w:val="nil"/>
              <w:bottom w:val="single" w:sz="4" w:space="0" w:color="auto"/>
              <w:right w:val="single" w:sz="4" w:space="0" w:color="auto"/>
            </w:tcBorders>
            <w:shd w:val="clear" w:color="auto" w:fill="auto"/>
          </w:tcPr>
          <w:p w14:paraId="2CCAA762" w14:textId="79BA72D6" w:rsidR="00FE517A" w:rsidRPr="00107C19" w:rsidRDefault="00FE517A" w:rsidP="00AA3AA9">
            <w:pPr>
              <w:pStyle w:val="TableText"/>
              <w:jc w:val="center"/>
              <w:rPr>
                <w:rFonts w:cstheme="minorHAnsi"/>
                <w:color w:val="000000" w:themeColor="text1"/>
                <w:sz w:val="22"/>
                <w:szCs w:val="22"/>
              </w:rPr>
            </w:pPr>
            <w:r w:rsidRPr="00FC2A72">
              <w:t>582</w:t>
            </w:r>
          </w:p>
        </w:tc>
        <w:tc>
          <w:tcPr>
            <w:tcW w:w="1350" w:type="dxa"/>
            <w:tcBorders>
              <w:top w:val="single" w:sz="4" w:space="0" w:color="auto"/>
              <w:left w:val="nil"/>
              <w:bottom w:val="single" w:sz="4" w:space="0" w:color="auto"/>
              <w:right w:val="single" w:sz="4" w:space="0" w:color="auto"/>
            </w:tcBorders>
            <w:shd w:val="clear" w:color="auto" w:fill="auto"/>
          </w:tcPr>
          <w:p w14:paraId="7584369D" w14:textId="73337E31" w:rsidR="00FE517A" w:rsidRPr="00107C19" w:rsidRDefault="00FE517A" w:rsidP="00AA3AA9">
            <w:pPr>
              <w:pStyle w:val="TableText"/>
              <w:jc w:val="center"/>
              <w:rPr>
                <w:rFonts w:cstheme="minorHAnsi"/>
                <w:color w:val="000000" w:themeColor="text1"/>
                <w:sz w:val="22"/>
                <w:szCs w:val="22"/>
              </w:rPr>
            </w:pPr>
            <w:r w:rsidRPr="00FC2A72">
              <w:t>624</w:t>
            </w:r>
          </w:p>
        </w:tc>
        <w:tc>
          <w:tcPr>
            <w:tcW w:w="1440" w:type="dxa"/>
            <w:tcBorders>
              <w:top w:val="single" w:sz="4" w:space="0" w:color="auto"/>
              <w:left w:val="nil"/>
              <w:bottom w:val="single" w:sz="4" w:space="0" w:color="auto"/>
              <w:right w:val="single" w:sz="4" w:space="0" w:color="auto"/>
            </w:tcBorders>
            <w:shd w:val="clear" w:color="auto" w:fill="auto"/>
          </w:tcPr>
          <w:p w14:paraId="6C3017F9" w14:textId="6ECCD6E4" w:rsidR="00FE517A" w:rsidRPr="00107C19" w:rsidRDefault="00FE517A" w:rsidP="00AA3AA9">
            <w:pPr>
              <w:pStyle w:val="TableText"/>
              <w:jc w:val="center"/>
              <w:rPr>
                <w:rFonts w:cstheme="minorHAnsi"/>
                <w:color w:val="000000" w:themeColor="text1"/>
                <w:sz w:val="22"/>
                <w:szCs w:val="22"/>
              </w:rPr>
            </w:pPr>
            <w:r w:rsidRPr="00FC2A72">
              <w:t>653</w:t>
            </w:r>
          </w:p>
        </w:tc>
        <w:tc>
          <w:tcPr>
            <w:tcW w:w="1345" w:type="dxa"/>
            <w:tcBorders>
              <w:top w:val="single" w:sz="4" w:space="0" w:color="auto"/>
              <w:left w:val="nil"/>
              <w:bottom w:val="single" w:sz="4" w:space="0" w:color="auto"/>
              <w:right w:val="single" w:sz="4" w:space="0" w:color="auto"/>
            </w:tcBorders>
            <w:shd w:val="clear" w:color="auto" w:fill="auto"/>
            <w:vAlign w:val="center"/>
          </w:tcPr>
          <w:p w14:paraId="0C149DE0" w14:textId="5F080E99" w:rsidR="00FE517A" w:rsidRPr="00144589" w:rsidRDefault="00CD6994" w:rsidP="00FE517A">
            <w:pPr>
              <w:pStyle w:val="TableText"/>
              <w:jc w:val="center"/>
              <w:rPr>
                <w:rFonts w:cstheme="minorHAnsi"/>
                <w:color w:val="000000" w:themeColor="text1"/>
                <w:szCs w:val="24"/>
              </w:rPr>
            </w:pPr>
            <w:r w:rsidRPr="00144589">
              <w:rPr>
                <w:rFonts w:cstheme="minorHAnsi"/>
                <w:color w:val="000000" w:themeColor="text1"/>
                <w:szCs w:val="24"/>
              </w:rPr>
              <w:t>641</w:t>
            </w:r>
          </w:p>
        </w:tc>
      </w:tr>
      <w:tr w:rsidR="00721553" w:rsidRPr="00107C19" w14:paraId="64ECD3D5" w14:textId="77777777" w:rsidTr="006B5675">
        <w:trPr>
          <w:trHeight w:val="345"/>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8DD8E" w14:textId="6AFECC77" w:rsidR="00FE517A" w:rsidRPr="00107C19" w:rsidRDefault="00FE517A" w:rsidP="00FE517A">
            <w:pPr>
              <w:pStyle w:val="TableText"/>
              <w:rPr>
                <w:rFonts w:cstheme="minorHAnsi"/>
                <w:color w:val="000000" w:themeColor="text1"/>
              </w:rPr>
            </w:pPr>
            <w:r w:rsidRPr="00107C19">
              <w:rPr>
                <w:rFonts w:cstheme="minorHAnsi"/>
                <w:color w:val="000000" w:themeColor="text1"/>
              </w:rPr>
              <w:t>New Licenses</w:t>
            </w:r>
            <w:r w:rsidR="00CD6994" w:rsidRPr="00CD6994">
              <w:rPr>
                <w:rFonts w:cstheme="minorHAnsi"/>
                <w:color w:val="000000" w:themeColor="text1"/>
                <w:vertAlign w:val="superscript"/>
              </w:rPr>
              <w:t>1</w:t>
            </w:r>
            <w:r w:rsidRPr="00107C19">
              <w:rPr>
                <w:rFonts w:cstheme="minorHAnsi"/>
                <w:color w:val="000000" w:themeColor="text1"/>
              </w:rPr>
              <w:t xml:space="preserve">  </w:t>
            </w:r>
          </w:p>
        </w:tc>
        <w:tc>
          <w:tcPr>
            <w:tcW w:w="1440" w:type="dxa"/>
            <w:tcBorders>
              <w:top w:val="single" w:sz="4" w:space="0" w:color="auto"/>
              <w:left w:val="nil"/>
              <w:bottom w:val="single" w:sz="4" w:space="0" w:color="auto"/>
              <w:right w:val="single" w:sz="4" w:space="0" w:color="auto"/>
            </w:tcBorders>
            <w:shd w:val="clear" w:color="auto" w:fill="auto"/>
            <w:noWrap/>
          </w:tcPr>
          <w:p w14:paraId="3068627C" w14:textId="5E8A07E5" w:rsidR="00FE517A" w:rsidRPr="00107C19" w:rsidRDefault="00FE517A" w:rsidP="00AA3AA9">
            <w:pPr>
              <w:pStyle w:val="TableText"/>
              <w:jc w:val="center"/>
              <w:rPr>
                <w:rFonts w:cstheme="minorHAnsi"/>
                <w:color w:val="000000" w:themeColor="text1"/>
                <w:sz w:val="22"/>
                <w:szCs w:val="22"/>
              </w:rPr>
            </w:pPr>
            <w:r w:rsidRPr="00FC2A72">
              <w:t>51</w:t>
            </w:r>
          </w:p>
        </w:tc>
        <w:tc>
          <w:tcPr>
            <w:tcW w:w="1350" w:type="dxa"/>
            <w:tcBorders>
              <w:top w:val="single" w:sz="4" w:space="0" w:color="auto"/>
              <w:left w:val="nil"/>
              <w:bottom w:val="single" w:sz="4" w:space="0" w:color="auto"/>
              <w:right w:val="single" w:sz="4" w:space="0" w:color="auto"/>
            </w:tcBorders>
            <w:shd w:val="clear" w:color="auto" w:fill="auto"/>
          </w:tcPr>
          <w:p w14:paraId="2F96F6FB" w14:textId="59841B64" w:rsidR="00FE517A" w:rsidRPr="00107C19" w:rsidRDefault="00FE517A" w:rsidP="00AA3AA9">
            <w:pPr>
              <w:pStyle w:val="TableText"/>
              <w:jc w:val="center"/>
              <w:rPr>
                <w:rFonts w:cstheme="minorHAnsi"/>
                <w:color w:val="000000" w:themeColor="text1"/>
                <w:sz w:val="22"/>
                <w:szCs w:val="22"/>
              </w:rPr>
            </w:pPr>
            <w:r w:rsidRPr="00FC2A72">
              <w:t>93</w:t>
            </w:r>
          </w:p>
        </w:tc>
        <w:tc>
          <w:tcPr>
            <w:tcW w:w="1350" w:type="dxa"/>
            <w:tcBorders>
              <w:top w:val="single" w:sz="4" w:space="0" w:color="auto"/>
              <w:left w:val="nil"/>
              <w:bottom w:val="single" w:sz="4" w:space="0" w:color="auto"/>
              <w:right w:val="single" w:sz="4" w:space="0" w:color="auto"/>
            </w:tcBorders>
            <w:shd w:val="clear" w:color="auto" w:fill="auto"/>
          </w:tcPr>
          <w:p w14:paraId="4D8DBD0C" w14:textId="0E25D712" w:rsidR="00FE517A" w:rsidRPr="00107C19" w:rsidRDefault="00FE517A" w:rsidP="00AA3AA9">
            <w:pPr>
              <w:pStyle w:val="TableText"/>
              <w:jc w:val="center"/>
              <w:rPr>
                <w:rFonts w:cstheme="minorHAnsi"/>
                <w:color w:val="000000" w:themeColor="text1"/>
                <w:sz w:val="22"/>
                <w:szCs w:val="22"/>
              </w:rPr>
            </w:pPr>
            <w:r w:rsidRPr="00FC2A72">
              <w:t>51</w:t>
            </w:r>
          </w:p>
        </w:tc>
        <w:tc>
          <w:tcPr>
            <w:tcW w:w="1440" w:type="dxa"/>
            <w:tcBorders>
              <w:top w:val="single" w:sz="4" w:space="0" w:color="auto"/>
              <w:left w:val="nil"/>
              <w:bottom w:val="single" w:sz="4" w:space="0" w:color="auto"/>
              <w:right w:val="single" w:sz="4" w:space="0" w:color="auto"/>
            </w:tcBorders>
            <w:shd w:val="clear" w:color="auto" w:fill="auto"/>
          </w:tcPr>
          <w:p w14:paraId="519A423C" w14:textId="2B90DB44" w:rsidR="00FE517A" w:rsidRPr="00107C19" w:rsidRDefault="00FE517A" w:rsidP="00AA3AA9">
            <w:pPr>
              <w:pStyle w:val="TableText"/>
              <w:jc w:val="center"/>
              <w:rPr>
                <w:rFonts w:cstheme="minorHAnsi"/>
                <w:color w:val="000000" w:themeColor="text1"/>
                <w:sz w:val="22"/>
                <w:szCs w:val="22"/>
              </w:rPr>
            </w:pPr>
            <w:r w:rsidRPr="00FC2A72">
              <w:t>41</w:t>
            </w:r>
          </w:p>
        </w:tc>
        <w:tc>
          <w:tcPr>
            <w:tcW w:w="1345" w:type="dxa"/>
            <w:tcBorders>
              <w:top w:val="single" w:sz="4" w:space="0" w:color="auto"/>
              <w:left w:val="nil"/>
              <w:bottom w:val="single" w:sz="4" w:space="0" w:color="auto"/>
              <w:right w:val="single" w:sz="4" w:space="0" w:color="auto"/>
            </w:tcBorders>
            <w:shd w:val="clear" w:color="auto" w:fill="auto"/>
            <w:vAlign w:val="center"/>
          </w:tcPr>
          <w:p w14:paraId="25EBDF93" w14:textId="4CA4D7FC" w:rsidR="00FE517A" w:rsidRPr="00144589" w:rsidRDefault="00CD6994" w:rsidP="00FE517A">
            <w:pPr>
              <w:pStyle w:val="TableText"/>
              <w:jc w:val="center"/>
              <w:rPr>
                <w:rFonts w:cstheme="minorHAnsi"/>
                <w:color w:val="000000" w:themeColor="text1"/>
                <w:szCs w:val="24"/>
              </w:rPr>
            </w:pPr>
            <w:r w:rsidRPr="00144589">
              <w:rPr>
                <w:rFonts w:cstheme="minorHAnsi"/>
                <w:color w:val="000000" w:themeColor="text1"/>
                <w:szCs w:val="24"/>
              </w:rPr>
              <w:t>54</w:t>
            </w:r>
          </w:p>
        </w:tc>
      </w:tr>
      <w:tr w:rsidR="00721553" w:rsidRPr="00107C19" w14:paraId="3BEC912B"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C8F81" w14:textId="4BF6DCFA" w:rsidR="00FE517A" w:rsidRPr="00107C19" w:rsidRDefault="00FE517A" w:rsidP="00FE517A">
            <w:pPr>
              <w:pStyle w:val="TableText"/>
              <w:rPr>
                <w:rFonts w:cstheme="minorHAnsi"/>
                <w:color w:val="000000" w:themeColor="text1"/>
              </w:rPr>
            </w:pPr>
            <w:r w:rsidRPr="00107C19">
              <w:rPr>
                <w:rFonts w:cstheme="minorHAnsi"/>
                <w:color w:val="000000" w:themeColor="text1"/>
              </w:rPr>
              <w:t>Total Income, All Active Licenses</w:t>
            </w:r>
            <w:r w:rsidR="00CD6994" w:rsidRPr="00CD6994">
              <w:rPr>
                <w:rFonts w:cstheme="minorHAnsi"/>
                <w:color w:val="000000" w:themeColor="text1"/>
                <w:vertAlign w:val="superscript"/>
              </w:rPr>
              <w:t>1</w:t>
            </w:r>
            <w:r w:rsidRPr="00107C19">
              <w:rPr>
                <w:rFonts w:cstheme="minorHAnsi"/>
                <w:color w:val="000000" w:themeColor="text1"/>
              </w:rPr>
              <w:t xml:space="preserve"> </w:t>
            </w:r>
          </w:p>
        </w:tc>
        <w:tc>
          <w:tcPr>
            <w:tcW w:w="1440" w:type="dxa"/>
            <w:tcBorders>
              <w:top w:val="single" w:sz="4" w:space="0" w:color="auto"/>
              <w:left w:val="nil"/>
              <w:bottom w:val="single" w:sz="4" w:space="0" w:color="auto"/>
              <w:right w:val="single" w:sz="4" w:space="0" w:color="auto"/>
            </w:tcBorders>
            <w:shd w:val="clear" w:color="auto" w:fill="auto"/>
            <w:noWrap/>
          </w:tcPr>
          <w:p w14:paraId="2085AF11" w14:textId="77777777" w:rsidR="00721553" w:rsidRPr="006B5675" w:rsidRDefault="00721553" w:rsidP="00721553">
            <w:pPr>
              <w:pStyle w:val="TableText"/>
              <w:spacing w:before="0" w:after="0"/>
              <w:rPr>
                <w:sz w:val="16"/>
                <w:szCs w:val="16"/>
              </w:rPr>
            </w:pPr>
          </w:p>
          <w:p w14:paraId="319A2B25" w14:textId="40127E57" w:rsidR="00FE517A" w:rsidRPr="00107C19" w:rsidRDefault="00FE517A" w:rsidP="006B5675">
            <w:pPr>
              <w:pStyle w:val="TableText"/>
              <w:spacing w:before="0" w:after="0"/>
              <w:rPr>
                <w:rFonts w:cstheme="minorHAnsi"/>
                <w:color w:val="000000" w:themeColor="text1"/>
                <w:sz w:val="22"/>
                <w:szCs w:val="22"/>
              </w:rPr>
            </w:pPr>
            <w:r w:rsidRPr="00FC2A72">
              <w:t>$3,562,000</w:t>
            </w:r>
          </w:p>
        </w:tc>
        <w:tc>
          <w:tcPr>
            <w:tcW w:w="1350" w:type="dxa"/>
            <w:tcBorders>
              <w:top w:val="single" w:sz="4" w:space="0" w:color="auto"/>
              <w:left w:val="nil"/>
              <w:bottom w:val="single" w:sz="4" w:space="0" w:color="auto"/>
              <w:right w:val="single" w:sz="4" w:space="0" w:color="auto"/>
            </w:tcBorders>
            <w:shd w:val="clear" w:color="auto" w:fill="auto"/>
          </w:tcPr>
          <w:p w14:paraId="25D59EE6" w14:textId="77777777" w:rsidR="00721553" w:rsidRPr="006B5675" w:rsidRDefault="00721553" w:rsidP="00721553">
            <w:pPr>
              <w:pStyle w:val="TableText"/>
              <w:spacing w:before="0" w:after="0"/>
              <w:rPr>
                <w:sz w:val="16"/>
                <w:szCs w:val="16"/>
              </w:rPr>
            </w:pPr>
          </w:p>
          <w:p w14:paraId="0275F7C6" w14:textId="49F3B78E" w:rsidR="00FE517A" w:rsidRPr="00107C19" w:rsidRDefault="00FE517A" w:rsidP="006B5675">
            <w:pPr>
              <w:pStyle w:val="TableText"/>
              <w:spacing w:before="0" w:after="0"/>
              <w:rPr>
                <w:rFonts w:cstheme="minorHAnsi"/>
                <w:color w:val="000000" w:themeColor="text1"/>
                <w:sz w:val="22"/>
                <w:szCs w:val="22"/>
              </w:rPr>
            </w:pPr>
            <w:r w:rsidRPr="00FC2A72">
              <w:t>$3,244,000</w:t>
            </w:r>
          </w:p>
        </w:tc>
        <w:tc>
          <w:tcPr>
            <w:tcW w:w="1350" w:type="dxa"/>
            <w:tcBorders>
              <w:top w:val="single" w:sz="4" w:space="0" w:color="auto"/>
              <w:left w:val="nil"/>
              <w:bottom w:val="single" w:sz="4" w:space="0" w:color="auto"/>
              <w:right w:val="single" w:sz="4" w:space="0" w:color="auto"/>
            </w:tcBorders>
            <w:shd w:val="clear" w:color="auto" w:fill="auto"/>
          </w:tcPr>
          <w:p w14:paraId="55ACF3F1" w14:textId="77777777" w:rsidR="00721553" w:rsidRPr="006B5675" w:rsidRDefault="00721553" w:rsidP="00721553">
            <w:pPr>
              <w:pStyle w:val="TableText"/>
              <w:spacing w:before="0" w:after="0"/>
              <w:rPr>
                <w:sz w:val="16"/>
                <w:szCs w:val="16"/>
              </w:rPr>
            </w:pPr>
          </w:p>
          <w:p w14:paraId="02AF056E" w14:textId="76C098A5" w:rsidR="00FE517A" w:rsidRPr="00107C19" w:rsidRDefault="00FE517A" w:rsidP="006B5675">
            <w:pPr>
              <w:pStyle w:val="TableText"/>
              <w:spacing w:before="0" w:after="0"/>
              <w:rPr>
                <w:rFonts w:cstheme="minorHAnsi"/>
                <w:color w:val="000000" w:themeColor="text1"/>
                <w:sz w:val="22"/>
                <w:szCs w:val="22"/>
              </w:rPr>
            </w:pPr>
            <w:r w:rsidRPr="00FC2A72">
              <w:t>$3,132,189</w:t>
            </w:r>
          </w:p>
        </w:tc>
        <w:tc>
          <w:tcPr>
            <w:tcW w:w="1440" w:type="dxa"/>
            <w:tcBorders>
              <w:top w:val="single" w:sz="4" w:space="0" w:color="auto"/>
              <w:left w:val="nil"/>
              <w:bottom w:val="single" w:sz="4" w:space="0" w:color="auto"/>
              <w:right w:val="single" w:sz="4" w:space="0" w:color="auto"/>
            </w:tcBorders>
            <w:shd w:val="clear" w:color="auto" w:fill="auto"/>
          </w:tcPr>
          <w:p w14:paraId="17390AD2" w14:textId="77777777" w:rsidR="00721553" w:rsidRPr="006B5675" w:rsidRDefault="00721553" w:rsidP="00721553">
            <w:pPr>
              <w:pStyle w:val="TableText"/>
              <w:spacing w:before="0" w:after="0"/>
              <w:rPr>
                <w:sz w:val="16"/>
                <w:szCs w:val="16"/>
              </w:rPr>
            </w:pPr>
          </w:p>
          <w:p w14:paraId="0F6FFDAC" w14:textId="7408F8AD" w:rsidR="00FE517A" w:rsidRPr="00107C19" w:rsidRDefault="00FE517A" w:rsidP="006B5675">
            <w:pPr>
              <w:pStyle w:val="TableText"/>
              <w:spacing w:before="0" w:after="0"/>
              <w:rPr>
                <w:rFonts w:cstheme="minorHAnsi"/>
                <w:color w:val="000000" w:themeColor="text1"/>
                <w:sz w:val="22"/>
                <w:szCs w:val="22"/>
              </w:rPr>
            </w:pPr>
            <w:r w:rsidRPr="00FC2A72">
              <w:t>$4,117,638</w:t>
            </w:r>
          </w:p>
        </w:tc>
        <w:tc>
          <w:tcPr>
            <w:tcW w:w="1345" w:type="dxa"/>
            <w:tcBorders>
              <w:top w:val="single" w:sz="4" w:space="0" w:color="auto"/>
              <w:left w:val="nil"/>
              <w:bottom w:val="single" w:sz="4" w:space="0" w:color="auto"/>
              <w:right w:val="single" w:sz="4" w:space="0" w:color="auto"/>
            </w:tcBorders>
            <w:shd w:val="clear" w:color="auto" w:fill="auto"/>
            <w:vAlign w:val="center"/>
          </w:tcPr>
          <w:p w14:paraId="56635624" w14:textId="095C6CB8" w:rsidR="00FE517A" w:rsidRPr="00144589" w:rsidRDefault="00CD6994" w:rsidP="00FE517A">
            <w:pPr>
              <w:pStyle w:val="TableText"/>
              <w:jc w:val="center"/>
              <w:rPr>
                <w:rFonts w:cstheme="minorHAnsi"/>
                <w:color w:val="000000" w:themeColor="text1"/>
                <w:szCs w:val="24"/>
              </w:rPr>
            </w:pPr>
            <w:r w:rsidRPr="00144589">
              <w:rPr>
                <w:rFonts w:cstheme="minorHAnsi"/>
                <w:color w:val="000000" w:themeColor="text1"/>
                <w:szCs w:val="24"/>
              </w:rPr>
              <w:t>$4,292,961</w:t>
            </w:r>
          </w:p>
        </w:tc>
      </w:tr>
      <w:tr w:rsidR="00721553" w:rsidRPr="00107C19" w14:paraId="632E9CB8"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9EA12" w14:textId="58884473" w:rsidR="00FE517A" w:rsidRPr="00107C19" w:rsidRDefault="00FE517A" w:rsidP="00FE517A">
            <w:pPr>
              <w:pStyle w:val="TableText"/>
              <w:rPr>
                <w:rFonts w:cstheme="minorHAnsi"/>
                <w:color w:val="000000" w:themeColor="text1"/>
              </w:rPr>
            </w:pPr>
            <w:r w:rsidRPr="00107C19">
              <w:rPr>
                <w:rFonts w:cstheme="minorHAnsi"/>
                <w:color w:val="000000" w:themeColor="text1"/>
              </w:rPr>
              <w:t>Total Income, Invention Licenses</w:t>
            </w:r>
            <w:r w:rsidR="00CD6994" w:rsidRPr="00CD6994">
              <w:rPr>
                <w:rFonts w:cstheme="minorHAnsi"/>
                <w:color w:val="000000" w:themeColor="text1"/>
                <w:vertAlign w:val="superscript"/>
              </w:rPr>
              <w:t>1</w:t>
            </w:r>
          </w:p>
        </w:tc>
        <w:tc>
          <w:tcPr>
            <w:tcW w:w="1440" w:type="dxa"/>
            <w:tcBorders>
              <w:top w:val="single" w:sz="4" w:space="0" w:color="auto"/>
              <w:left w:val="nil"/>
              <w:bottom w:val="single" w:sz="4" w:space="0" w:color="auto"/>
              <w:right w:val="single" w:sz="4" w:space="0" w:color="auto"/>
            </w:tcBorders>
            <w:shd w:val="clear" w:color="auto" w:fill="auto"/>
            <w:noWrap/>
          </w:tcPr>
          <w:p w14:paraId="60CBADB8" w14:textId="77777777" w:rsidR="00721553" w:rsidRPr="006B5675" w:rsidRDefault="00721553" w:rsidP="00AA3AA9">
            <w:pPr>
              <w:pStyle w:val="TableText"/>
              <w:jc w:val="center"/>
              <w:rPr>
                <w:sz w:val="8"/>
                <w:szCs w:val="8"/>
              </w:rPr>
            </w:pPr>
          </w:p>
          <w:p w14:paraId="2EE5B15F" w14:textId="7B17F2D4" w:rsidR="00FE517A" w:rsidRPr="00107C19" w:rsidRDefault="00FE517A" w:rsidP="00AA3AA9">
            <w:pPr>
              <w:pStyle w:val="TableText"/>
              <w:jc w:val="center"/>
              <w:rPr>
                <w:rFonts w:cstheme="minorHAnsi"/>
                <w:color w:val="000000" w:themeColor="text1"/>
                <w:sz w:val="22"/>
                <w:szCs w:val="22"/>
              </w:rPr>
            </w:pPr>
            <w:r w:rsidRPr="00FC2A72">
              <w:t>$3,275,000</w:t>
            </w:r>
          </w:p>
        </w:tc>
        <w:tc>
          <w:tcPr>
            <w:tcW w:w="1350" w:type="dxa"/>
            <w:tcBorders>
              <w:top w:val="single" w:sz="4" w:space="0" w:color="auto"/>
              <w:left w:val="nil"/>
              <w:bottom w:val="single" w:sz="4" w:space="0" w:color="auto"/>
              <w:right w:val="single" w:sz="4" w:space="0" w:color="auto"/>
            </w:tcBorders>
            <w:shd w:val="clear" w:color="auto" w:fill="auto"/>
          </w:tcPr>
          <w:p w14:paraId="02885F12" w14:textId="77777777" w:rsidR="00721553" w:rsidRPr="006B5675" w:rsidRDefault="00721553" w:rsidP="00AA3AA9">
            <w:pPr>
              <w:pStyle w:val="TableText"/>
              <w:jc w:val="center"/>
              <w:rPr>
                <w:sz w:val="8"/>
                <w:szCs w:val="8"/>
              </w:rPr>
            </w:pPr>
          </w:p>
          <w:p w14:paraId="3CD254AA" w14:textId="32EB28C8" w:rsidR="00FE517A" w:rsidRPr="00107C19" w:rsidRDefault="00FE517A" w:rsidP="00AA3AA9">
            <w:pPr>
              <w:pStyle w:val="TableText"/>
              <w:jc w:val="center"/>
              <w:rPr>
                <w:rFonts w:cstheme="minorHAnsi"/>
                <w:color w:val="000000" w:themeColor="text1"/>
                <w:sz w:val="22"/>
                <w:szCs w:val="22"/>
              </w:rPr>
            </w:pPr>
            <w:r w:rsidRPr="00FC2A72">
              <w:t>$2,969,000</w:t>
            </w:r>
          </w:p>
        </w:tc>
        <w:tc>
          <w:tcPr>
            <w:tcW w:w="1350" w:type="dxa"/>
            <w:tcBorders>
              <w:top w:val="single" w:sz="4" w:space="0" w:color="auto"/>
              <w:left w:val="nil"/>
              <w:bottom w:val="single" w:sz="4" w:space="0" w:color="auto"/>
              <w:right w:val="single" w:sz="4" w:space="0" w:color="auto"/>
            </w:tcBorders>
            <w:shd w:val="clear" w:color="auto" w:fill="auto"/>
          </w:tcPr>
          <w:p w14:paraId="44B08C43" w14:textId="77777777" w:rsidR="00721553" w:rsidRPr="006B5675" w:rsidRDefault="00721553" w:rsidP="00AA3AA9">
            <w:pPr>
              <w:pStyle w:val="TableText"/>
              <w:jc w:val="center"/>
              <w:rPr>
                <w:sz w:val="8"/>
                <w:szCs w:val="8"/>
              </w:rPr>
            </w:pPr>
          </w:p>
          <w:p w14:paraId="6C06DEB6" w14:textId="3D71755F" w:rsidR="00FE517A" w:rsidRPr="00107C19" w:rsidRDefault="00FE517A" w:rsidP="00AA3AA9">
            <w:pPr>
              <w:pStyle w:val="TableText"/>
              <w:jc w:val="center"/>
              <w:rPr>
                <w:rFonts w:cstheme="minorHAnsi"/>
                <w:color w:val="000000" w:themeColor="text1"/>
                <w:sz w:val="22"/>
                <w:szCs w:val="22"/>
              </w:rPr>
            </w:pPr>
            <w:r w:rsidRPr="00FC2A72">
              <w:t>$2,890,924</w:t>
            </w:r>
          </w:p>
        </w:tc>
        <w:tc>
          <w:tcPr>
            <w:tcW w:w="1440" w:type="dxa"/>
            <w:tcBorders>
              <w:top w:val="single" w:sz="4" w:space="0" w:color="auto"/>
              <w:left w:val="nil"/>
              <w:bottom w:val="single" w:sz="4" w:space="0" w:color="auto"/>
              <w:right w:val="single" w:sz="4" w:space="0" w:color="auto"/>
            </w:tcBorders>
            <w:shd w:val="clear" w:color="auto" w:fill="auto"/>
          </w:tcPr>
          <w:p w14:paraId="226C739F" w14:textId="77777777" w:rsidR="00721553" w:rsidRPr="006B5675" w:rsidRDefault="00721553" w:rsidP="00AA3AA9">
            <w:pPr>
              <w:pStyle w:val="TableText"/>
              <w:jc w:val="center"/>
              <w:rPr>
                <w:sz w:val="8"/>
                <w:szCs w:val="8"/>
              </w:rPr>
            </w:pPr>
          </w:p>
          <w:p w14:paraId="5E9AEDF7" w14:textId="0EB720A8" w:rsidR="00FE517A" w:rsidRPr="00107C19" w:rsidRDefault="00FE517A" w:rsidP="00AA3AA9">
            <w:pPr>
              <w:pStyle w:val="TableText"/>
              <w:jc w:val="center"/>
              <w:rPr>
                <w:rFonts w:cstheme="minorHAnsi"/>
                <w:color w:val="000000" w:themeColor="text1"/>
                <w:sz w:val="22"/>
                <w:szCs w:val="22"/>
              </w:rPr>
            </w:pPr>
            <w:r w:rsidRPr="00FC2A72">
              <w:t>$3,807,841</w:t>
            </w:r>
          </w:p>
        </w:tc>
        <w:tc>
          <w:tcPr>
            <w:tcW w:w="1345" w:type="dxa"/>
            <w:tcBorders>
              <w:top w:val="single" w:sz="4" w:space="0" w:color="auto"/>
              <w:left w:val="nil"/>
              <w:bottom w:val="single" w:sz="4" w:space="0" w:color="auto"/>
              <w:right w:val="single" w:sz="4" w:space="0" w:color="auto"/>
            </w:tcBorders>
            <w:shd w:val="clear" w:color="auto" w:fill="auto"/>
            <w:vAlign w:val="center"/>
          </w:tcPr>
          <w:p w14:paraId="78A814B0" w14:textId="18AC13DB" w:rsidR="00FE517A" w:rsidRPr="00144589" w:rsidRDefault="00CD6994" w:rsidP="00FE517A">
            <w:pPr>
              <w:pStyle w:val="TableText"/>
              <w:jc w:val="center"/>
              <w:rPr>
                <w:rFonts w:cstheme="minorHAnsi"/>
                <w:color w:val="000000" w:themeColor="text1"/>
                <w:szCs w:val="24"/>
              </w:rPr>
            </w:pPr>
            <w:r w:rsidRPr="00144589">
              <w:rPr>
                <w:rFonts w:cstheme="minorHAnsi"/>
                <w:color w:val="000000" w:themeColor="text1"/>
                <w:szCs w:val="24"/>
              </w:rPr>
              <w:t>$3,947,876</w:t>
            </w:r>
          </w:p>
        </w:tc>
      </w:tr>
      <w:tr w:rsidR="00721553" w:rsidRPr="00107C19" w14:paraId="305AE0F9"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F378E" w14:textId="5240D4E6" w:rsidR="00FE517A" w:rsidRPr="00107C19" w:rsidRDefault="00FE517A" w:rsidP="00FE517A">
            <w:pPr>
              <w:pStyle w:val="TableText"/>
              <w:rPr>
                <w:rFonts w:cstheme="minorHAnsi"/>
                <w:color w:val="000000" w:themeColor="text1"/>
              </w:rPr>
            </w:pPr>
            <w:r w:rsidRPr="00107C19">
              <w:rPr>
                <w:rFonts w:cstheme="minorHAnsi"/>
                <w:color w:val="000000" w:themeColor="text1"/>
              </w:rPr>
              <w:t>Total Earned Royalty Income (ERI)</w:t>
            </w:r>
            <w:r w:rsidR="00CD6994">
              <w:rPr>
                <w:rFonts w:cstheme="minorHAnsi"/>
                <w:color w:val="000000" w:themeColor="text1"/>
                <w:vertAlign w:val="superscript"/>
              </w:rPr>
              <w:t>2</w:t>
            </w:r>
            <w:r w:rsidRPr="00107C19">
              <w:rPr>
                <w:rFonts w:cstheme="minorHAnsi"/>
                <w:color w:val="000000" w:themeColor="text1"/>
              </w:rPr>
              <w:t xml:space="preserve"> </w:t>
            </w:r>
          </w:p>
        </w:tc>
        <w:tc>
          <w:tcPr>
            <w:tcW w:w="1440" w:type="dxa"/>
            <w:tcBorders>
              <w:top w:val="single" w:sz="4" w:space="0" w:color="auto"/>
              <w:left w:val="nil"/>
              <w:bottom w:val="single" w:sz="4" w:space="0" w:color="auto"/>
              <w:right w:val="single" w:sz="4" w:space="0" w:color="auto"/>
            </w:tcBorders>
            <w:shd w:val="clear" w:color="auto" w:fill="auto"/>
            <w:noWrap/>
          </w:tcPr>
          <w:p w14:paraId="2A430DF7" w14:textId="4F66F422" w:rsidR="00FE517A" w:rsidRPr="00107C19" w:rsidRDefault="00FE517A" w:rsidP="00AA3AA9">
            <w:pPr>
              <w:pStyle w:val="TableText"/>
              <w:jc w:val="center"/>
              <w:rPr>
                <w:rFonts w:cstheme="minorHAnsi"/>
                <w:color w:val="000000" w:themeColor="text1"/>
                <w:sz w:val="22"/>
                <w:szCs w:val="22"/>
              </w:rPr>
            </w:pPr>
            <w:r w:rsidRPr="00144589">
              <w:rPr>
                <w:rFonts w:cstheme="minorHAnsi"/>
                <w:color w:val="000000" w:themeColor="text1"/>
                <w:sz w:val="22"/>
                <w:szCs w:val="22"/>
              </w:rPr>
              <w:t>$3,171,495</w:t>
            </w:r>
          </w:p>
        </w:tc>
        <w:tc>
          <w:tcPr>
            <w:tcW w:w="1350" w:type="dxa"/>
            <w:tcBorders>
              <w:top w:val="single" w:sz="4" w:space="0" w:color="auto"/>
              <w:left w:val="nil"/>
              <w:bottom w:val="single" w:sz="4" w:space="0" w:color="auto"/>
              <w:right w:val="single" w:sz="4" w:space="0" w:color="auto"/>
            </w:tcBorders>
            <w:shd w:val="clear" w:color="auto" w:fill="auto"/>
          </w:tcPr>
          <w:p w14:paraId="697B8C3A" w14:textId="00BDE4A2" w:rsidR="00FE517A" w:rsidRPr="00107C19" w:rsidRDefault="00FE517A" w:rsidP="00AA3AA9">
            <w:pPr>
              <w:pStyle w:val="TableText"/>
              <w:jc w:val="center"/>
              <w:rPr>
                <w:rFonts w:cstheme="minorHAnsi"/>
                <w:color w:val="000000" w:themeColor="text1"/>
                <w:sz w:val="22"/>
                <w:szCs w:val="22"/>
              </w:rPr>
            </w:pPr>
            <w:r w:rsidRPr="00144589">
              <w:rPr>
                <w:rFonts w:cstheme="minorHAnsi"/>
                <w:color w:val="000000" w:themeColor="text1"/>
                <w:sz w:val="22"/>
                <w:szCs w:val="22"/>
              </w:rPr>
              <w:t>$2,678,183</w:t>
            </w:r>
          </w:p>
        </w:tc>
        <w:tc>
          <w:tcPr>
            <w:tcW w:w="1350" w:type="dxa"/>
            <w:tcBorders>
              <w:top w:val="single" w:sz="4" w:space="0" w:color="auto"/>
              <w:left w:val="nil"/>
              <w:bottom w:val="single" w:sz="4" w:space="0" w:color="auto"/>
              <w:right w:val="single" w:sz="4" w:space="0" w:color="auto"/>
            </w:tcBorders>
            <w:shd w:val="clear" w:color="auto" w:fill="auto"/>
          </w:tcPr>
          <w:p w14:paraId="43BF828F" w14:textId="54E85705" w:rsidR="00FE517A" w:rsidRPr="00107C19" w:rsidRDefault="00FE517A" w:rsidP="00AA3AA9">
            <w:pPr>
              <w:pStyle w:val="TableText"/>
              <w:jc w:val="center"/>
              <w:rPr>
                <w:rFonts w:cstheme="minorHAnsi"/>
                <w:color w:val="000000" w:themeColor="text1"/>
                <w:sz w:val="22"/>
                <w:szCs w:val="22"/>
              </w:rPr>
            </w:pPr>
            <w:r w:rsidRPr="00144589">
              <w:rPr>
                <w:rFonts w:cstheme="minorHAnsi"/>
                <w:color w:val="000000" w:themeColor="text1"/>
                <w:sz w:val="22"/>
                <w:szCs w:val="22"/>
              </w:rPr>
              <w:t>$2,399,480</w:t>
            </w:r>
          </w:p>
        </w:tc>
        <w:tc>
          <w:tcPr>
            <w:tcW w:w="1440" w:type="dxa"/>
            <w:tcBorders>
              <w:top w:val="single" w:sz="4" w:space="0" w:color="auto"/>
              <w:left w:val="nil"/>
              <w:bottom w:val="single" w:sz="4" w:space="0" w:color="auto"/>
              <w:right w:val="single" w:sz="4" w:space="0" w:color="auto"/>
            </w:tcBorders>
            <w:shd w:val="clear" w:color="auto" w:fill="auto"/>
          </w:tcPr>
          <w:p w14:paraId="25007A99" w14:textId="0EF3F880" w:rsidR="00FE517A" w:rsidRPr="00107C19" w:rsidRDefault="00FE517A" w:rsidP="00AA3AA9">
            <w:pPr>
              <w:pStyle w:val="TableText"/>
              <w:jc w:val="center"/>
              <w:rPr>
                <w:rFonts w:cstheme="minorHAnsi"/>
                <w:color w:val="000000" w:themeColor="text1"/>
                <w:sz w:val="22"/>
                <w:szCs w:val="22"/>
              </w:rPr>
            </w:pPr>
            <w:r w:rsidRPr="00144589">
              <w:rPr>
                <w:rFonts w:cstheme="minorHAnsi"/>
                <w:color w:val="000000" w:themeColor="text1"/>
                <w:sz w:val="22"/>
                <w:szCs w:val="22"/>
              </w:rPr>
              <w:t>$3,423,926</w:t>
            </w:r>
          </w:p>
        </w:tc>
        <w:tc>
          <w:tcPr>
            <w:tcW w:w="1345" w:type="dxa"/>
            <w:tcBorders>
              <w:top w:val="single" w:sz="4" w:space="0" w:color="auto"/>
              <w:left w:val="nil"/>
              <w:bottom w:val="single" w:sz="4" w:space="0" w:color="auto"/>
              <w:right w:val="single" w:sz="4" w:space="0" w:color="auto"/>
            </w:tcBorders>
            <w:shd w:val="clear" w:color="auto" w:fill="auto"/>
          </w:tcPr>
          <w:p w14:paraId="1E6C0079" w14:textId="530A36E5"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$3,200,750</w:t>
            </w:r>
          </w:p>
        </w:tc>
      </w:tr>
      <w:tr w:rsidR="00721553" w:rsidRPr="00107C19" w14:paraId="7F2EF6AA"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8115" w14:textId="1C34652B" w:rsidR="00FE517A" w:rsidRPr="00107C19" w:rsidRDefault="00FE517A" w:rsidP="00FE517A">
            <w:pPr>
              <w:pStyle w:val="TableText"/>
              <w:rPr>
                <w:rFonts w:cstheme="minorHAnsi"/>
                <w:color w:val="000000" w:themeColor="text1"/>
              </w:rPr>
            </w:pPr>
            <w:r w:rsidRPr="00107C19">
              <w:rPr>
                <w:rFonts w:cstheme="minorHAnsi"/>
                <w:color w:val="000000" w:themeColor="text1"/>
              </w:rPr>
              <w:t>Median ERI</w:t>
            </w:r>
          </w:p>
        </w:tc>
        <w:tc>
          <w:tcPr>
            <w:tcW w:w="1440" w:type="dxa"/>
            <w:tcBorders>
              <w:top w:val="single" w:sz="4" w:space="0" w:color="auto"/>
              <w:left w:val="nil"/>
              <w:bottom w:val="single" w:sz="4" w:space="0" w:color="auto"/>
              <w:right w:val="single" w:sz="4" w:space="0" w:color="auto"/>
            </w:tcBorders>
            <w:shd w:val="clear" w:color="auto" w:fill="auto"/>
            <w:noWrap/>
          </w:tcPr>
          <w:p w14:paraId="1BE5C731" w14:textId="1403C6CE" w:rsidR="00FE517A" w:rsidRPr="00107C19" w:rsidRDefault="00FE517A" w:rsidP="00AA3AA9">
            <w:pPr>
              <w:pStyle w:val="TableText"/>
              <w:jc w:val="center"/>
              <w:rPr>
                <w:rFonts w:cstheme="minorHAnsi"/>
                <w:color w:val="000000" w:themeColor="text1"/>
                <w:sz w:val="22"/>
                <w:szCs w:val="22"/>
              </w:rPr>
            </w:pPr>
            <w:r w:rsidRPr="00FC2A72">
              <w:t>$3,154</w:t>
            </w:r>
          </w:p>
        </w:tc>
        <w:tc>
          <w:tcPr>
            <w:tcW w:w="1350" w:type="dxa"/>
            <w:tcBorders>
              <w:top w:val="single" w:sz="4" w:space="0" w:color="auto"/>
              <w:left w:val="nil"/>
              <w:bottom w:val="single" w:sz="4" w:space="0" w:color="auto"/>
              <w:right w:val="single" w:sz="4" w:space="0" w:color="auto"/>
            </w:tcBorders>
            <w:shd w:val="clear" w:color="auto" w:fill="auto"/>
          </w:tcPr>
          <w:p w14:paraId="59175DFE" w14:textId="2FE4DEE3" w:rsidR="00FE517A" w:rsidRPr="00107C19" w:rsidRDefault="00FE517A" w:rsidP="00AA3AA9">
            <w:pPr>
              <w:pStyle w:val="TableText"/>
              <w:jc w:val="center"/>
              <w:rPr>
                <w:rFonts w:cstheme="minorHAnsi"/>
                <w:color w:val="000000" w:themeColor="text1"/>
                <w:sz w:val="22"/>
                <w:szCs w:val="22"/>
              </w:rPr>
            </w:pPr>
            <w:r w:rsidRPr="00FC2A72">
              <w:t>$4,221</w:t>
            </w:r>
          </w:p>
        </w:tc>
        <w:tc>
          <w:tcPr>
            <w:tcW w:w="1350" w:type="dxa"/>
            <w:tcBorders>
              <w:top w:val="single" w:sz="4" w:space="0" w:color="auto"/>
              <w:left w:val="nil"/>
              <w:bottom w:val="single" w:sz="4" w:space="0" w:color="auto"/>
              <w:right w:val="single" w:sz="4" w:space="0" w:color="auto"/>
            </w:tcBorders>
            <w:shd w:val="clear" w:color="auto" w:fill="auto"/>
          </w:tcPr>
          <w:p w14:paraId="707DC624" w14:textId="20502830" w:rsidR="00FE517A" w:rsidRPr="00107C19" w:rsidRDefault="00FE517A" w:rsidP="00AA3AA9">
            <w:pPr>
              <w:pStyle w:val="TableText"/>
              <w:jc w:val="center"/>
              <w:rPr>
                <w:rFonts w:cstheme="minorHAnsi"/>
                <w:color w:val="000000" w:themeColor="text1"/>
                <w:sz w:val="22"/>
                <w:szCs w:val="22"/>
              </w:rPr>
            </w:pPr>
            <w:r w:rsidRPr="00FC2A72">
              <w:t>$3,738</w:t>
            </w:r>
          </w:p>
        </w:tc>
        <w:tc>
          <w:tcPr>
            <w:tcW w:w="1440" w:type="dxa"/>
            <w:tcBorders>
              <w:top w:val="single" w:sz="4" w:space="0" w:color="auto"/>
              <w:left w:val="nil"/>
              <w:bottom w:val="single" w:sz="4" w:space="0" w:color="auto"/>
              <w:right w:val="single" w:sz="4" w:space="0" w:color="auto"/>
            </w:tcBorders>
            <w:shd w:val="clear" w:color="auto" w:fill="auto"/>
          </w:tcPr>
          <w:p w14:paraId="2427505C" w14:textId="4D95F231" w:rsidR="00FE517A" w:rsidRPr="00107C19" w:rsidRDefault="00FE517A" w:rsidP="00AA3AA9">
            <w:pPr>
              <w:pStyle w:val="TableText"/>
              <w:jc w:val="center"/>
              <w:rPr>
                <w:rFonts w:cstheme="minorHAnsi"/>
                <w:color w:val="000000" w:themeColor="text1"/>
                <w:sz w:val="22"/>
                <w:szCs w:val="22"/>
              </w:rPr>
            </w:pPr>
            <w:r w:rsidRPr="00FC2A72">
              <w:t>$3,887</w:t>
            </w:r>
          </w:p>
        </w:tc>
        <w:tc>
          <w:tcPr>
            <w:tcW w:w="1345" w:type="dxa"/>
            <w:tcBorders>
              <w:top w:val="single" w:sz="4" w:space="0" w:color="auto"/>
              <w:left w:val="nil"/>
              <w:bottom w:val="single" w:sz="4" w:space="0" w:color="auto"/>
              <w:right w:val="single" w:sz="4" w:space="0" w:color="auto"/>
            </w:tcBorders>
            <w:shd w:val="clear" w:color="auto" w:fill="auto"/>
            <w:vAlign w:val="center"/>
          </w:tcPr>
          <w:p w14:paraId="1342A7E0" w14:textId="2DFCA688"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$3,124</w:t>
            </w:r>
          </w:p>
        </w:tc>
      </w:tr>
      <w:tr w:rsidR="00721553" w:rsidRPr="00107C19" w14:paraId="12CC9AF1"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9E419"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Minimum ERI</w:t>
            </w:r>
          </w:p>
        </w:tc>
        <w:tc>
          <w:tcPr>
            <w:tcW w:w="1440" w:type="dxa"/>
            <w:tcBorders>
              <w:top w:val="single" w:sz="4" w:space="0" w:color="auto"/>
              <w:left w:val="nil"/>
              <w:bottom w:val="single" w:sz="4" w:space="0" w:color="auto"/>
              <w:right w:val="single" w:sz="4" w:space="0" w:color="auto"/>
            </w:tcBorders>
            <w:shd w:val="clear" w:color="auto" w:fill="auto"/>
            <w:noWrap/>
          </w:tcPr>
          <w:p w14:paraId="4170752A" w14:textId="1D59F1ED" w:rsidR="00FE517A" w:rsidRPr="00107C19" w:rsidRDefault="00FE517A" w:rsidP="00AA3AA9">
            <w:pPr>
              <w:pStyle w:val="TableText"/>
              <w:jc w:val="center"/>
              <w:rPr>
                <w:rFonts w:cstheme="minorHAnsi"/>
                <w:color w:val="000000" w:themeColor="text1"/>
                <w:sz w:val="22"/>
                <w:szCs w:val="22"/>
              </w:rPr>
            </w:pPr>
            <w:r w:rsidRPr="00FC2A72">
              <w:t>$ 0.75</w:t>
            </w:r>
          </w:p>
        </w:tc>
        <w:tc>
          <w:tcPr>
            <w:tcW w:w="1350" w:type="dxa"/>
            <w:tcBorders>
              <w:top w:val="single" w:sz="4" w:space="0" w:color="auto"/>
              <w:left w:val="nil"/>
              <w:bottom w:val="single" w:sz="4" w:space="0" w:color="auto"/>
              <w:right w:val="single" w:sz="4" w:space="0" w:color="auto"/>
            </w:tcBorders>
            <w:shd w:val="clear" w:color="auto" w:fill="auto"/>
          </w:tcPr>
          <w:p w14:paraId="124B9D2F" w14:textId="65AC8973" w:rsidR="00FE517A" w:rsidRPr="00107C19" w:rsidRDefault="00FE517A" w:rsidP="00AA3AA9">
            <w:pPr>
              <w:pStyle w:val="TableText"/>
              <w:jc w:val="center"/>
              <w:rPr>
                <w:rFonts w:cstheme="minorHAnsi"/>
                <w:color w:val="000000" w:themeColor="text1"/>
                <w:sz w:val="22"/>
                <w:szCs w:val="22"/>
              </w:rPr>
            </w:pPr>
            <w:r w:rsidRPr="00FC2A72">
              <w:t>$13</w:t>
            </w:r>
          </w:p>
        </w:tc>
        <w:tc>
          <w:tcPr>
            <w:tcW w:w="1350" w:type="dxa"/>
            <w:tcBorders>
              <w:top w:val="single" w:sz="4" w:space="0" w:color="auto"/>
              <w:left w:val="nil"/>
              <w:bottom w:val="single" w:sz="4" w:space="0" w:color="auto"/>
              <w:right w:val="single" w:sz="4" w:space="0" w:color="auto"/>
            </w:tcBorders>
            <w:shd w:val="clear" w:color="auto" w:fill="auto"/>
          </w:tcPr>
          <w:p w14:paraId="79D9CE24" w14:textId="5E6FB026" w:rsidR="00FE517A" w:rsidRPr="00107C19" w:rsidRDefault="00FE517A" w:rsidP="00AA3AA9">
            <w:pPr>
              <w:pStyle w:val="TableText"/>
              <w:jc w:val="center"/>
              <w:rPr>
                <w:rFonts w:cstheme="minorHAnsi"/>
                <w:color w:val="000000" w:themeColor="text1"/>
                <w:sz w:val="22"/>
                <w:szCs w:val="22"/>
              </w:rPr>
            </w:pPr>
            <w:r w:rsidRPr="00FC2A72">
              <w:t>$0.02</w:t>
            </w:r>
          </w:p>
        </w:tc>
        <w:tc>
          <w:tcPr>
            <w:tcW w:w="1440" w:type="dxa"/>
            <w:tcBorders>
              <w:top w:val="single" w:sz="4" w:space="0" w:color="auto"/>
              <w:left w:val="nil"/>
              <w:bottom w:val="single" w:sz="4" w:space="0" w:color="auto"/>
              <w:right w:val="single" w:sz="4" w:space="0" w:color="auto"/>
            </w:tcBorders>
            <w:shd w:val="clear" w:color="auto" w:fill="auto"/>
          </w:tcPr>
          <w:p w14:paraId="33C63284" w14:textId="1C81367A" w:rsidR="00FE517A" w:rsidRPr="00107C19" w:rsidRDefault="00FE517A" w:rsidP="00AA3AA9">
            <w:pPr>
              <w:pStyle w:val="TableText"/>
              <w:jc w:val="center"/>
              <w:rPr>
                <w:rFonts w:cstheme="minorHAnsi"/>
                <w:color w:val="000000" w:themeColor="text1"/>
                <w:sz w:val="22"/>
                <w:szCs w:val="22"/>
              </w:rPr>
            </w:pPr>
            <w:r w:rsidRPr="00FC2A72">
              <w:t>$5</w:t>
            </w:r>
          </w:p>
        </w:tc>
        <w:tc>
          <w:tcPr>
            <w:tcW w:w="1345" w:type="dxa"/>
            <w:tcBorders>
              <w:top w:val="single" w:sz="4" w:space="0" w:color="auto"/>
              <w:left w:val="nil"/>
              <w:bottom w:val="single" w:sz="4" w:space="0" w:color="auto"/>
              <w:right w:val="single" w:sz="4" w:space="0" w:color="auto"/>
            </w:tcBorders>
            <w:shd w:val="clear" w:color="auto" w:fill="auto"/>
          </w:tcPr>
          <w:p w14:paraId="558CBA1C" w14:textId="63C1E879"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$10</w:t>
            </w:r>
          </w:p>
        </w:tc>
      </w:tr>
      <w:tr w:rsidR="00721553" w:rsidRPr="00107C19" w14:paraId="03C5AF03"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0D010"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Maximum ERI</w:t>
            </w:r>
          </w:p>
        </w:tc>
        <w:tc>
          <w:tcPr>
            <w:tcW w:w="1440" w:type="dxa"/>
            <w:tcBorders>
              <w:top w:val="single" w:sz="4" w:space="0" w:color="auto"/>
              <w:left w:val="nil"/>
              <w:bottom w:val="single" w:sz="4" w:space="0" w:color="auto"/>
              <w:right w:val="single" w:sz="4" w:space="0" w:color="auto"/>
            </w:tcBorders>
            <w:shd w:val="clear" w:color="auto" w:fill="auto"/>
            <w:noWrap/>
          </w:tcPr>
          <w:p w14:paraId="731ADEB6" w14:textId="2230540E" w:rsidR="00FE517A" w:rsidRPr="00107C19" w:rsidRDefault="00FE517A" w:rsidP="00AA3AA9">
            <w:pPr>
              <w:pStyle w:val="TableText"/>
              <w:jc w:val="center"/>
              <w:rPr>
                <w:rFonts w:cstheme="minorHAnsi"/>
                <w:color w:val="000000" w:themeColor="text1"/>
                <w:sz w:val="22"/>
                <w:szCs w:val="22"/>
              </w:rPr>
            </w:pPr>
            <w:r w:rsidRPr="00FC2A72">
              <w:t>$573,545</w:t>
            </w:r>
          </w:p>
        </w:tc>
        <w:tc>
          <w:tcPr>
            <w:tcW w:w="1350" w:type="dxa"/>
            <w:tcBorders>
              <w:top w:val="single" w:sz="4" w:space="0" w:color="auto"/>
              <w:left w:val="nil"/>
              <w:bottom w:val="single" w:sz="4" w:space="0" w:color="auto"/>
              <w:right w:val="single" w:sz="4" w:space="0" w:color="auto"/>
            </w:tcBorders>
            <w:shd w:val="clear" w:color="auto" w:fill="auto"/>
          </w:tcPr>
          <w:p w14:paraId="68DED158" w14:textId="5683962B" w:rsidR="00FE517A" w:rsidRPr="00107C19" w:rsidRDefault="00FE517A" w:rsidP="00AA3AA9">
            <w:pPr>
              <w:pStyle w:val="TableText"/>
              <w:jc w:val="center"/>
              <w:rPr>
                <w:rFonts w:cstheme="minorHAnsi"/>
                <w:color w:val="000000" w:themeColor="text1"/>
                <w:sz w:val="22"/>
                <w:szCs w:val="22"/>
              </w:rPr>
            </w:pPr>
            <w:r w:rsidRPr="00FC2A72">
              <w:t>$279,915</w:t>
            </w:r>
          </w:p>
        </w:tc>
        <w:tc>
          <w:tcPr>
            <w:tcW w:w="1350" w:type="dxa"/>
            <w:tcBorders>
              <w:top w:val="single" w:sz="4" w:space="0" w:color="auto"/>
              <w:left w:val="nil"/>
              <w:bottom w:val="single" w:sz="4" w:space="0" w:color="auto"/>
              <w:right w:val="single" w:sz="4" w:space="0" w:color="auto"/>
            </w:tcBorders>
            <w:shd w:val="clear" w:color="auto" w:fill="auto"/>
          </w:tcPr>
          <w:p w14:paraId="47120618" w14:textId="4E8D604B" w:rsidR="00FE517A" w:rsidRPr="00107C19" w:rsidRDefault="00FE517A" w:rsidP="00AA3AA9">
            <w:pPr>
              <w:pStyle w:val="TableText"/>
              <w:jc w:val="center"/>
              <w:rPr>
                <w:rFonts w:cstheme="minorHAnsi"/>
                <w:color w:val="000000" w:themeColor="text1"/>
                <w:sz w:val="22"/>
                <w:szCs w:val="22"/>
              </w:rPr>
            </w:pPr>
            <w:r w:rsidRPr="00FC2A72">
              <w:t>$310,589</w:t>
            </w:r>
          </w:p>
        </w:tc>
        <w:tc>
          <w:tcPr>
            <w:tcW w:w="1440" w:type="dxa"/>
            <w:tcBorders>
              <w:top w:val="single" w:sz="4" w:space="0" w:color="auto"/>
              <w:left w:val="nil"/>
              <w:bottom w:val="single" w:sz="4" w:space="0" w:color="auto"/>
              <w:right w:val="single" w:sz="4" w:space="0" w:color="auto"/>
            </w:tcBorders>
            <w:shd w:val="clear" w:color="auto" w:fill="auto"/>
          </w:tcPr>
          <w:p w14:paraId="19809A7E" w14:textId="3365954D" w:rsidR="00FE517A" w:rsidRPr="00107C19" w:rsidRDefault="00FE517A" w:rsidP="00AA3AA9">
            <w:pPr>
              <w:pStyle w:val="TableText"/>
              <w:jc w:val="center"/>
              <w:rPr>
                <w:rFonts w:cstheme="minorHAnsi"/>
                <w:color w:val="000000" w:themeColor="text1"/>
                <w:sz w:val="22"/>
                <w:szCs w:val="22"/>
              </w:rPr>
            </w:pPr>
            <w:r w:rsidRPr="00FC2A72">
              <w:t>$365,273</w:t>
            </w:r>
          </w:p>
        </w:tc>
        <w:tc>
          <w:tcPr>
            <w:tcW w:w="1345" w:type="dxa"/>
            <w:tcBorders>
              <w:top w:val="single" w:sz="4" w:space="0" w:color="auto"/>
              <w:left w:val="nil"/>
              <w:bottom w:val="single" w:sz="4" w:space="0" w:color="auto"/>
              <w:right w:val="single" w:sz="4" w:space="0" w:color="auto"/>
            </w:tcBorders>
            <w:shd w:val="clear" w:color="auto" w:fill="auto"/>
          </w:tcPr>
          <w:p w14:paraId="75B38A18" w14:textId="471BCAFF"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$600,202</w:t>
            </w:r>
          </w:p>
        </w:tc>
      </w:tr>
      <w:tr w:rsidR="00721553" w:rsidRPr="00107C19" w14:paraId="511AEFFE"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7B5F8"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ERI from top 1% of licenses</w:t>
            </w:r>
          </w:p>
        </w:tc>
        <w:tc>
          <w:tcPr>
            <w:tcW w:w="1440" w:type="dxa"/>
            <w:tcBorders>
              <w:top w:val="single" w:sz="4" w:space="0" w:color="auto"/>
              <w:left w:val="nil"/>
              <w:bottom w:val="single" w:sz="4" w:space="0" w:color="auto"/>
              <w:right w:val="single" w:sz="4" w:space="0" w:color="auto"/>
            </w:tcBorders>
            <w:shd w:val="clear" w:color="auto" w:fill="auto"/>
            <w:noWrap/>
          </w:tcPr>
          <w:p w14:paraId="5B6CC78E" w14:textId="179C644E" w:rsidR="00FE517A" w:rsidRPr="00107C19" w:rsidRDefault="00FE517A" w:rsidP="00AA3AA9">
            <w:pPr>
              <w:pStyle w:val="TableText"/>
              <w:jc w:val="center"/>
              <w:rPr>
                <w:rFonts w:cstheme="minorHAnsi"/>
                <w:color w:val="000000" w:themeColor="text1"/>
                <w:sz w:val="22"/>
                <w:szCs w:val="22"/>
              </w:rPr>
            </w:pPr>
            <w:r w:rsidRPr="00FC2A72">
              <w:t>NP</w:t>
            </w:r>
          </w:p>
        </w:tc>
        <w:tc>
          <w:tcPr>
            <w:tcW w:w="1350" w:type="dxa"/>
            <w:tcBorders>
              <w:top w:val="single" w:sz="4" w:space="0" w:color="auto"/>
              <w:left w:val="nil"/>
              <w:bottom w:val="single" w:sz="4" w:space="0" w:color="auto"/>
              <w:right w:val="single" w:sz="4" w:space="0" w:color="auto"/>
            </w:tcBorders>
            <w:shd w:val="clear" w:color="auto" w:fill="auto"/>
          </w:tcPr>
          <w:p w14:paraId="773071F7" w14:textId="2EC2A7F1" w:rsidR="00FE517A" w:rsidRPr="00107C19" w:rsidRDefault="00FE517A" w:rsidP="00AA3AA9">
            <w:pPr>
              <w:pStyle w:val="TableText"/>
              <w:jc w:val="center"/>
              <w:rPr>
                <w:rFonts w:cstheme="minorHAnsi"/>
                <w:color w:val="000000" w:themeColor="text1"/>
                <w:sz w:val="22"/>
                <w:szCs w:val="22"/>
              </w:rPr>
            </w:pPr>
            <w:r w:rsidRPr="00FC2A72">
              <w:t>NP</w:t>
            </w:r>
          </w:p>
        </w:tc>
        <w:tc>
          <w:tcPr>
            <w:tcW w:w="1350" w:type="dxa"/>
            <w:tcBorders>
              <w:top w:val="single" w:sz="4" w:space="0" w:color="auto"/>
              <w:left w:val="nil"/>
              <w:bottom w:val="single" w:sz="4" w:space="0" w:color="auto"/>
              <w:right w:val="single" w:sz="4" w:space="0" w:color="auto"/>
            </w:tcBorders>
            <w:shd w:val="clear" w:color="auto" w:fill="auto"/>
          </w:tcPr>
          <w:p w14:paraId="189119B4" w14:textId="428ACC36" w:rsidR="00FE517A" w:rsidRPr="00107C19" w:rsidRDefault="00FE517A" w:rsidP="00AA3AA9">
            <w:pPr>
              <w:pStyle w:val="TableText"/>
              <w:jc w:val="center"/>
              <w:rPr>
                <w:rFonts w:cstheme="minorHAnsi"/>
                <w:color w:val="000000" w:themeColor="text1"/>
                <w:sz w:val="22"/>
                <w:szCs w:val="22"/>
              </w:rPr>
            </w:pPr>
            <w:r w:rsidRPr="00FC2A72">
              <w:t>NP</w:t>
            </w:r>
          </w:p>
        </w:tc>
        <w:tc>
          <w:tcPr>
            <w:tcW w:w="1440" w:type="dxa"/>
            <w:tcBorders>
              <w:top w:val="single" w:sz="4" w:space="0" w:color="auto"/>
              <w:left w:val="nil"/>
              <w:bottom w:val="single" w:sz="4" w:space="0" w:color="auto"/>
              <w:right w:val="single" w:sz="4" w:space="0" w:color="auto"/>
            </w:tcBorders>
            <w:shd w:val="clear" w:color="auto" w:fill="auto"/>
          </w:tcPr>
          <w:p w14:paraId="1193C35E" w14:textId="797D8E84" w:rsidR="00FE517A" w:rsidRPr="00107C19" w:rsidRDefault="00FE517A" w:rsidP="00AA3AA9">
            <w:pPr>
              <w:pStyle w:val="TableText"/>
              <w:jc w:val="center"/>
              <w:rPr>
                <w:rFonts w:cstheme="minorHAnsi"/>
                <w:color w:val="000000" w:themeColor="text1"/>
                <w:sz w:val="22"/>
                <w:szCs w:val="22"/>
              </w:rPr>
            </w:pPr>
            <w:r w:rsidRPr="00FC2A72">
              <w:t>NP</w:t>
            </w:r>
          </w:p>
        </w:tc>
        <w:tc>
          <w:tcPr>
            <w:tcW w:w="1345" w:type="dxa"/>
            <w:tcBorders>
              <w:top w:val="single" w:sz="4" w:space="0" w:color="auto"/>
              <w:left w:val="nil"/>
              <w:bottom w:val="single" w:sz="4" w:space="0" w:color="auto"/>
              <w:right w:val="single" w:sz="4" w:space="0" w:color="auto"/>
            </w:tcBorders>
            <w:shd w:val="clear" w:color="auto" w:fill="auto"/>
            <w:vAlign w:val="center"/>
          </w:tcPr>
          <w:p w14:paraId="6CBAB0BB" w14:textId="1DDD5C91"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NP</w:t>
            </w:r>
          </w:p>
        </w:tc>
      </w:tr>
      <w:tr w:rsidR="00721553" w:rsidRPr="00107C19" w14:paraId="72F6D7F0"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75B912"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ERI from top 5% of licenses</w:t>
            </w:r>
          </w:p>
        </w:tc>
        <w:tc>
          <w:tcPr>
            <w:tcW w:w="1440" w:type="dxa"/>
            <w:tcBorders>
              <w:top w:val="single" w:sz="4" w:space="0" w:color="auto"/>
              <w:left w:val="nil"/>
              <w:bottom w:val="single" w:sz="4" w:space="0" w:color="auto"/>
              <w:right w:val="single" w:sz="4" w:space="0" w:color="auto"/>
            </w:tcBorders>
            <w:shd w:val="clear" w:color="auto" w:fill="auto"/>
            <w:noWrap/>
          </w:tcPr>
          <w:p w14:paraId="6C499A30" w14:textId="5BC82E42" w:rsidR="00FE517A" w:rsidRPr="00107C19" w:rsidRDefault="00FE517A" w:rsidP="00AA3AA9">
            <w:pPr>
              <w:pStyle w:val="TableText"/>
              <w:jc w:val="center"/>
              <w:rPr>
                <w:rFonts w:cstheme="minorHAnsi"/>
                <w:color w:val="000000" w:themeColor="text1"/>
                <w:sz w:val="22"/>
                <w:szCs w:val="22"/>
              </w:rPr>
            </w:pPr>
            <w:r w:rsidRPr="00FC2A72">
              <w:t>$1,579,185</w:t>
            </w:r>
          </w:p>
        </w:tc>
        <w:tc>
          <w:tcPr>
            <w:tcW w:w="1350" w:type="dxa"/>
            <w:tcBorders>
              <w:top w:val="single" w:sz="4" w:space="0" w:color="auto"/>
              <w:left w:val="nil"/>
              <w:bottom w:val="single" w:sz="4" w:space="0" w:color="auto"/>
              <w:right w:val="single" w:sz="4" w:space="0" w:color="auto"/>
            </w:tcBorders>
            <w:shd w:val="clear" w:color="auto" w:fill="auto"/>
          </w:tcPr>
          <w:p w14:paraId="5EAD1B8C" w14:textId="018D28D9" w:rsidR="00FE517A" w:rsidRPr="00107C19" w:rsidRDefault="00FE517A" w:rsidP="00AA3AA9">
            <w:pPr>
              <w:pStyle w:val="TableText"/>
              <w:jc w:val="center"/>
              <w:rPr>
                <w:rFonts w:cstheme="minorHAnsi"/>
                <w:color w:val="000000" w:themeColor="text1"/>
                <w:sz w:val="22"/>
                <w:szCs w:val="22"/>
              </w:rPr>
            </w:pPr>
            <w:r w:rsidRPr="00FC2A72">
              <w:t>$1,111,917</w:t>
            </w:r>
          </w:p>
        </w:tc>
        <w:tc>
          <w:tcPr>
            <w:tcW w:w="1350" w:type="dxa"/>
            <w:tcBorders>
              <w:top w:val="single" w:sz="4" w:space="0" w:color="auto"/>
              <w:left w:val="nil"/>
              <w:bottom w:val="single" w:sz="4" w:space="0" w:color="auto"/>
              <w:right w:val="single" w:sz="4" w:space="0" w:color="auto"/>
            </w:tcBorders>
            <w:shd w:val="clear" w:color="auto" w:fill="auto"/>
          </w:tcPr>
          <w:p w14:paraId="3206AA4B" w14:textId="76EA8B9A" w:rsidR="00FE517A" w:rsidRPr="00107C19" w:rsidRDefault="00FE517A" w:rsidP="00AA3AA9">
            <w:pPr>
              <w:pStyle w:val="TableText"/>
              <w:jc w:val="center"/>
              <w:rPr>
                <w:rFonts w:cstheme="minorHAnsi"/>
                <w:color w:val="000000" w:themeColor="text1"/>
                <w:sz w:val="22"/>
                <w:szCs w:val="22"/>
              </w:rPr>
            </w:pPr>
            <w:r w:rsidRPr="00FC2A72">
              <w:t>$1,068,082</w:t>
            </w:r>
          </w:p>
        </w:tc>
        <w:tc>
          <w:tcPr>
            <w:tcW w:w="1440" w:type="dxa"/>
            <w:tcBorders>
              <w:top w:val="single" w:sz="4" w:space="0" w:color="auto"/>
              <w:left w:val="nil"/>
              <w:bottom w:val="single" w:sz="4" w:space="0" w:color="auto"/>
              <w:right w:val="single" w:sz="4" w:space="0" w:color="auto"/>
            </w:tcBorders>
            <w:shd w:val="clear" w:color="auto" w:fill="auto"/>
          </w:tcPr>
          <w:p w14:paraId="44BFD052" w14:textId="0DC51C43" w:rsidR="00FE517A" w:rsidRPr="00107C19" w:rsidRDefault="00FE517A" w:rsidP="00AA3AA9">
            <w:pPr>
              <w:pStyle w:val="TableText"/>
              <w:jc w:val="center"/>
              <w:rPr>
                <w:rFonts w:cstheme="minorHAnsi"/>
                <w:color w:val="000000" w:themeColor="text1"/>
                <w:sz w:val="22"/>
                <w:szCs w:val="22"/>
              </w:rPr>
            </w:pPr>
            <w:r w:rsidRPr="00FC2A72">
              <w:t>$1,744,111</w:t>
            </w:r>
          </w:p>
        </w:tc>
        <w:tc>
          <w:tcPr>
            <w:tcW w:w="1345" w:type="dxa"/>
            <w:tcBorders>
              <w:top w:val="single" w:sz="4" w:space="0" w:color="auto"/>
              <w:left w:val="nil"/>
              <w:bottom w:val="single" w:sz="4" w:space="0" w:color="auto"/>
              <w:right w:val="single" w:sz="4" w:space="0" w:color="auto"/>
            </w:tcBorders>
            <w:shd w:val="clear" w:color="auto" w:fill="auto"/>
            <w:vAlign w:val="center"/>
          </w:tcPr>
          <w:p w14:paraId="0DA7A1CC" w14:textId="4A7C1354"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$1,959,395</w:t>
            </w:r>
          </w:p>
        </w:tc>
      </w:tr>
      <w:tr w:rsidR="00721553" w:rsidRPr="00107C19" w14:paraId="0C98621B"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7014F"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ERI from top 20% of licenses</w:t>
            </w:r>
          </w:p>
        </w:tc>
        <w:tc>
          <w:tcPr>
            <w:tcW w:w="1440" w:type="dxa"/>
            <w:tcBorders>
              <w:top w:val="single" w:sz="4" w:space="0" w:color="auto"/>
              <w:left w:val="nil"/>
              <w:bottom w:val="single" w:sz="4" w:space="0" w:color="auto"/>
              <w:right w:val="single" w:sz="4" w:space="0" w:color="auto"/>
            </w:tcBorders>
            <w:shd w:val="clear" w:color="auto" w:fill="auto"/>
            <w:noWrap/>
          </w:tcPr>
          <w:p w14:paraId="2789F590" w14:textId="0EF6C58E" w:rsidR="00FE517A" w:rsidRPr="00107C19" w:rsidRDefault="00FE517A" w:rsidP="00AA3AA9">
            <w:pPr>
              <w:pStyle w:val="TableText"/>
              <w:jc w:val="center"/>
              <w:rPr>
                <w:rFonts w:cstheme="minorHAnsi"/>
                <w:color w:val="000000" w:themeColor="text1"/>
                <w:sz w:val="22"/>
                <w:szCs w:val="22"/>
              </w:rPr>
            </w:pPr>
            <w:r w:rsidRPr="00FC2A72">
              <w:t>$2,655,368</w:t>
            </w:r>
          </w:p>
        </w:tc>
        <w:tc>
          <w:tcPr>
            <w:tcW w:w="1350" w:type="dxa"/>
            <w:tcBorders>
              <w:top w:val="single" w:sz="4" w:space="0" w:color="auto"/>
              <w:left w:val="nil"/>
              <w:bottom w:val="single" w:sz="4" w:space="0" w:color="auto"/>
              <w:right w:val="single" w:sz="4" w:space="0" w:color="auto"/>
            </w:tcBorders>
            <w:shd w:val="clear" w:color="auto" w:fill="auto"/>
          </w:tcPr>
          <w:p w14:paraId="729E6230" w14:textId="6B25FBA1" w:rsidR="00FE517A" w:rsidRPr="00107C19" w:rsidRDefault="00FE517A" w:rsidP="00AA3AA9">
            <w:pPr>
              <w:pStyle w:val="TableText"/>
              <w:jc w:val="center"/>
              <w:rPr>
                <w:rFonts w:cstheme="minorHAnsi"/>
                <w:color w:val="000000" w:themeColor="text1"/>
                <w:sz w:val="22"/>
                <w:szCs w:val="22"/>
              </w:rPr>
            </w:pPr>
            <w:r w:rsidRPr="00FC2A72">
              <w:t>$2,210,427</w:t>
            </w:r>
          </w:p>
        </w:tc>
        <w:tc>
          <w:tcPr>
            <w:tcW w:w="1350" w:type="dxa"/>
            <w:tcBorders>
              <w:top w:val="single" w:sz="4" w:space="0" w:color="auto"/>
              <w:left w:val="nil"/>
              <w:bottom w:val="single" w:sz="4" w:space="0" w:color="auto"/>
              <w:right w:val="single" w:sz="4" w:space="0" w:color="auto"/>
            </w:tcBorders>
            <w:shd w:val="clear" w:color="auto" w:fill="auto"/>
          </w:tcPr>
          <w:p w14:paraId="4129CA37" w14:textId="691DBB49" w:rsidR="00FE517A" w:rsidRPr="00107C19" w:rsidRDefault="00FE517A" w:rsidP="00AA3AA9">
            <w:pPr>
              <w:pStyle w:val="TableText"/>
              <w:jc w:val="center"/>
              <w:rPr>
                <w:rFonts w:cstheme="minorHAnsi"/>
                <w:color w:val="000000" w:themeColor="text1"/>
                <w:sz w:val="22"/>
                <w:szCs w:val="22"/>
              </w:rPr>
            </w:pPr>
            <w:r w:rsidRPr="00FC2A72">
              <w:t>$2,107,125</w:t>
            </w:r>
          </w:p>
        </w:tc>
        <w:tc>
          <w:tcPr>
            <w:tcW w:w="1440" w:type="dxa"/>
            <w:tcBorders>
              <w:top w:val="single" w:sz="4" w:space="0" w:color="auto"/>
              <w:left w:val="nil"/>
              <w:bottom w:val="single" w:sz="4" w:space="0" w:color="auto"/>
              <w:right w:val="single" w:sz="4" w:space="0" w:color="auto"/>
            </w:tcBorders>
            <w:shd w:val="clear" w:color="auto" w:fill="auto"/>
          </w:tcPr>
          <w:p w14:paraId="7B3F86B4" w14:textId="7F9CBC7D" w:rsidR="00FE517A" w:rsidRPr="00107C19" w:rsidRDefault="00FE517A" w:rsidP="00AA3AA9">
            <w:pPr>
              <w:pStyle w:val="TableText"/>
              <w:jc w:val="center"/>
              <w:rPr>
                <w:rFonts w:cstheme="minorHAnsi"/>
                <w:color w:val="000000" w:themeColor="text1"/>
                <w:sz w:val="22"/>
                <w:szCs w:val="22"/>
              </w:rPr>
            </w:pPr>
            <w:r w:rsidRPr="00FC2A72">
              <w:t>$3,009,170</w:t>
            </w:r>
          </w:p>
        </w:tc>
        <w:tc>
          <w:tcPr>
            <w:tcW w:w="1345" w:type="dxa"/>
            <w:tcBorders>
              <w:top w:val="single" w:sz="4" w:space="0" w:color="auto"/>
              <w:left w:val="nil"/>
              <w:bottom w:val="single" w:sz="4" w:space="0" w:color="auto"/>
              <w:right w:val="single" w:sz="4" w:space="0" w:color="auto"/>
            </w:tcBorders>
            <w:shd w:val="clear" w:color="auto" w:fill="auto"/>
            <w:vAlign w:val="center"/>
          </w:tcPr>
          <w:p w14:paraId="4F1FA8B7" w14:textId="0C2D1623"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$2,834,218</w:t>
            </w:r>
          </w:p>
        </w:tc>
      </w:tr>
      <w:tr w:rsidR="00721553" w:rsidRPr="00107C19" w14:paraId="0CF47A40"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830A0" w14:textId="096E4F8A" w:rsidR="00FE517A" w:rsidRPr="00107C19" w:rsidRDefault="00FE517A" w:rsidP="00FE517A">
            <w:pPr>
              <w:pStyle w:val="TableText"/>
              <w:rPr>
                <w:rFonts w:cstheme="minorHAnsi"/>
                <w:color w:val="000000" w:themeColor="text1"/>
              </w:rPr>
            </w:pPr>
            <w:r w:rsidRPr="00107C19">
              <w:rPr>
                <w:rFonts w:cstheme="minorHAnsi"/>
                <w:color w:val="000000" w:themeColor="text1"/>
              </w:rPr>
              <w:lastRenderedPageBreak/>
              <w:t>Percentage ERI distributed to inventors</w:t>
            </w:r>
          </w:p>
        </w:tc>
        <w:tc>
          <w:tcPr>
            <w:tcW w:w="1440" w:type="dxa"/>
            <w:tcBorders>
              <w:top w:val="single" w:sz="4" w:space="0" w:color="auto"/>
              <w:left w:val="nil"/>
              <w:bottom w:val="single" w:sz="4" w:space="0" w:color="auto"/>
              <w:right w:val="single" w:sz="4" w:space="0" w:color="auto"/>
            </w:tcBorders>
            <w:shd w:val="clear" w:color="auto" w:fill="auto"/>
            <w:noWrap/>
          </w:tcPr>
          <w:p w14:paraId="1AAE203A" w14:textId="5903BB4D" w:rsidR="00FE517A" w:rsidRPr="00107C19" w:rsidRDefault="00FE517A" w:rsidP="00AA3AA9">
            <w:pPr>
              <w:pStyle w:val="TableText"/>
              <w:jc w:val="center"/>
              <w:rPr>
                <w:rFonts w:cstheme="minorHAnsi"/>
                <w:color w:val="000000" w:themeColor="text1"/>
                <w:sz w:val="22"/>
                <w:szCs w:val="22"/>
              </w:rPr>
            </w:pPr>
            <w:r w:rsidRPr="00FC2A72">
              <w:t>25</w:t>
            </w:r>
          </w:p>
        </w:tc>
        <w:tc>
          <w:tcPr>
            <w:tcW w:w="1350" w:type="dxa"/>
            <w:tcBorders>
              <w:top w:val="single" w:sz="4" w:space="0" w:color="auto"/>
              <w:left w:val="nil"/>
              <w:bottom w:val="single" w:sz="4" w:space="0" w:color="auto"/>
              <w:right w:val="single" w:sz="4" w:space="0" w:color="auto"/>
            </w:tcBorders>
            <w:shd w:val="clear" w:color="auto" w:fill="auto"/>
          </w:tcPr>
          <w:p w14:paraId="25170A18" w14:textId="3BBF66D9" w:rsidR="00FE517A" w:rsidRPr="00107C19" w:rsidRDefault="00FE517A" w:rsidP="00AA3AA9">
            <w:pPr>
              <w:pStyle w:val="TableText"/>
              <w:jc w:val="center"/>
              <w:rPr>
                <w:rFonts w:cstheme="minorHAnsi"/>
                <w:color w:val="000000" w:themeColor="text1"/>
                <w:sz w:val="22"/>
                <w:szCs w:val="22"/>
              </w:rPr>
            </w:pPr>
            <w:r w:rsidRPr="00FC2A72">
              <w:t>25</w:t>
            </w:r>
          </w:p>
        </w:tc>
        <w:tc>
          <w:tcPr>
            <w:tcW w:w="1350" w:type="dxa"/>
            <w:tcBorders>
              <w:top w:val="single" w:sz="4" w:space="0" w:color="auto"/>
              <w:left w:val="nil"/>
              <w:bottom w:val="single" w:sz="4" w:space="0" w:color="auto"/>
              <w:right w:val="single" w:sz="4" w:space="0" w:color="auto"/>
            </w:tcBorders>
            <w:shd w:val="clear" w:color="auto" w:fill="auto"/>
          </w:tcPr>
          <w:p w14:paraId="7FEAF6F5" w14:textId="06422A25" w:rsidR="00FE517A" w:rsidRPr="00107C19" w:rsidRDefault="00FE517A" w:rsidP="00AA3AA9">
            <w:pPr>
              <w:pStyle w:val="TableText"/>
              <w:jc w:val="center"/>
              <w:rPr>
                <w:rFonts w:cstheme="minorHAnsi"/>
                <w:color w:val="000000" w:themeColor="text1"/>
                <w:sz w:val="22"/>
                <w:szCs w:val="22"/>
              </w:rPr>
            </w:pPr>
            <w:r w:rsidRPr="00FC2A72">
              <w:t>25</w:t>
            </w:r>
          </w:p>
        </w:tc>
        <w:tc>
          <w:tcPr>
            <w:tcW w:w="1440" w:type="dxa"/>
            <w:tcBorders>
              <w:top w:val="single" w:sz="4" w:space="0" w:color="auto"/>
              <w:left w:val="nil"/>
              <w:bottom w:val="single" w:sz="4" w:space="0" w:color="auto"/>
              <w:right w:val="single" w:sz="4" w:space="0" w:color="auto"/>
            </w:tcBorders>
            <w:shd w:val="clear" w:color="auto" w:fill="auto"/>
          </w:tcPr>
          <w:p w14:paraId="741116B4" w14:textId="38B701B9" w:rsidR="00FE517A" w:rsidRPr="00107C19" w:rsidRDefault="00FE517A" w:rsidP="00AA3AA9">
            <w:pPr>
              <w:pStyle w:val="TableText"/>
              <w:jc w:val="center"/>
              <w:rPr>
                <w:rFonts w:cstheme="minorHAnsi"/>
                <w:color w:val="000000" w:themeColor="text1"/>
                <w:sz w:val="22"/>
                <w:szCs w:val="22"/>
              </w:rPr>
            </w:pPr>
            <w:r w:rsidRPr="00FC2A72">
              <w:t>25</w:t>
            </w:r>
          </w:p>
        </w:tc>
        <w:tc>
          <w:tcPr>
            <w:tcW w:w="1345" w:type="dxa"/>
            <w:tcBorders>
              <w:top w:val="single" w:sz="4" w:space="0" w:color="auto"/>
              <w:left w:val="nil"/>
              <w:bottom w:val="single" w:sz="4" w:space="0" w:color="auto"/>
              <w:right w:val="single" w:sz="4" w:space="0" w:color="auto"/>
            </w:tcBorders>
            <w:shd w:val="clear" w:color="auto" w:fill="auto"/>
          </w:tcPr>
          <w:p w14:paraId="4EA0E16A" w14:textId="62B71AC3"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25</w:t>
            </w:r>
          </w:p>
        </w:tc>
      </w:tr>
      <w:tr w:rsidR="00721553" w:rsidRPr="00107C19" w14:paraId="3BF31DAD"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029B74" w14:textId="3AFF13A9" w:rsidR="00FE517A" w:rsidRPr="00107C19" w:rsidRDefault="00FE517A" w:rsidP="00FE517A">
            <w:pPr>
              <w:pStyle w:val="TableText"/>
              <w:rPr>
                <w:rFonts w:cstheme="minorHAnsi"/>
                <w:color w:val="000000" w:themeColor="text1"/>
              </w:rPr>
            </w:pPr>
            <w:r w:rsidRPr="00107C19">
              <w:rPr>
                <w:rFonts w:cstheme="minorHAnsi"/>
                <w:color w:val="000000" w:themeColor="text1"/>
              </w:rPr>
              <w:t>Percentage ERI distributed to lab/agency</w:t>
            </w:r>
          </w:p>
        </w:tc>
        <w:tc>
          <w:tcPr>
            <w:tcW w:w="1440" w:type="dxa"/>
            <w:tcBorders>
              <w:top w:val="single" w:sz="4" w:space="0" w:color="auto"/>
              <w:left w:val="nil"/>
              <w:bottom w:val="single" w:sz="4" w:space="0" w:color="auto"/>
              <w:right w:val="single" w:sz="4" w:space="0" w:color="auto"/>
            </w:tcBorders>
            <w:shd w:val="clear" w:color="auto" w:fill="auto"/>
            <w:noWrap/>
          </w:tcPr>
          <w:p w14:paraId="71127F70" w14:textId="43014312" w:rsidR="00FE517A" w:rsidRPr="00107C19" w:rsidRDefault="00FE517A" w:rsidP="00FE517A">
            <w:pPr>
              <w:pStyle w:val="TableText"/>
              <w:jc w:val="center"/>
              <w:rPr>
                <w:rFonts w:cstheme="minorHAnsi"/>
                <w:color w:val="000000" w:themeColor="text1"/>
                <w:sz w:val="22"/>
                <w:szCs w:val="22"/>
              </w:rPr>
            </w:pPr>
            <w:r w:rsidRPr="00C9702D">
              <w:t>0</w:t>
            </w:r>
          </w:p>
        </w:tc>
        <w:tc>
          <w:tcPr>
            <w:tcW w:w="1350" w:type="dxa"/>
            <w:tcBorders>
              <w:top w:val="single" w:sz="4" w:space="0" w:color="auto"/>
              <w:left w:val="nil"/>
              <w:bottom w:val="single" w:sz="4" w:space="0" w:color="auto"/>
              <w:right w:val="single" w:sz="4" w:space="0" w:color="auto"/>
            </w:tcBorders>
            <w:shd w:val="clear" w:color="auto" w:fill="auto"/>
          </w:tcPr>
          <w:p w14:paraId="6DAFE4C5" w14:textId="43E729F7" w:rsidR="00FE517A" w:rsidRPr="00107C19" w:rsidRDefault="00FE517A" w:rsidP="00FE517A">
            <w:pPr>
              <w:pStyle w:val="TableText"/>
              <w:jc w:val="center"/>
              <w:rPr>
                <w:rFonts w:cstheme="minorHAnsi"/>
                <w:color w:val="000000" w:themeColor="text1"/>
                <w:sz w:val="22"/>
                <w:szCs w:val="22"/>
              </w:rPr>
            </w:pPr>
            <w:r w:rsidRPr="00C9702D">
              <w:t>0</w:t>
            </w:r>
          </w:p>
        </w:tc>
        <w:tc>
          <w:tcPr>
            <w:tcW w:w="1350" w:type="dxa"/>
            <w:tcBorders>
              <w:top w:val="single" w:sz="4" w:space="0" w:color="auto"/>
              <w:left w:val="nil"/>
              <w:bottom w:val="single" w:sz="4" w:space="0" w:color="auto"/>
              <w:right w:val="single" w:sz="4" w:space="0" w:color="auto"/>
            </w:tcBorders>
            <w:shd w:val="clear" w:color="auto" w:fill="auto"/>
          </w:tcPr>
          <w:p w14:paraId="0FE847CA" w14:textId="73A42EC7" w:rsidR="00FE517A" w:rsidRPr="00107C19" w:rsidRDefault="00FE517A" w:rsidP="00FE517A">
            <w:pPr>
              <w:pStyle w:val="TableText"/>
              <w:jc w:val="center"/>
              <w:rPr>
                <w:rFonts w:cstheme="minorHAnsi"/>
                <w:color w:val="000000" w:themeColor="text1"/>
                <w:sz w:val="22"/>
                <w:szCs w:val="22"/>
              </w:rPr>
            </w:pPr>
            <w:r w:rsidRPr="00C9702D">
              <w:t>0</w:t>
            </w:r>
          </w:p>
        </w:tc>
        <w:tc>
          <w:tcPr>
            <w:tcW w:w="1440" w:type="dxa"/>
            <w:tcBorders>
              <w:top w:val="single" w:sz="4" w:space="0" w:color="auto"/>
              <w:left w:val="nil"/>
              <w:bottom w:val="single" w:sz="4" w:space="0" w:color="auto"/>
              <w:right w:val="single" w:sz="4" w:space="0" w:color="auto"/>
            </w:tcBorders>
            <w:shd w:val="clear" w:color="auto" w:fill="auto"/>
          </w:tcPr>
          <w:p w14:paraId="5D16CB5A" w14:textId="4DF6FA0C" w:rsidR="00FE517A" w:rsidRPr="00107C19" w:rsidRDefault="00FE517A" w:rsidP="00FE517A">
            <w:pPr>
              <w:pStyle w:val="TableText"/>
              <w:jc w:val="center"/>
              <w:rPr>
                <w:rFonts w:cstheme="minorHAnsi"/>
                <w:color w:val="000000" w:themeColor="text1"/>
                <w:sz w:val="22"/>
                <w:szCs w:val="22"/>
              </w:rPr>
            </w:pPr>
            <w:r w:rsidRPr="00C9702D">
              <w:t>0</w:t>
            </w:r>
          </w:p>
        </w:tc>
        <w:tc>
          <w:tcPr>
            <w:tcW w:w="1345" w:type="dxa"/>
            <w:tcBorders>
              <w:top w:val="single" w:sz="4" w:space="0" w:color="auto"/>
              <w:left w:val="nil"/>
              <w:bottom w:val="single" w:sz="4" w:space="0" w:color="auto"/>
              <w:right w:val="single" w:sz="4" w:space="0" w:color="auto"/>
            </w:tcBorders>
            <w:shd w:val="clear" w:color="auto" w:fill="auto"/>
          </w:tcPr>
          <w:p w14:paraId="4E8413A9" w14:textId="2F44F12D"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25</w:t>
            </w:r>
          </w:p>
        </w:tc>
      </w:tr>
      <w:tr w:rsidR="00721553" w:rsidRPr="00107C19" w14:paraId="7A774E01"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6432C" w14:textId="4252E2FB" w:rsidR="00FE517A" w:rsidRPr="00107C19" w:rsidRDefault="00FE517A" w:rsidP="00FE517A">
            <w:pPr>
              <w:pStyle w:val="TableText"/>
              <w:rPr>
                <w:rFonts w:cstheme="minorHAnsi"/>
                <w:color w:val="000000" w:themeColor="text1"/>
              </w:rPr>
            </w:pPr>
            <w:r w:rsidRPr="00107C19">
              <w:rPr>
                <w:rFonts w:cstheme="minorHAnsi"/>
                <w:color w:val="000000" w:themeColor="text1"/>
              </w:rPr>
              <w:t>ERI distributed to Innovation Fund</w:t>
            </w:r>
            <w:r w:rsidR="00144589">
              <w:rPr>
                <w:rFonts w:cstheme="minorHAnsi"/>
                <w:color w:val="000000" w:themeColor="text1"/>
                <w:vertAlign w:val="superscript"/>
              </w:rPr>
              <w:t>3</w:t>
            </w:r>
          </w:p>
        </w:tc>
        <w:tc>
          <w:tcPr>
            <w:tcW w:w="1440" w:type="dxa"/>
            <w:tcBorders>
              <w:top w:val="single" w:sz="4" w:space="0" w:color="auto"/>
              <w:left w:val="nil"/>
              <w:bottom w:val="single" w:sz="4" w:space="0" w:color="auto"/>
              <w:right w:val="single" w:sz="4" w:space="0" w:color="auto"/>
            </w:tcBorders>
            <w:shd w:val="clear" w:color="auto" w:fill="auto"/>
            <w:noWrap/>
          </w:tcPr>
          <w:p w14:paraId="690BDA34" w14:textId="7C41696C" w:rsidR="00FE517A" w:rsidRPr="00107C19" w:rsidRDefault="00FE517A" w:rsidP="00FE517A">
            <w:pPr>
              <w:pStyle w:val="TableText"/>
              <w:jc w:val="center"/>
              <w:rPr>
                <w:rFonts w:cstheme="minorHAnsi"/>
                <w:color w:val="000000" w:themeColor="text1"/>
                <w:sz w:val="22"/>
                <w:szCs w:val="22"/>
              </w:rPr>
            </w:pPr>
            <w:r w:rsidRPr="00C9702D">
              <w:t>$833,500</w:t>
            </w:r>
          </w:p>
        </w:tc>
        <w:tc>
          <w:tcPr>
            <w:tcW w:w="1350" w:type="dxa"/>
            <w:tcBorders>
              <w:top w:val="single" w:sz="4" w:space="0" w:color="auto"/>
              <w:left w:val="nil"/>
              <w:bottom w:val="single" w:sz="4" w:space="0" w:color="auto"/>
              <w:right w:val="single" w:sz="4" w:space="0" w:color="auto"/>
            </w:tcBorders>
            <w:shd w:val="clear" w:color="auto" w:fill="auto"/>
          </w:tcPr>
          <w:p w14:paraId="06BEFA66" w14:textId="7C528A42" w:rsidR="00FE517A" w:rsidRPr="00107C19" w:rsidRDefault="00FE517A" w:rsidP="00FE517A">
            <w:pPr>
              <w:pStyle w:val="TableText"/>
              <w:jc w:val="center"/>
              <w:rPr>
                <w:rFonts w:cstheme="minorHAnsi"/>
                <w:color w:val="000000" w:themeColor="text1"/>
                <w:sz w:val="22"/>
                <w:szCs w:val="22"/>
              </w:rPr>
            </w:pPr>
            <w:r w:rsidRPr="00C9702D">
              <w:t>$898,144</w:t>
            </w:r>
          </w:p>
        </w:tc>
        <w:tc>
          <w:tcPr>
            <w:tcW w:w="1350" w:type="dxa"/>
            <w:tcBorders>
              <w:top w:val="single" w:sz="4" w:space="0" w:color="auto"/>
              <w:left w:val="nil"/>
              <w:bottom w:val="single" w:sz="4" w:space="0" w:color="auto"/>
              <w:right w:val="single" w:sz="4" w:space="0" w:color="auto"/>
            </w:tcBorders>
            <w:shd w:val="clear" w:color="auto" w:fill="auto"/>
          </w:tcPr>
          <w:p w14:paraId="6798D80B" w14:textId="578E8B41" w:rsidR="00FE517A" w:rsidRPr="00107C19" w:rsidRDefault="00FE517A" w:rsidP="00FE517A">
            <w:pPr>
              <w:pStyle w:val="TableText"/>
              <w:jc w:val="center"/>
              <w:rPr>
                <w:rFonts w:cstheme="minorHAnsi"/>
                <w:color w:val="000000" w:themeColor="text1"/>
                <w:sz w:val="22"/>
                <w:szCs w:val="22"/>
              </w:rPr>
            </w:pPr>
            <w:r w:rsidRPr="00C9702D">
              <w:t>$556,135</w:t>
            </w:r>
          </w:p>
        </w:tc>
        <w:tc>
          <w:tcPr>
            <w:tcW w:w="1440" w:type="dxa"/>
            <w:tcBorders>
              <w:top w:val="single" w:sz="4" w:space="0" w:color="auto"/>
              <w:left w:val="nil"/>
              <w:bottom w:val="single" w:sz="4" w:space="0" w:color="auto"/>
              <w:right w:val="single" w:sz="4" w:space="0" w:color="auto"/>
            </w:tcBorders>
            <w:shd w:val="clear" w:color="auto" w:fill="auto"/>
          </w:tcPr>
          <w:p w14:paraId="6DA518A7" w14:textId="7F8EB78E" w:rsidR="00FE517A" w:rsidRPr="00107C19" w:rsidRDefault="00FE517A" w:rsidP="00FE517A">
            <w:pPr>
              <w:pStyle w:val="TableText"/>
              <w:jc w:val="center"/>
              <w:rPr>
                <w:rFonts w:cstheme="minorHAnsi"/>
                <w:color w:val="000000" w:themeColor="text1"/>
                <w:sz w:val="22"/>
                <w:szCs w:val="22"/>
              </w:rPr>
            </w:pPr>
            <w:r w:rsidRPr="00C9702D">
              <w:t>$233,000</w:t>
            </w:r>
          </w:p>
        </w:tc>
        <w:tc>
          <w:tcPr>
            <w:tcW w:w="1345" w:type="dxa"/>
            <w:tcBorders>
              <w:top w:val="single" w:sz="4" w:space="0" w:color="auto"/>
              <w:left w:val="nil"/>
              <w:bottom w:val="single" w:sz="4" w:space="0" w:color="auto"/>
              <w:right w:val="single" w:sz="4" w:space="0" w:color="auto"/>
            </w:tcBorders>
            <w:shd w:val="clear" w:color="auto" w:fill="auto"/>
          </w:tcPr>
          <w:p w14:paraId="71AFA5C4" w14:textId="502234ED"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$384,300</w:t>
            </w:r>
          </w:p>
        </w:tc>
      </w:tr>
      <w:tr w:rsidR="00721553" w:rsidRPr="00107C19" w14:paraId="750F4375" w14:textId="77777777" w:rsidTr="006B5675">
        <w:trPr>
          <w:trHeight w:val="300"/>
          <w:jc w:val="right"/>
        </w:trPr>
        <w:tc>
          <w:tcPr>
            <w:tcW w:w="3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87BAA"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Licenses terminated for cause</w:t>
            </w:r>
          </w:p>
        </w:tc>
        <w:tc>
          <w:tcPr>
            <w:tcW w:w="1440" w:type="dxa"/>
            <w:tcBorders>
              <w:top w:val="single" w:sz="4" w:space="0" w:color="auto"/>
              <w:left w:val="nil"/>
              <w:bottom w:val="single" w:sz="4" w:space="0" w:color="auto"/>
              <w:right w:val="single" w:sz="4" w:space="0" w:color="auto"/>
            </w:tcBorders>
            <w:shd w:val="clear" w:color="auto" w:fill="auto"/>
            <w:noWrap/>
          </w:tcPr>
          <w:p w14:paraId="50AD19F9" w14:textId="1B5CE508" w:rsidR="00FE517A" w:rsidRPr="00107C19" w:rsidRDefault="00FE517A" w:rsidP="00FE517A">
            <w:pPr>
              <w:pStyle w:val="TableText"/>
              <w:jc w:val="center"/>
              <w:rPr>
                <w:rFonts w:cstheme="minorHAnsi"/>
                <w:color w:val="000000" w:themeColor="text1"/>
                <w:sz w:val="22"/>
                <w:szCs w:val="22"/>
              </w:rPr>
            </w:pPr>
            <w:r w:rsidRPr="00C9702D">
              <w:t>0</w:t>
            </w:r>
          </w:p>
        </w:tc>
        <w:tc>
          <w:tcPr>
            <w:tcW w:w="1350" w:type="dxa"/>
            <w:tcBorders>
              <w:top w:val="single" w:sz="4" w:space="0" w:color="auto"/>
              <w:left w:val="nil"/>
              <w:bottom w:val="single" w:sz="4" w:space="0" w:color="auto"/>
              <w:right w:val="single" w:sz="4" w:space="0" w:color="auto"/>
            </w:tcBorders>
            <w:shd w:val="clear" w:color="auto" w:fill="auto"/>
          </w:tcPr>
          <w:p w14:paraId="1BCA50E8" w14:textId="6B49FC67" w:rsidR="00FE517A" w:rsidRPr="00107C19" w:rsidRDefault="00FE517A" w:rsidP="00FE517A">
            <w:pPr>
              <w:pStyle w:val="TableText"/>
              <w:jc w:val="center"/>
              <w:rPr>
                <w:rFonts w:cstheme="minorHAnsi"/>
                <w:color w:val="000000" w:themeColor="text1"/>
                <w:sz w:val="22"/>
                <w:szCs w:val="22"/>
              </w:rPr>
            </w:pPr>
            <w:r w:rsidRPr="00C9702D">
              <w:t>0</w:t>
            </w:r>
          </w:p>
        </w:tc>
        <w:tc>
          <w:tcPr>
            <w:tcW w:w="1350" w:type="dxa"/>
            <w:tcBorders>
              <w:top w:val="single" w:sz="4" w:space="0" w:color="auto"/>
              <w:left w:val="nil"/>
              <w:bottom w:val="single" w:sz="4" w:space="0" w:color="auto"/>
              <w:right w:val="single" w:sz="4" w:space="0" w:color="auto"/>
            </w:tcBorders>
            <w:shd w:val="clear" w:color="auto" w:fill="auto"/>
          </w:tcPr>
          <w:p w14:paraId="3B8E99E4" w14:textId="07E2F051" w:rsidR="00FE517A" w:rsidRPr="00107C19" w:rsidRDefault="00FE517A" w:rsidP="00FE517A">
            <w:pPr>
              <w:pStyle w:val="TableText"/>
              <w:jc w:val="center"/>
              <w:rPr>
                <w:rFonts w:cstheme="minorHAnsi"/>
                <w:color w:val="000000" w:themeColor="text1"/>
                <w:sz w:val="22"/>
                <w:szCs w:val="22"/>
              </w:rPr>
            </w:pPr>
            <w:r w:rsidRPr="00C9702D">
              <w:t>0</w:t>
            </w:r>
          </w:p>
        </w:tc>
        <w:tc>
          <w:tcPr>
            <w:tcW w:w="1440" w:type="dxa"/>
            <w:tcBorders>
              <w:top w:val="single" w:sz="4" w:space="0" w:color="auto"/>
              <w:left w:val="nil"/>
              <w:bottom w:val="single" w:sz="4" w:space="0" w:color="auto"/>
              <w:right w:val="single" w:sz="4" w:space="0" w:color="auto"/>
            </w:tcBorders>
            <w:shd w:val="clear" w:color="auto" w:fill="auto"/>
          </w:tcPr>
          <w:p w14:paraId="68B28FD9" w14:textId="6DC24FD3" w:rsidR="00FE517A" w:rsidRPr="00107C19" w:rsidRDefault="00FE517A" w:rsidP="00FE517A">
            <w:pPr>
              <w:pStyle w:val="TableText"/>
              <w:jc w:val="center"/>
              <w:rPr>
                <w:rFonts w:cstheme="minorHAnsi"/>
                <w:color w:val="000000" w:themeColor="text1"/>
                <w:sz w:val="22"/>
                <w:szCs w:val="22"/>
              </w:rPr>
            </w:pPr>
            <w:r w:rsidRPr="00C9702D">
              <w:t>0</w:t>
            </w:r>
          </w:p>
        </w:tc>
        <w:tc>
          <w:tcPr>
            <w:tcW w:w="1345" w:type="dxa"/>
            <w:tcBorders>
              <w:top w:val="single" w:sz="4" w:space="0" w:color="auto"/>
              <w:left w:val="nil"/>
              <w:bottom w:val="single" w:sz="4" w:space="0" w:color="auto"/>
              <w:right w:val="single" w:sz="4" w:space="0" w:color="auto"/>
            </w:tcBorders>
            <w:shd w:val="clear" w:color="auto" w:fill="auto"/>
            <w:vAlign w:val="center"/>
          </w:tcPr>
          <w:p w14:paraId="254577BD" w14:textId="4B553E0A" w:rsidR="00FE517A" w:rsidRPr="00144589" w:rsidRDefault="00144589" w:rsidP="00FE517A">
            <w:pPr>
              <w:pStyle w:val="TableText"/>
              <w:jc w:val="center"/>
              <w:rPr>
                <w:rFonts w:cstheme="minorHAnsi"/>
                <w:color w:val="000000" w:themeColor="text1"/>
                <w:szCs w:val="24"/>
              </w:rPr>
            </w:pPr>
            <w:r w:rsidRPr="00144589">
              <w:rPr>
                <w:rFonts w:cstheme="minorHAnsi"/>
                <w:color w:val="000000" w:themeColor="text1"/>
                <w:szCs w:val="24"/>
              </w:rPr>
              <w:t>0</w:t>
            </w:r>
          </w:p>
        </w:tc>
      </w:tr>
    </w:tbl>
    <w:p w14:paraId="659BC960" w14:textId="77777777" w:rsidR="00A91749" w:rsidRPr="00107C19" w:rsidRDefault="00A91749" w:rsidP="00C062E6">
      <w:pPr>
        <w:pStyle w:val="TableText"/>
        <w:framePr w:w="13040" w:wrap="auto" w:vAnchor="page" w:hAnchor="page" w:x="1" w:y="1"/>
        <w:rPr>
          <w:rFonts w:cstheme="minorHAnsi"/>
          <w:color w:val="000000" w:themeColor="text1"/>
        </w:rPr>
      </w:pPr>
    </w:p>
    <w:p w14:paraId="6EBFB783" w14:textId="449FEB01" w:rsidR="00144589" w:rsidRDefault="00A91749" w:rsidP="00CD6994">
      <w:pPr>
        <w:pStyle w:val="TableText"/>
        <w:rPr>
          <w:rFonts w:cstheme="minorHAnsi"/>
          <w:color w:val="000000" w:themeColor="text1"/>
        </w:rPr>
      </w:pPr>
      <w:bookmarkStart w:id="7" w:name="_Hlk168382188"/>
      <w:r w:rsidRPr="00144589">
        <w:rPr>
          <w:rFonts w:cstheme="minorHAnsi"/>
          <w:color w:val="000000" w:themeColor="text1"/>
          <w:vertAlign w:val="superscript"/>
        </w:rPr>
        <w:t>1</w:t>
      </w:r>
      <w:r w:rsidR="00144589">
        <w:rPr>
          <w:rFonts w:cstheme="minorHAnsi"/>
          <w:color w:val="000000" w:themeColor="text1"/>
        </w:rPr>
        <w:t>N</w:t>
      </w:r>
      <w:r w:rsidR="00CD6994" w:rsidRPr="00144589">
        <w:rPr>
          <w:rFonts w:cstheme="minorHAnsi"/>
          <w:color w:val="000000" w:themeColor="text1"/>
        </w:rPr>
        <w:t>ot r</w:t>
      </w:r>
      <w:r w:rsidR="00144589">
        <w:rPr>
          <w:rFonts w:cstheme="minorHAnsi"/>
          <w:color w:val="000000" w:themeColor="text1"/>
        </w:rPr>
        <w:t>e</w:t>
      </w:r>
      <w:r w:rsidR="00CD6994" w:rsidRPr="00144589">
        <w:rPr>
          <w:rFonts w:cstheme="minorHAnsi"/>
          <w:color w:val="000000" w:themeColor="text1"/>
        </w:rPr>
        <w:t>p</w:t>
      </w:r>
      <w:r w:rsidR="00144589">
        <w:rPr>
          <w:rFonts w:cstheme="minorHAnsi"/>
          <w:color w:val="000000" w:themeColor="text1"/>
        </w:rPr>
        <w:t xml:space="preserve">orted </w:t>
      </w:r>
      <w:r w:rsidR="00CD6994" w:rsidRPr="00144589">
        <w:rPr>
          <w:rFonts w:cstheme="minorHAnsi"/>
          <w:color w:val="000000" w:themeColor="text1"/>
        </w:rPr>
        <w:t xml:space="preserve">for </w:t>
      </w:r>
      <w:r w:rsidR="00144589">
        <w:rPr>
          <w:rFonts w:cstheme="minorHAnsi"/>
          <w:color w:val="000000" w:themeColor="text1"/>
        </w:rPr>
        <w:t>the Forest Service</w:t>
      </w:r>
      <w:bookmarkEnd w:id="7"/>
    </w:p>
    <w:p w14:paraId="24895B0B" w14:textId="05591D52" w:rsidR="00A91749" w:rsidRPr="00107C19" w:rsidRDefault="00144589" w:rsidP="00CD6994">
      <w:pPr>
        <w:pStyle w:val="TableText"/>
        <w:rPr>
          <w:rFonts w:cstheme="minorHAnsi"/>
          <w:color w:val="000000" w:themeColor="text1"/>
        </w:rPr>
      </w:pPr>
      <w:r w:rsidRPr="00144589">
        <w:rPr>
          <w:rFonts w:cstheme="minorHAnsi"/>
          <w:color w:val="000000" w:themeColor="text1"/>
          <w:vertAlign w:val="superscript"/>
        </w:rPr>
        <w:t>2</w:t>
      </w:r>
      <w:r w:rsidR="00A91749" w:rsidRPr="00107C19">
        <w:rPr>
          <w:rFonts w:cstheme="minorHAnsi"/>
          <w:color w:val="000000" w:themeColor="text1"/>
        </w:rPr>
        <w:t xml:space="preserve">Only reported for </w:t>
      </w:r>
      <w:r>
        <w:rPr>
          <w:rFonts w:cstheme="minorHAnsi"/>
          <w:color w:val="000000" w:themeColor="text1"/>
        </w:rPr>
        <w:t xml:space="preserve">the </w:t>
      </w:r>
      <w:r w:rsidR="00A91749" w:rsidRPr="00107C19">
        <w:rPr>
          <w:rFonts w:cstheme="minorHAnsi"/>
          <w:color w:val="000000" w:themeColor="text1"/>
        </w:rPr>
        <w:t>A</w:t>
      </w:r>
      <w:r>
        <w:rPr>
          <w:rFonts w:cstheme="minorHAnsi"/>
          <w:color w:val="000000" w:themeColor="text1"/>
        </w:rPr>
        <w:t>gricultural Research Service</w:t>
      </w:r>
      <w:r w:rsidR="00A91749" w:rsidRPr="00107C19">
        <w:rPr>
          <w:rFonts w:cstheme="minorHAnsi"/>
          <w:color w:val="000000" w:themeColor="text1"/>
        </w:rPr>
        <w:t>.</w:t>
      </w:r>
    </w:p>
    <w:p w14:paraId="07210EF2" w14:textId="586FE4D4" w:rsidR="00634072" w:rsidRPr="00107C19" w:rsidRDefault="00144589" w:rsidP="00167C9D">
      <w:pPr>
        <w:pStyle w:val="TableText"/>
        <w:rPr>
          <w:rFonts w:cstheme="minorHAnsi"/>
          <w:color w:val="000000" w:themeColor="text1"/>
        </w:rPr>
      </w:pPr>
      <w:r w:rsidRPr="00144589">
        <w:rPr>
          <w:rFonts w:cstheme="minorHAnsi"/>
          <w:color w:val="000000" w:themeColor="text1"/>
          <w:vertAlign w:val="superscript"/>
        </w:rPr>
        <w:t>3</w:t>
      </w:r>
      <w:r w:rsidR="00634072" w:rsidRPr="00107C19">
        <w:rPr>
          <w:rFonts w:cstheme="minorHAnsi"/>
          <w:color w:val="000000" w:themeColor="text1"/>
        </w:rPr>
        <w:t>Funds are from previous year’s revenue</w:t>
      </w:r>
    </w:p>
    <w:p w14:paraId="6AA41ACA" w14:textId="77777777" w:rsidR="001D3008" w:rsidRPr="00107C19" w:rsidRDefault="001D3008" w:rsidP="001D3008">
      <w:pPr>
        <w:pStyle w:val="TableHeading"/>
        <w:rPr>
          <w:color w:val="000000" w:themeColor="text1"/>
        </w:rPr>
      </w:pPr>
    </w:p>
    <w:p w14:paraId="10A5E4A3" w14:textId="7E06EC4C" w:rsidR="007C4029" w:rsidRPr="00107C19" w:rsidRDefault="00D66538" w:rsidP="001D3008">
      <w:pPr>
        <w:pStyle w:val="TableHeading"/>
        <w:rPr>
          <w:color w:val="000000" w:themeColor="text1"/>
        </w:rPr>
      </w:pPr>
      <w:r w:rsidRPr="00107C19">
        <w:rPr>
          <w:color w:val="000000" w:themeColor="text1"/>
        </w:rPr>
        <w:t>Table 3. Cooperative Research and Development Agreements (CRADA), Material Transfer Research Agreements (MTRAs), and other research collaborations. CRADA are from Agricultural Research Service, Animal and Plant Health Inspection Service, Forest Service, and Agricultural Marketing Service</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1552"/>
        <w:gridCol w:w="1260"/>
        <w:gridCol w:w="1350"/>
        <w:gridCol w:w="1260"/>
        <w:gridCol w:w="1440"/>
      </w:tblGrid>
      <w:tr w:rsidR="00FE517A" w:rsidRPr="00107C19" w14:paraId="2602DCFE" w14:textId="1E87554E" w:rsidTr="001D7E0C">
        <w:trPr>
          <w:trHeight w:val="350"/>
          <w:jc w:val="center"/>
        </w:trPr>
        <w:tc>
          <w:tcPr>
            <w:tcW w:w="3218" w:type="dxa"/>
            <w:tcBorders>
              <w:top w:val="single" w:sz="4" w:space="0" w:color="auto"/>
            </w:tcBorders>
            <w:shd w:val="clear" w:color="auto" w:fill="D9D9D9" w:themeFill="background1" w:themeFillShade="D9"/>
            <w:vAlign w:val="center"/>
            <w:hideMark/>
          </w:tcPr>
          <w:p w14:paraId="6415E82E" w14:textId="6EB17931" w:rsidR="00FE517A" w:rsidRPr="00107C19" w:rsidRDefault="00FE517A" w:rsidP="00FE517A">
            <w:pPr>
              <w:pStyle w:val="TableHeading"/>
              <w:rPr>
                <w:color w:val="000000" w:themeColor="text1"/>
              </w:rPr>
            </w:pPr>
            <w:r w:rsidRPr="00107C19">
              <w:rPr>
                <w:color w:val="000000" w:themeColor="text1"/>
              </w:rPr>
              <w:t xml:space="preserve">Agreements </w:t>
            </w:r>
          </w:p>
        </w:tc>
        <w:tc>
          <w:tcPr>
            <w:tcW w:w="1552" w:type="dxa"/>
            <w:tcBorders>
              <w:top w:val="single" w:sz="4" w:space="0" w:color="auto"/>
            </w:tcBorders>
            <w:shd w:val="clear" w:color="auto" w:fill="D9D9D9" w:themeFill="background1" w:themeFillShade="D9"/>
            <w:noWrap/>
            <w:hideMark/>
          </w:tcPr>
          <w:p w14:paraId="39C657D8" w14:textId="42876328" w:rsidR="00FE517A" w:rsidRPr="00107C19" w:rsidRDefault="00FE517A" w:rsidP="00AA3AA9">
            <w:pPr>
              <w:pStyle w:val="TableHeading"/>
              <w:jc w:val="center"/>
              <w:rPr>
                <w:color w:val="000000" w:themeColor="text1"/>
              </w:rPr>
            </w:pPr>
            <w:r w:rsidRPr="002020B3">
              <w:t>2019</w:t>
            </w:r>
          </w:p>
        </w:tc>
        <w:tc>
          <w:tcPr>
            <w:tcW w:w="1260" w:type="dxa"/>
            <w:tcBorders>
              <w:top w:val="single" w:sz="4" w:space="0" w:color="auto"/>
            </w:tcBorders>
            <w:shd w:val="clear" w:color="auto" w:fill="D9D9D9" w:themeFill="background1" w:themeFillShade="D9"/>
          </w:tcPr>
          <w:p w14:paraId="0924BEEE" w14:textId="4B4A56F7" w:rsidR="00FE517A" w:rsidRPr="00107C19" w:rsidRDefault="00FE517A" w:rsidP="00AA3AA9">
            <w:pPr>
              <w:pStyle w:val="TableHeading"/>
              <w:jc w:val="center"/>
              <w:rPr>
                <w:color w:val="000000" w:themeColor="text1"/>
              </w:rPr>
            </w:pPr>
            <w:r w:rsidRPr="002020B3">
              <w:t>2020</w:t>
            </w:r>
          </w:p>
        </w:tc>
        <w:tc>
          <w:tcPr>
            <w:tcW w:w="1350" w:type="dxa"/>
            <w:tcBorders>
              <w:top w:val="single" w:sz="4" w:space="0" w:color="auto"/>
            </w:tcBorders>
            <w:shd w:val="clear" w:color="auto" w:fill="D9D9D9" w:themeFill="background1" w:themeFillShade="D9"/>
          </w:tcPr>
          <w:p w14:paraId="61BD728C" w14:textId="0ECC407A" w:rsidR="00FE517A" w:rsidRPr="00107C19" w:rsidRDefault="00FE517A" w:rsidP="00AA3AA9">
            <w:pPr>
              <w:pStyle w:val="TableHeading"/>
              <w:jc w:val="center"/>
              <w:rPr>
                <w:color w:val="000000" w:themeColor="text1"/>
              </w:rPr>
            </w:pPr>
            <w:r w:rsidRPr="002020B3">
              <w:t>2021</w:t>
            </w:r>
          </w:p>
        </w:tc>
        <w:tc>
          <w:tcPr>
            <w:tcW w:w="1260" w:type="dxa"/>
            <w:tcBorders>
              <w:top w:val="single" w:sz="4" w:space="0" w:color="auto"/>
            </w:tcBorders>
            <w:shd w:val="clear" w:color="auto" w:fill="D9D9D9" w:themeFill="background1" w:themeFillShade="D9"/>
          </w:tcPr>
          <w:p w14:paraId="3BE046A4" w14:textId="3A80396F" w:rsidR="00FE517A" w:rsidRPr="00107C19" w:rsidRDefault="00FE517A" w:rsidP="00AA3AA9">
            <w:pPr>
              <w:pStyle w:val="TableHeading"/>
              <w:jc w:val="center"/>
              <w:rPr>
                <w:color w:val="000000" w:themeColor="text1"/>
              </w:rPr>
            </w:pPr>
            <w:r w:rsidRPr="002020B3">
              <w:t>2022</w:t>
            </w:r>
          </w:p>
        </w:tc>
        <w:tc>
          <w:tcPr>
            <w:tcW w:w="1440" w:type="dxa"/>
            <w:tcBorders>
              <w:top w:val="single" w:sz="4" w:space="0" w:color="auto"/>
            </w:tcBorders>
            <w:shd w:val="clear" w:color="auto" w:fill="D9D9D9" w:themeFill="background1" w:themeFillShade="D9"/>
            <w:vAlign w:val="center"/>
          </w:tcPr>
          <w:p w14:paraId="48E05A3E" w14:textId="25F6A324" w:rsidR="00FE517A" w:rsidRPr="00107C19" w:rsidRDefault="00FE517A" w:rsidP="00FE517A">
            <w:pPr>
              <w:pStyle w:val="TableHeading"/>
              <w:rPr>
                <w:color w:val="000000" w:themeColor="text1"/>
              </w:rPr>
            </w:pPr>
          </w:p>
        </w:tc>
      </w:tr>
      <w:tr w:rsidR="00FE517A" w:rsidRPr="00107C19" w14:paraId="40937C95" w14:textId="1D15328E" w:rsidTr="001D7E0C">
        <w:trPr>
          <w:trHeight w:val="184"/>
          <w:jc w:val="center"/>
        </w:trPr>
        <w:tc>
          <w:tcPr>
            <w:tcW w:w="3218" w:type="dxa"/>
            <w:shd w:val="clear" w:color="auto" w:fill="auto"/>
            <w:vAlign w:val="center"/>
            <w:hideMark/>
          </w:tcPr>
          <w:p w14:paraId="7BCAE478" w14:textId="5198BA44" w:rsidR="00FE517A" w:rsidRPr="00107C19" w:rsidRDefault="00FE517A" w:rsidP="00FE517A">
            <w:pPr>
              <w:pStyle w:val="TableText"/>
              <w:rPr>
                <w:rFonts w:cstheme="minorHAnsi"/>
                <w:color w:val="000000" w:themeColor="text1"/>
              </w:rPr>
            </w:pPr>
            <w:r w:rsidRPr="00107C19">
              <w:rPr>
                <w:rFonts w:cstheme="minorHAnsi"/>
                <w:color w:val="000000" w:themeColor="text1"/>
              </w:rPr>
              <w:t>Active CRADAs</w:t>
            </w:r>
            <w:r w:rsidRPr="00107C19">
              <w:rPr>
                <w:rFonts w:cstheme="minorHAnsi"/>
                <w:color w:val="000000" w:themeColor="text1"/>
                <w:vertAlign w:val="superscript"/>
              </w:rPr>
              <w:t>1</w:t>
            </w:r>
          </w:p>
        </w:tc>
        <w:tc>
          <w:tcPr>
            <w:tcW w:w="1552" w:type="dxa"/>
            <w:shd w:val="clear" w:color="auto" w:fill="auto"/>
            <w:noWrap/>
          </w:tcPr>
          <w:p w14:paraId="25D427EE" w14:textId="74912E53" w:rsidR="00FE517A" w:rsidRPr="00107C19" w:rsidRDefault="00FE517A" w:rsidP="00AA3AA9">
            <w:pPr>
              <w:pStyle w:val="TableText"/>
              <w:jc w:val="center"/>
              <w:rPr>
                <w:rFonts w:cstheme="minorHAnsi"/>
                <w:color w:val="000000" w:themeColor="text1"/>
              </w:rPr>
            </w:pPr>
            <w:r w:rsidRPr="002020B3">
              <w:t>260</w:t>
            </w:r>
          </w:p>
        </w:tc>
        <w:tc>
          <w:tcPr>
            <w:tcW w:w="1260" w:type="dxa"/>
          </w:tcPr>
          <w:p w14:paraId="570C9659" w14:textId="3EDA5A9A" w:rsidR="00FE517A" w:rsidRPr="00107C19" w:rsidRDefault="00FE517A" w:rsidP="00AA3AA9">
            <w:pPr>
              <w:pStyle w:val="TableText"/>
              <w:jc w:val="center"/>
              <w:rPr>
                <w:rFonts w:cstheme="minorHAnsi"/>
                <w:color w:val="000000" w:themeColor="text1"/>
              </w:rPr>
            </w:pPr>
            <w:r w:rsidRPr="002020B3">
              <w:t>221</w:t>
            </w:r>
          </w:p>
        </w:tc>
        <w:tc>
          <w:tcPr>
            <w:tcW w:w="1350" w:type="dxa"/>
          </w:tcPr>
          <w:p w14:paraId="18F0B9B6" w14:textId="7FE9E36B" w:rsidR="00FE517A" w:rsidRPr="00107C19" w:rsidRDefault="00FE517A" w:rsidP="00AA3AA9">
            <w:pPr>
              <w:pStyle w:val="TableText"/>
              <w:jc w:val="center"/>
              <w:rPr>
                <w:rFonts w:cstheme="minorHAnsi"/>
                <w:color w:val="000000" w:themeColor="text1"/>
              </w:rPr>
            </w:pPr>
            <w:r w:rsidRPr="002020B3">
              <w:t>377</w:t>
            </w:r>
          </w:p>
        </w:tc>
        <w:tc>
          <w:tcPr>
            <w:tcW w:w="1260" w:type="dxa"/>
          </w:tcPr>
          <w:p w14:paraId="66114BBD" w14:textId="3E09552E" w:rsidR="00FE517A" w:rsidRPr="00107C19" w:rsidRDefault="00FE517A" w:rsidP="00AA3AA9">
            <w:pPr>
              <w:pStyle w:val="TableText"/>
              <w:jc w:val="center"/>
              <w:rPr>
                <w:rFonts w:cstheme="minorHAnsi"/>
                <w:color w:val="000000" w:themeColor="text1"/>
              </w:rPr>
            </w:pPr>
            <w:r w:rsidRPr="002020B3">
              <w:t>178</w:t>
            </w:r>
          </w:p>
        </w:tc>
        <w:tc>
          <w:tcPr>
            <w:tcW w:w="1440" w:type="dxa"/>
          </w:tcPr>
          <w:p w14:paraId="5141254A" w14:textId="2097E99D" w:rsidR="00FE517A" w:rsidRPr="00107C19" w:rsidRDefault="00B40DAA" w:rsidP="00FE517A">
            <w:pPr>
              <w:pStyle w:val="TableText"/>
              <w:jc w:val="center"/>
              <w:rPr>
                <w:rFonts w:cstheme="minorHAnsi"/>
                <w:color w:val="000000" w:themeColor="text1"/>
              </w:rPr>
            </w:pPr>
            <w:r>
              <w:rPr>
                <w:rFonts w:cstheme="minorHAnsi"/>
                <w:color w:val="000000" w:themeColor="text1"/>
              </w:rPr>
              <w:t>142</w:t>
            </w:r>
          </w:p>
        </w:tc>
      </w:tr>
      <w:tr w:rsidR="00FE517A" w:rsidRPr="00107C19" w14:paraId="44CB58BE" w14:textId="65ED61F4" w:rsidTr="001D7E0C">
        <w:trPr>
          <w:trHeight w:val="184"/>
          <w:jc w:val="center"/>
        </w:trPr>
        <w:tc>
          <w:tcPr>
            <w:tcW w:w="3218" w:type="dxa"/>
            <w:shd w:val="clear" w:color="auto" w:fill="auto"/>
            <w:vAlign w:val="center"/>
          </w:tcPr>
          <w:p w14:paraId="751F41AF"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Newly executed CRADAs</w:t>
            </w:r>
          </w:p>
        </w:tc>
        <w:tc>
          <w:tcPr>
            <w:tcW w:w="1552" w:type="dxa"/>
            <w:shd w:val="clear" w:color="auto" w:fill="auto"/>
            <w:noWrap/>
          </w:tcPr>
          <w:p w14:paraId="4F81C368" w14:textId="6587FF85" w:rsidR="00FE517A" w:rsidRPr="00107C19" w:rsidRDefault="00FE517A" w:rsidP="00AA3AA9">
            <w:pPr>
              <w:pStyle w:val="TableText"/>
              <w:jc w:val="center"/>
              <w:rPr>
                <w:rFonts w:cstheme="minorHAnsi"/>
                <w:color w:val="000000" w:themeColor="text1"/>
              </w:rPr>
            </w:pPr>
            <w:r w:rsidRPr="002020B3">
              <w:t>95</w:t>
            </w:r>
          </w:p>
        </w:tc>
        <w:tc>
          <w:tcPr>
            <w:tcW w:w="1260" w:type="dxa"/>
          </w:tcPr>
          <w:p w14:paraId="40324233" w14:textId="3608B46F" w:rsidR="00FE517A" w:rsidRPr="00107C19" w:rsidRDefault="00FE517A" w:rsidP="00AA3AA9">
            <w:pPr>
              <w:pStyle w:val="TableText"/>
              <w:jc w:val="center"/>
              <w:rPr>
                <w:rFonts w:cstheme="minorHAnsi"/>
                <w:color w:val="000000" w:themeColor="text1"/>
              </w:rPr>
            </w:pPr>
            <w:r w:rsidRPr="002020B3">
              <w:t>84</w:t>
            </w:r>
          </w:p>
        </w:tc>
        <w:tc>
          <w:tcPr>
            <w:tcW w:w="1350" w:type="dxa"/>
          </w:tcPr>
          <w:p w14:paraId="63227B10" w14:textId="797D6D5A" w:rsidR="00FE517A" w:rsidRPr="00107C19" w:rsidRDefault="00FE517A" w:rsidP="00AA3AA9">
            <w:pPr>
              <w:pStyle w:val="TableText"/>
              <w:jc w:val="center"/>
              <w:rPr>
                <w:rFonts w:cstheme="minorHAnsi"/>
                <w:color w:val="000000" w:themeColor="text1"/>
              </w:rPr>
            </w:pPr>
            <w:r w:rsidRPr="002020B3">
              <w:t>79</w:t>
            </w:r>
          </w:p>
        </w:tc>
        <w:tc>
          <w:tcPr>
            <w:tcW w:w="1260" w:type="dxa"/>
          </w:tcPr>
          <w:p w14:paraId="3CD7FB2A" w14:textId="300AA2D2" w:rsidR="00FE517A" w:rsidRPr="00107C19" w:rsidRDefault="00FE517A" w:rsidP="00AA3AA9">
            <w:pPr>
              <w:pStyle w:val="TableText"/>
              <w:jc w:val="center"/>
              <w:rPr>
                <w:rFonts w:cstheme="minorHAnsi"/>
                <w:color w:val="000000" w:themeColor="text1"/>
              </w:rPr>
            </w:pPr>
            <w:r w:rsidRPr="002020B3">
              <w:t>58</w:t>
            </w:r>
          </w:p>
        </w:tc>
        <w:tc>
          <w:tcPr>
            <w:tcW w:w="1440" w:type="dxa"/>
          </w:tcPr>
          <w:p w14:paraId="5ED3B544" w14:textId="43B84FC8" w:rsidR="00FE517A" w:rsidRPr="00107C19" w:rsidRDefault="005424E4" w:rsidP="00FE517A">
            <w:pPr>
              <w:pStyle w:val="TableText"/>
              <w:jc w:val="center"/>
              <w:rPr>
                <w:rFonts w:cstheme="minorHAnsi"/>
                <w:color w:val="000000" w:themeColor="text1"/>
              </w:rPr>
            </w:pPr>
            <w:r>
              <w:rPr>
                <w:rFonts w:cstheme="minorHAnsi"/>
                <w:color w:val="000000" w:themeColor="text1"/>
              </w:rPr>
              <w:t>63</w:t>
            </w:r>
          </w:p>
        </w:tc>
      </w:tr>
      <w:tr w:rsidR="00FE517A" w:rsidRPr="00107C19" w14:paraId="78DDABB0" w14:textId="38623E63" w:rsidTr="001D7E0C">
        <w:trPr>
          <w:trHeight w:val="184"/>
          <w:jc w:val="center"/>
        </w:trPr>
        <w:tc>
          <w:tcPr>
            <w:tcW w:w="3218" w:type="dxa"/>
            <w:shd w:val="clear" w:color="auto" w:fill="auto"/>
            <w:vAlign w:val="center"/>
          </w:tcPr>
          <w:p w14:paraId="48184CBC" w14:textId="77777777" w:rsidR="00FE517A" w:rsidRPr="00107C19" w:rsidRDefault="00FE517A" w:rsidP="00FE517A">
            <w:pPr>
              <w:pStyle w:val="TableText"/>
              <w:rPr>
                <w:rFonts w:cstheme="minorHAnsi"/>
                <w:color w:val="000000" w:themeColor="text1"/>
              </w:rPr>
            </w:pPr>
            <w:r w:rsidRPr="00107C19">
              <w:rPr>
                <w:rFonts w:cstheme="minorHAnsi"/>
                <w:color w:val="000000" w:themeColor="text1"/>
              </w:rPr>
              <w:t>Active CRADAs with small businesses</w:t>
            </w:r>
            <w:r w:rsidRPr="00107C19">
              <w:rPr>
                <w:rFonts w:cstheme="minorHAnsi"/>
                <w:color w:val="000000" w:themeColor="text1"/>
                <w:vertAlign w:val="superscript"/>
              </w:rPr>
              <w:t>1</w:t>
            </w:r>
            <w:r w:rsidRPr="00107C19">
              <w:rPr>
                <w:rFonts w:cstheme="minorHAnsi"/>
                <w:color w:val="000000" w:themeColor="text1"/>
              </w:rPr>
              <w:t xml:space="preserve"> </w:t>
            </w:r>
          </w:p>
        </w:tc>
        <w:tc>
          <w:tcPr>
            <w:tcW w:w="1552" w:type="dxa"/>
            <w:shd w:val="clear" w:color="auto" w:fill="auto"/>
            <w:noWrap/>
          </w:tcPr>
          <w:p w14:paraId="50EFD4A9" w14:textId="7C4DF68C" w:rsidR="00FE517A" w:rsidRPr="00107C19" w:rsidRDefault="00FE517A" w:rsidP="00AA3AA9">
            <w:pPr>
              <w:pStyle w:val="TableText"/>
              <w:jc w:val="center"/>
              <w:rPr>
                <w:rFonts w:cstheme="minorHAnsi"/>
                <w:color w:val="000000" w:themeColor="text1"/>
              </w:rPr>
            </w:pPr>
            <w:r w:rsidRPr="002020B3">
              <w:t>120</w:t>
            </w:r>
          </w:p>
        </w:tc>
        <w:tc>
          <w:tcPr>
            <w:tcW w:w="1260" w:type="dxa"/>
          </w:tcPr>
          <w:p w14:paraId="1BBE2EFD" w14:textId="33806C5B" w:rsidR="00FE517A" w:rsidRPr="00107C19" w:rsidRDefault="00FE517A" w:rsidP="00AA3AA9">
            <w:pPr>
              <w:pStyle w:val="TableText"/>
              <w:jc w:val="center"/>
              <w:rPr>
                <w:rFonts w:cstheme="minorHAnsi"/>
                <w:color w:val="000000" w:themeColor="text1"/>
              </w:rPr>
            </w:pPr>
            <w:r w:rsidRPr="002020B3">
              <w:t>64</w:t>
            </w:r>
          </w:p>
        </w:tc>
        <w:tc>
          <w:tcPr>
            <w:tcW w:w="1350" w:type="dxa"/>
          </w:tcPr>
          <w:p w14:paraId="6A1D6059" w14:textId="3517C91E" w:rsidR="00FE517A" w:rsidRPr="00107C19" w:rsidRDefault="00FE517A" w:rsidP="00AA3AA9">
            <w:pPr>
              <w:pStyle w:val="TableText"/>
              <w:jc w:val="center"/>
              <w:rPr>
                <w:rFonts w:cstheme="minorHAnsi"/>
                <w:color w:val="000000" w:themeColor="text1"/>
              </w:rPr>
            </w:pPr>
            <w:r w:rsidRPr="002020B3">
              <w:t>24</w:t>
            </w:r>
          </w:p>
        </w:tc>
        <w:tc>
          <w:tcPr>
            <w:tcW w:w="1260" w:type="dxa"/>
          </w:tcPr>
          <w:p w14:paraId="04061844" w14:textId="36F46BB9" w:rsidR="00FE517A" w:rsidRPr="00107C19" w:rsidRDefault="00FE517A" w:rsidP="00AA3AA9">
            <w:pPr>
              <w:pStyle w:val="TableText"/>
              <w:jc w:val="center"/>
              <w:rPr>
                <w:rFonts w:cstheme="minorHAnsi"/>
                <w:color w:val="000000" w:themeColor="text1"/>
              </w:rPr>
            </w:pPr>
            <w:r w:rsidRPr="002020B3">
              <w:t>31</w:t>
            </w:r>
          </w:p>
        </w:tc>
        <w:tc>
          <w:tcPr>
            <w:tcW w:w="1440" w:type="dxa"/>
            <w:vAlign w:val="center"/>
          </w:tcPr>
          <w:p w14:paraId="2C0032E2" w14:textId="7C1CBAFE" w:rsidR="00FE517A" w:rsidRPr="00107C19" w:rsidRDefault="00B40DAA" w:rsidP="00FE517A">
            <w:pPr>
              <w:pStyle w:val="TableText"/>
              <w:jc w:val="center"/>
              <w:rPr>
                <w:rFonts w:cstheme="minorHAnsi"/>
                <w:color w:val="000000" w:themeColor="text1"/>
              </w:rPr>
            </w:pPr>
            <w:r>
              <w:rPr>
                <w:rFonts w:cstheme="minorHAnsi"/>
                <w:color w:val="000000" w:themeColor="text1"/>
              </w:rPr>
              <w:t>29</w:t>
            </w:r>
          </w:p>
        </w:tc>
      </w:tr>
      <w:tr w:rsidR="00FE517A" w:rsidRPr="00107C19" w14:paraId="20506CBE" w14:textId="5C6100B7" w:rsidTr="001D7E0C">
        <w:trPr>
          <w:trHeight w:val="184"/>
          <w:jc w:val="center"/>
        </w:trPr>
        <w:tc>
          <w:tcPr>
            <w:tcW w:w="3218" w:type="dxa"/>
            <w:shd w:val="clear" w:color="auto" w:fill="auto"/>
            <w:vAlign w:val="center"/>
          </w:tcPr>
          <w:p w14:paraId="6B10679C" w14:textId="429C886A" w:rsidR="00FE517A" w:rsidRPr="00107C19" w:rsidRDefault="00FE517A" w:rsidP="00FE517A">
            <w:pPr>
              <w:pStyle w:val="TableText"/>
              <w:rPr>
                <w:rFonts w:cstheme="minorHAnsi"/>
                <w:color w:val="000000" w:themeColor="text1"/>
              </w:rPr>
            </w:pPr>
            <w:r w:rsidRPr="00107C19">
              <w:rPr>
                <w:rFonts w:cstheme="minorHAnsi"/>
                <w:color w:val="000000" w:themeColor="text1"/>
              </w:rPr>
              <w:t>New executed CRADAs with small businesses</w:t>
            </w:r>
            <w:r w:rsidRPr="00107C19">
              <w:rPr>
                <w:rFonts w:cstheme="minorHAnsi"/>
                <w:color w:val="000000" w:themeColor="text1"/>
                <w:vertAlign w:val="superscript"/>
              </w:rPr>
              <w:t xml:space="preserve">1 </w:t>
            </w:r>
          </w:p>
        </w:tc>
        <w:tc>
          <w:tcPr>
            <w:tcW w:w="1552" w:type="dxa"/>
            <w:shd w:val="clear" w:color="auto" w:fill="auto"/>
            <w:noWrap/>
          </w:tcPr>
          <w:p w14:paraId="6126F26A" w14:textId="6DDDF882" w:rsidR="00FE517A" w:rsidRPr="00107C19" w:rsidRDefault="00FE517A" w:rsidP="00AA3AA9">
            <w:pPr>
              <w:pStyle w:val="TableText"/>
              <w:jc w:val="center"/>
              <w:rPr>
                <w:rFonts w:cstheme="minorHAnsi"/>
                <w:color w:val="000000" w:themeColor="text1"/>
              </w:rPr>
            </w:pPr>
            <w:r w:rsidRPr="002020B3">
              <w:t>41</w:t>
            </w:r>
          </w:p>
        </w:tc>
        <w:tc>
          <w:tcPr>
            <w:tcW w:w="1260" w:type="dxa"/>
          </w:tcPr>
          <w:p w14:paraId="2E2EC179" w14:textId="741B6E3D" w:rsidR="00FE517A" w:rsidRPr="00107C19" w:rsidRDefault="00FE517A" w:rsidP="00AA3AA9">
            <w:pPr>
              <w:pStyle w:val="TableText"/>
              <w:jc w:val="center"/>
              <w:rPr>
                <w:rFonts w:cstheme="minorHAnsi"/>
                <w:color w:val="000000" w:themeColor="text1"/>
              </w:rPr>
            </w:pPr>
            <w:r w:rsidRPr="002020B3">
              <w:t>21</w:t>
            </w:r>
          </w:p>
        </w:tc>
        <w:tc>
          <w:tcPr>
            <w:tcW w:w="1350" w:type="dxa"/>
          </w:tcPr>
          <w:p w14:paraId="52C10730" w14:textId="361800B9" w:rsidR="00FE517A" w:rsidRPr="00107C19" w:rsidRDefault="00FE517A" w:rsidP="00AA3AA9">
            <w:pPr>
              <w:pStyle w:val="TableText"/>
              <w:jc w:val="center"/>
              <w:rPr>
                <w:rFonts w:cstheme="minorHAnsi"/>
                <w:color w:val="000000" w:themeColor="text1"/>
              </w:rPr>
            </w:pPr>
            <w:r w:rsidRPr="002020B3">
              <w:t>15</w:t>
            </w:r>
          </w:p>
        </w:tc>
        <w:tc>
          <w:tcPr>
            <w:tcW w:w="1260" w:type="dxa"/>
          </w:tcPr>
          <w:p w14:paraId="523D9A2C" w14:textId="3030DCA0" w:rsidR="00FE517A" w:rsidRPr="00107C19" w:rsidRDefault="00FE517A" w:rsidP="00AA3AA9">
            <w:pPr>
              <w:pStyle w:val="TableText"/>
              <w:jc w:val="center"/>
              <w:rPr>
                <w:rFonts w:cstheme="minorHAnsi"/>
                <w:color w:val="000000" w:themeColor="text1"/>
              </w:rPr>
            </w:pPr>
            <w:r w:rsidRPr="002020B3">
              <w:t>19</w:t>
            </w:r>
          </w:p>
        </w:tc>
        <w:tc>
          <w:tcPr>
            <w:tcW w:w="1440" w:type="dxa"/>
          </w:tcPr>
          <w:p w14:paraId="10654E7D" w14:textId="61E2A222" w:rsidR="00FE517A" w:rsidRPr="00107C19" w:rsidRDefault="00B40DAA" w:rsidP="00FE517A">
            <w:pPr>
              <w:pStyle w:val="TableText"/>
              <w:jc w:val="center"/>
              <w:rPr>
                <w:rFonts w:cstheme="minorHAnsi"/>
                <w:color w:val="000000" w:themeColor="text1"/>
              </w:rPr>
            </w:pPr>
            <w:r>
              <w:rPr>
                <w:rFonts w:cstheme="minorHAnsi"/>
                <w:color w:val="000000" w:themeColor="text1"/>
              </w:rPr>
              <w:t>19</w:t>
            </w:r>
          </w:p>
        </w:tc>
      </w:tr>
      <w:tr w:rsidR="00FE517A" w:rsidRPr="00107C19" w14:paraId="39D82088" w14:textId="25319AD9" w:rsidTr="001D7E0C">
        <w:trPr>
          <w:trHeight w:val="184"/>
          <w:jc w:val="center"/>
        </w:trPr>
        <w:tc>
          <w:tcPr>
            <w:tcW w:w="3218" w:type="dxa"/>
            <w:shd w:val="clear" w:color="auto" w:fill="auto"/>
            <w:vAlign w:val="center"/>
          </w:tcPr>
          <w:p w14:paraId="334A8DA3" w14:textId="006C09D1" w:rsidR="00FE517A" w:rsidRPr="00107C19" w:rsidRDefault="00FE517A" w:rsidP="00FE517A">
            <w:pPr>
              <w:pStyle w:val="TableText"/>
              <w:rPr>
                <w:rFonts w:cstheme="minorHAnsi"/>
                <w:color w:val="000000" w:themeColor="text1"/>
              </w:rPr>
            </w:pPr>
            <w:r w:rsidRPr="00107C19">
              <w:rPr>
                <w:rFonts w:cstheme="minorHAnsi"/>
                <w:color w:val="000000" w:themeColor="text1"/>
              </w:rPr>
              <w:t>Active MTRAs</w:t>
            </w:r>
            <w:r w:rsidRPr="00107C19">
              <w:rPr>
                <w:rFonts w:cstheme="minorHAnsi"/>
                <w:color w:val="000000" w:themeColor="text1"/>
                <w:vertAlign w:val="superscript"/>
              </w:rPr>
              <w:t>2</w:t>
            </w:r>
          </w:p>
        </w:tc>
        <w:tc>
          <w:tcPr>
            <w:tcW w:w="1552" w:type="dxa"/>
            <w:shd w:val="clear" w:color="auto" w:fill="auto"/>
            <w:noWrap/>
          </w:tcPr>
          <w:p w14:paraId="02FEE82D" w14:textId="7BB5D803" w:rsidR="00FE517A" w:rsidRPr="00107C19" w:rsidRDefault="00FE517A" w:rsidP="00AA3AA9">
            <w:pPr>
              <w:pStyle w:val="TableText"/>
              <w:jc w:val="center"/>
              <w:rPr>
                <w:rFonts w:cstheme="minorHAnsi"/>
                <w:color w:val="000000" w:themeColor="text1"/>
              </w:rPr>
            </w:pPr>
            <w:r w:rsidRPr="002020B3">
              <w:t>305</w:t>
            </w:r>
          </w:p>
        </w:tc>
        <w:tc>
          <w:tcPr>
            <w:tcW w:w="1260" w:type="dxa"/>
          </w:tcPr>
          <w:p w14:paraId="081DB3AF" w14:textId="765FE408" w:rsidR="00FE517A" w:rsidRPr="00107C19" w:rsidRDefault="00FE517A" w:rsidP="00AA3AA9">
            <w:pPr>
              <w:pStyle w:val="TableText"/>
              <w:jc w:val="center"/>
              <w:rPr>
                <w:rFonts w:cstheme="minorHAnsi"/>
                <w:color w:val="000000" w:themeColor="text1"/>
              </w:rPr>
            </w:pPr>
            <w:r w:rsidRPr="002020B3">
              <w:t>336</w:t>
            </w:r>
          </w:p>
        </w:tc>
        <w:tc>
          <w:tcPr>
            <w:tcW w:w="1350" w:type="dxa"/>
          </w:tcPr>
          <w:p w14:paraId="7682EFEE" w14:textId="5FB7D98A" w:rsidR="00FE517A" w:rsidRPr="00107C19" w:rsidRDefault="00FE517A" w:rsidP="00AA3AA9">
            <w:pPr>
              <w:pStyle w:val="TableText"/>
              <w:jc w:val="center"/>
              <w:rPr>
                <w:rFonts w:cstheme="minorHAnsi"/>
                <w:color w:val="000000" w:themeColor="text1"/>
              </w:rPr>
            </w:pPr>
            <w:r w:rsidRPr="002020B3">
              <w:t>333</w:t>
            </w:r>
          </w:p>
        </w:tc>
        <w:tc>
          <w:tcPr>
            <w:tcW w:w="1260" w:type="dxa"/>
          </w:tcPr>
          <w:p w14:paraId="183B6681" w14:textId="3DF50038" w:rsidR="00FE517A" w:rsidRPr="00107C19" w:rsidRDefault="00FE517A" w:rsidP="00AA3AA9">
            <w:pPr>
              <w:pStyle w:val="TableText"/>
              <w:jc w:val="center"/>
              <w:rPr>
                <w:rFonts w:cstheme="minorHAnsi"/>
                <w:color w:val="000000" w:themeColor="text1"/>
              </w:rPr>
            </w:pPr>
            <w:r w:rsidRPr="002020B3">
              <w:t>374</w:t>
            </w:r>
          </w:p>
        </w:tc>
        <w:tc>
          <w:tcPr>
            <w:tcW w:w="1440" w:type="dxa"/>
          </w:tcPr>
          <w:p w14:paraId="7B0E2D87" w14:textId="75FC48B7" w:rsidR="00FE517A" w:rsidRPr="00107C19" w:rsidRDefault="00B40DAA" w:rsidP="00FE517A">
            <w:pPr>
              <w:pStyle w:val="TableText"/>
              <w:jc w:val="center"/>
              <w:rPr>
                <w:rFonts w:cstheme="minorHAnsi"/>
                <w:color w:val="000000" w:themeColor="text1"/>
              </w:rPr>
            </w:pPr>
            <w:r>
              <w:rPr>
                <w:rFonts w:cstheme="minorHAnsi"/>
                <w:color w:val="000000" w:themeColor="text1"/>
              </w:rPr>
              <w:t>374</w:t>
            </w:r>
          </w:p>
        </w:tc>
      </w:tr>
      <w:tr w:rsidR="00FE517A" w:rsidRPr="00107C19" w14:paraId="426878D3" w14:textId="6F731FBB" w:rsidTr="001D7E0C">
        <w:trPr>
          <w:trHeight w:val="184"/>
          <w:jc w:val="center"/>
        </w:trPr>
        <w:tc>
          <w:tcPr>
            <w:tcW w:w="3218" w:type="dxa"/>
            <w:shd w:val="clear" w:color="auto" w:fill="auto"/>
            <w:vAlign w:val="center"/>
          </w:tcPr>
          <w:p w14:paraId="3364C7B1" w14:textId="482552D3" w:rsidR="00FE517A" w:rsidRPr="00107C19" w:rsidRDefault="00FE517A" w:rsidP="00FE517A">
            <w:pPr>
              <w:pStyle w:val="TableText"/>
              <w:rPr>
                <w:rFonts w:cstheme="minorHAnsi"/>
                <w:color w:val="000000" w:themeColor="text1"/>
              </w:rPr>
            </w:pPr>
            <w:r w:rsidRPr="00107C19">
              <w:rPr>
                <w:rFonts w:cstheme="minorHAnsi"/>
                <w:color w:val="000000" w:themeColor="text1"/>
              </w:rPr>
              <w:t>Newly executed MTRAs</w:t>
            </w:r>
            <w:r w:rsidRPr="00107C19">
              <w:rPr>
                <w:rFonts w:cstheme="minorHAnsi"/>
                <w:color w:val="000000" w:themeColor="text1"/>
                <w:vertAlign w:val="superscript"/>
              </w:rPr>
              <w:t xml:space="preserve">2 </w:t>
            </w:r>
          </w:p>
        </w:tc>
        <w:tc>
          <w:tcPr>
            <w:tcW w:w="1552" w:type="dxa"/>
            <w:shd w:val="clear" w:color="auto" w:fill="auto"/>
            <w:noWrap/>
          </w:tcPr>
          <w:p w14:paraId="07193EE1" w14:textId="1E84CC73" w:rsidR="00FE517A" w:rsidRPr="00107C19" w:rsidRDefault="00FE517A" w:rsidP="00AA3AA9">
            <w:pPr>
              <w:pStyle w:val="TableText"/>
              <w:jc w:val="center"/>
              <w:rPr>
                <w:rFonts w:cstheme="minorHAnsi"/>
                <w:color w:val="000000" w:themeColor="text1"/>
              </w:rPr>
            </w:pPr>
            <w:r w:rsidRPr="002020B3">
              <w:t>113</w:t>
            </w:r>
          </w:p>
        </w:tc>
        <w:tc>
          <w:tcPr>
            <w:tcW w:w="1260" w:type="dxa"/>
          </w:tcPr>
          <w:p w14:paraId="6E8DF6E8" w14:textId="1B958B2F" w:rsidR="00FE517A" w:rsidRPr="00107C19" w:rsidRDefault="00FE517A" w:rsidP="00AA3AA9">
            <w:pPr>
              <w:pStyle w:val="TableText"/>
              <w:jc w:val="center"/>
              <w:rPr>
                <w:rFonts w:cstheme="minorHAnsi"/>
                <w:color w:val="000000" w:themeColor="text1"/>
              </w:rPr>
            </w:pPr>
            <w:r w:rsidRPr="002020B3">
              <w:t>119</w:t>
            </w:r>
          </w:p>
        </w:tc>
        <w:tc>
          <w:tcPr>
            <w:tcW w:w="1350" w:type="dxa"/>
          </w:tcPr>
          <w:p w14:paraId="574612D3" w14:textId="26E6C0BD" w:rsidR="00FE517A" w:rsidRPr="00107C19" w:rsidRDefault="00FE517A" w:rsidP="00AA3AA9">
            <w:pPr>
              <w:pStyle w:val="TableText"/>
              <w:jc w:val="center"/>
              <w:rPr>
                <w:rFonts w:cstheme="minorHAnsi"/>
                <w:color w:val="000000" w:themeColor="text1"/>
              </w:rPr>
            </w:pPr>
            <w:r w:rsidRPr="002020B3">
              <w:t>97</w:t>
            </w:r>
          </w:p>
        </w:tc>
        <w:tc>
          <w:tcPr>
            <w:tcW w:w="1260" w:type="dxa"/>
          </w:tcPr>
          <w:p w14:paraId="364CFBE6" w14:textId="394261F0" w:rsidR="00FE517A" w:rsidRPr="00107C19" w:rsidRDefault="00FE517A" w:rsidP="00AA3AA9">
            <w:pPr>
              <w:pStyle w:val="TableText"/>
              <w:jc w:val="center"/>
              <w:rPr>
                <w:rFonts w:cstheme="minorHAnsi"/>
                <w:color w:val="000000" w:themeColor="text1"/>
              </w:rPr>
            </w:pPr>
            <w:r w:rsidRPr="002020B3">
              <w:t>126</w:t>
            </w:r>
          </w:p>
        </w:tc>
        <w:tc>
          <w:tcPr>
            <w:tcW w:w="1440" w:type="dxa"/>
          </w:tcPr>
          <w:p w14:paraId="2E9538F4" w14:textId="368B50F4" w:rsidR="00FE517A" w:rsidRPr="00107C19" w:rsidRDefault="00B40DAA" w:rsidP="00FE517A">
            <w:pPr>
              <w:pStyle w:val="TableText"/>
              <w:jc w:val="center"/>
              <w:rPr>
                <w:rFonts w:cstheme="minorHAnsi"/>
                <w:color w:val="000000" w:themeColor="text1"/>
              </w:rPr>
            </w:pPr>
            <w:r>
              <w:rPr>
                <w:rFonts w:cstheme="minorHAnsi"/>
                <w:color w:val="000000" w:themeColor="text1"/>
              </w:rPr>
              <w:t>140</w:t>
            </w:r>
          </w:p>
        </w:tc>
      </w:tr>
      <w:tr w:rsidR="00FE517A" w:rsidRPr="00107C19" w14:paraId="2435C9E8" w14:textId="101BD30B" w:rsidTr="001D7E0C">
        <w:trPr>
          <w:trHeight w:val="184"/>
          <w:jc w:val="center"/>
        </w:trPr>
        <w:tc>
          <w:tcPr>
            <w:tcW w:w="3218" w:type="dxa"/>
            <w:shd w:val="clear" w:color="auto" w:fill="auto"/>
            <w:vAlign w:val="center"/>
          </w:tcPr>
          <w:p w14:paraId="0DD85C21" w14:textId="72C0CE13" w:rsidR="00FE517A" w:rsidRPr="00107C19" w:rsidRDefault="00FE517A" w:rsidP="00FE517A">
            <w:pPr>
              <w:pStyle w:val="TableText"/>
              <w:rPr>
                <w:rFonts w:cstheme="minorHAnsi"/>
                <w:color w:val="000000" w:themeColor="text1"/>
              </w:rPr>
            </w:pPr>
            <w:r w:rsidRPr="00107C19">
              <w:rPr>
                <w:rFonts w:cstheme="minorHAnsi"/>
                <w:color w:val="000000" w:themeColor="text1"/>
              </w:rPr>
              <w:t>Active other collaborative research agreements</w:t>
            </w:r>
            <w:r w:rsidRPr="00107C19">
              <w:rPr>
                <w:rFonts w:cstheme="minorHAnsi"/>
                <w:color w:val="000000" w:themeColor="text1"/>
                <w:vertAlign w:val="superscript"/>
              </w:rPr>
              <w:t>1,3</w:t>
            </w:r>
          </w:p>
        </w:tc>
        <w:tc>
          <w:tcPr>
            <w:tcW w:w="1552" w:type="dxa"/>
            <w:shd w:val="clear" w:color="auto" w:fill="auto"/>
            <w:noWrap/>
          </w:tcPr>
          <w:p w14:paraId="4D02DD37" w14:textId="0CDC1EA3" w:rsidR="00FE517A" w:rsidRPr="00107C19" w:rsidRDefault="00FE517A" w:rsidP="00AA3AA9">
            <w:pPr>
              <w:pStyle w:val="TableText"/>
              <w:jc w:val="center"/>
              <w:rPr>
                <w:rFonts w:cstheme="minorHAnsi"/>
                <w:color w:val="000000" w:themeColor="text1"/>
              </w:rPr>
            </w:pPr>
            <w:r w:rsidRPr="002020B3">
              <w:t>1,888</w:t>
            </w:r>
          </w:p>
        </w:tc>
        <w:tc>
          <w:tcPr>
            <w:tcW w:w="1260" w:type="dxa"/>
          </w:tcPr>
          <w:p w14:paraId="01ED562F" w14:textId="78A5373A" w:rsidR="00FE517A" w:rsidRPr="00107C19" w:rsidRDefault="00FE517A" w:rsidP="00AA3AA9">
            <w:pPr>
              <w:pStyle w:val="TableText"/>
              <w:jc w:val="center"/>
              <w:rPr>
                <w:rFonts w:cstheme="minorHAnsi"/>
                <w:color w:val="000000" w:themeColor="text1"/>
              </w:rPr>
            </w:pPr>
            <w:r w:rsidRPr="002020B3">
              <w:t>1,987</w:t>
            </w:r>
          </w:p>
        </w:tc>
        <w:tc>
          <w:tcPr>
            <w:tcW w:w="1350" w:type="dxa"/>
          </w:tcPr>
          <w:p w14:paraId="090FFC54" w14:textId="65165C3F" w:rsidR="00FE517A" w:rsidRPr="00107C19" w:rsidRDefault="00FE517A" w:rsidP="00AA3AA9">
            <w:pPr>
              <w:pStyle w:val="TableText"/>
              <w:jc w:val="center"/>
              <w:rPr>
                <w:rFonts w:cstheme="minorHAnsi"/>
                <w:color w:val="000000" w:themeColor="text1"/>
              </w:rPr>
            </w:pPr>
            <w:r w:rsidRPr="002020B3">
              <w:t>2,443</w:t>
            </w:r>
          </w:p>
        </w:tc>
        <w:tc>
          <w:tcPr>
            <w:tcW w:w="1260" w:type="dxa"/>
          </w:tcPr>
          <w:p w14:paraId="454FDF49" w14:textId="47BD37F7" w:rsidR="00FE517A" w:rsidRPr="00107C19" w:rsidRDefault="00FE517A" w:rsidP="00AA3AA9">
            <w:pPr>
              <w:pStyle w:val="TableText"/>
              <w:jc w:val="center"/>
              <w:rPr>
                <w:rFonts w:cstheme="minorHAnsi"/>
                <w:color w:val="000000" w:themeColor="text1"/>
              </w:rPr>
            </w:pPr>
            <w:r w:rsidRPr="002020B3">
              <w:t>1,883</w:t>
            </w:r>
          </w:p>
        </w:tc>
        <w:tc>
          <w:tcPr>
            <w:tcW w:w="1440" w:type="dxa"/>
            <w:vAlign w:val="center"/>
          </w:tcPr>
          <w:p w14:paraId="167C1408" w14:textId="1388607A" w:rsidR="00FE517A" w:rsidRPr="00107C19" w:rsidRDefault="005424E4" w:rsidP="00FE517A">
            <w:pPr>
              <w:pStyle w:val="TableText"/>
              <w:jc w:val="center"/>
              <w:rPr>
                <w:rFonts w:cstheme="minorHAnsi"/>
                <w:color w:val="000000" w:themeColor="text1"/>
              </w:rPr>
            </w:pPr>
            <w:r>
              <w:rPr>
                <w:rFonts w:cstheme="minorHAnsi"/>
                <w:color w:val="000000" w:themeColor="text1"/>
              </w:rPr>
              <w:t>3948</w:t>
            </w:r>
          </w:p>
        </w:tc>
      </w:tr>
      <w:tr w:rsidR="00FE517A" w:rsidRPr="00107C19" w14:paraId="725E99D0" w14:textId="13808AE3" w:rsidTr="001D7E0C">
        <w:trPr>
          <w:trHeight w:val="184"/>
          <w:jc w:val="center"/>
        </w:trPr>
        <w:tc>
          <w:tcPr>
            <w:tcW w:w="3218" w:type="dxa"/>
            <w:shd w:val="clear" w:color="auto" w:fill="auto"/>
            <w:vAlign w:val="center"/>
          </w:tcPr>
          <w:p w14:paraId="3E8F7E08" w14:textId="527AAE25" w:rsidR="00FE517A" w:rsidRPr="00107C19" w:rsidRDefault="00FE517A" w:rsidP="00FE517A">
            <w:pPr>
              <w:pStyle w:val="TableText"/>
              <w:rPr>
                <w:rFonts w:cstheme="minorHAnsi"/>
                <w:color w:val="000000" w:themeColor="text1"/>
              </w:rPr>
            </w:pPr>
            <w:r w:rsidRPr="00107C19">
              <w:rPr>
                <w:rFonts w:cstheme="minorHAnsi"/>
                <w:color w:val="000000" w:themeColor="text1"/>
              </w:rPr>
              <w:t>New executed other collaborative research agreements</w:t>
            </w:r>
            <w:r w:rsidRPr="00107C19">
              <w:rPr>
                <w:rFonts w:cstheme="minorHAnsi"/>
                <w:color w:val="000000" w:themeColor="text1"/>
                <w:vertAlign w:val="superscript"/>
              </w:rPr>
              <w:t>,3</w:t>
            </w:r>
            <w:r w:rsidRPr="00107C19">
              <w:rPr>
                <w:rFonts w:cstheme="minorHAnsi"/>
                <w:color w:val="000000" w:themeColor="text1"/>
              </w:rPr>
              <w:t xml:space="preserve"> </w:t>
            </w:r>
          </w:p>
        </w:tc>
        <w:tc>
          <w:tcPr>
            <w:tcW w:w="1552" w:type="dxa"/>
            <w:shd w:val="clear" w:color="auto" w:fill="auto"/>
            <w:noWrap/>
          </w:tcPr>
          <w:p w14:paraId="7B89261F" w14:textId="1AA5896A" w:rsidR="005424E4" w:rsidRPr="006B5675" w:rsidRDefault="005424E4" w:rsidP="00AA3AA9">
            <w:pPr>
              <w:pStyle w:val="TableText"/>
              <w:jc w:val="center"/>
              <w:rPr>
                <w:sz w:val="16"/>
                <w:szCs w:val="16"/>
              </w:rPr>
            </w:pPr>
          </w:p>
          <w:p w14:paraId="1503C357" w14:textId="7263D902" w:rsidR="00FE517A" w:rsidRPr="00107C19" w:rsidRDefault="00FE517A" w:rsidP="00AA3AA9">
            <w:pPr>
              <w:pStyle w:val="TableText"/>
              <w:jc w:val="center"/>
              <w:rPr>
                <w:rFonts w:cstheme="minorHAnsi"/>
                <w:color w:val="000000" w:themeColor="text1"/>
              </w:rPr>
            </w:pPr>
            <w:r w:rsidRPr="002020B3">
              <w:t>1,1221</w:t>
            </w:r>
          </w:p>
        </w:tc>
        <w:tc>
          <w:tcPr>
            <w:tcW w:w="1260" w:type="dxa"/>
          </w:tcPr>
          <w:p w14:paraId="66D684E3" w14:textId="77777777" w:rsidR="005424E4" w:rsidRPr="006B5675" w:rsidRDefault="005424E4" w:rsidP="00AA3AA9">
            <w:pPr>
              <w:pStyle w:val="TableText"/>
              <w:jc w:val="center"/>
              <w:rPr>
                <w:sz w:val="16"/>
                <w:szCs w:val="16"/>
              </w:rPr>
            </w:pPr>
          </w:p>
          <w:p w14:paraId="4C698ED6" w14:textId="52B43809" w:rsidR="00FE517A" w:rsidRPr="00107C19" w:rsidRDefault="00FE517A" w:rsidP="00AA3AA9">
            <w:pPr>
              <w:pStyle w:val="TableText"/>
              <w:jc w:val="center"/>
              <w:rPr>
                <w:rFonts w:cstheme="minorHAnsi"/>
                <w:color w:val="000000" w:themeColor="text1"/>
              </w:rPr>
            </w:pPr>
            <w:r w:rsidRPr="002020B3">
              <w:t>4,167</w:t>
            </w:r>
          </w:p>
        </w:tc>
        <w:tc>
          <w:tcPr>
            <w:tcW w:w="1350" w:type="dxa"/>
          </w:tcPr>
          <w:p w14:paraId="45BEEA1C" w14:textId="77777777" w:rsidR="005424E4" w:rsidRPr="006B5675" w:rsidRDefault="005424E4" w:rsidP="00AA3AA9">
            <w:pPr>
              <w:pStyle w:val="TableText"/>
              <w:jc w:val="center"/>
              <w:rPr>
                <w:sz w:val="16"/>
                <w:szCs w:val="16"/>
              </w:rPr>
            </w:pPr>
          </w:p>
          <w:p w14:paraId="0899845B" w14:textId="07E05F91" w:rsidR="00FE517A" w:rsidRPr="00107C19" w:rsidRDefault="00FE517A" w:rsidP="00AA3AA9">
            <w:pPr>
              <w:pStyle w:val="TableText"/>
              <w:jc w:val="center"/>
              <w:rPr>
                <w:rFonts w:cstheme="minorHAnsi"/>
                <w:color w:val="000000" w:themeColor="text1"/>
              </w:rPr>
            </w:pPr>
            <w:r w:rsidRPr="002020B3">
              <w:t>3,480</w:t>
            </w:r>
          </w:p>
        </w:tc>
        <w:tc>
          <w:tcPr>
            <w:tcW w:w="1260" w:type="dxa"/>
          </w:tcPr>
          <w:p w14:paraId="2961697B" w14:textId="77777777" w:rsidR="005424E4" w:rsidRPr="006B5675" w:rsidRDefault="005424E4" w:rsidP="00AA3AA9">
            <w:pPr>
              <w:pStyle w:val="TableText"/>
              <w:jc w:val="center"/>
              <w:rPr>
                <w:sz w:val="16"/>
                <w:szCs w:val="16"/>
              </w:rPr>
            </w:pPr>
          </w:p>
          <w:p w14:paraId="04775E05" w14:textId="1C0E7125" w:rsidR="00FE517A" w:rsidRPr="00107C19" w:rsidRDefault="00FE517A" w:rsidP="00AA3AA9">
            <w:pPr>
              <w:pStyle w:val="TableText"/>
              <w:jc w:val="center"/>
              <w:rPr>
                <w:rFonts w:cstheme="minorHAnsi"/>
                <w:color w:val="000000" w:themeColor="text1"/>
              </w:rPr>
            </w:pPr>
            <w:r w:rsidRPr="002020B3">
              <w:t>7,763</w:t>
            </w:r>
          </w:p>
        </w:tc>
        <w:tc>
          <w:tcPr>
            <w:tcW w:w="1440" w:type="dxa"/>
            <w:vAlign w:val="center"/>
          </w:tcPr>
          <w:p w14:paraId="455CF3CA" w14:textId="26E4E278" w:rsidR="00FE517A" w:rsidRPr="00107C19" w:rsidRDefault="00B40DAA" w:rsidP="00FE517A">
            <w:pPr>
              <w:pStyle w:val="TableText"/>
              <w:jc w:val="center"/>
              <w:rPr>
                <w:rFonts w:cstheme="minorHAnsi"/>
                <w:color w:val="000000" w:themeColor="text1"/>
              </w:rPr>
            </w:pPr>
            <w:r>
              <w:rPr>
                <w:rFonts w:cstheme="minorHAnsi"/>
                <w:color w:val="000000" w:themeColor="text1"/>
              </w:rPr>
              <w:t>949</w:t>
            </w:r>
          </w:p>
        </w:tc>
      </w:tr>
    </w:tbl>
    <w:p w14:paraId="323FC304" w14:textId="77777777" w:rsidR="00A91749" w:rsidRPr="00107C19" w:rsidRDefault="00A91749" w:rsidP="00B30957">
      <w:pPr>
        <w:pStyle w:val="TableText"/>
        <w:rPr>
          <w:rFonts w:cstheme="minorHAnsi"/>
          <w:color w:val="000000" w:themeColor="text1"/>
        </w:rPr>
      </w:pPr>
      <w:r w:rsidRPr="00107C19">
        <w:rPr>
          <w:rFonts w:cstheme="minorHAnsi"/>
          <w:color w:val="000000" w:themeColor="text1"/>
          <w:vertAlign w:val="superscript"/>
        </w:rPr>
        <w:t>1</w:t>
      </w:r>
      <w:r w:rsidRPr="00107C19">
        <w:rPr>
          <w:rFonts w:cstheme="minorHAnsi"/>
          <w:color w:val="000000" w:themeColor="text1"/>
        </w:rPr>
        <w:t>Only reported for ARS and APHIS.</w:t>
      </w:r>
    </w:p>
    <w:p w14:paraId="53292D12" w14:textId="7FAA9686" w:rsidR="00A91749" w:rsidRPr="00107C19" w:rsidRDefault="00A91749" w:rsidP="00B30957">
      <w:pPr>
        <w:pStyle w:val="TableText"/>
        <w:rPr>
          <w:rFonts w:cstheme="minorHAnsi"/>
          <w:color w:val="000000" w:themeColor="text1"/>
        </w:rPr>
      </w:pPr>
      <w:r w:rsidRPr="00107C19">
        <w:rPr>
          <w:rFonts w:cstheme="minorHAnsi"/>
          <w:color w:val="000000" w:themeColor="text1"/>
          <w:vertAlign w:val="superscript"/>
        </w:rPr>
        <w:t>2</w:t>
      </w:r>
      <w:r w:rsidRPr="00107C19">
        <w:rPr>
          <w:rFonts w:cstheme="minorHAnsi"/>
          <w:color w:val="000000" w:themeColor="text1"/>
        </w:rPr>
        <w:t>Only reported for ARS</w:t>
      </w:r>
      <w:r w:rsidR="000F6FE7" w:rsidRPr="00107C19">
        <w:rPr>
          <w:rFonts w:cstheme="minorHAnsi"/>
          <w:color w:val="000000" w:themeColor="text1"/>
        </w:rPr>
        <w:t xml:space="preserve"> and APHIS</w:t>
      </w:r>
      <w:r w:rsidR="003E1B5D" w:rsidRPr="00107C19">
        <w:rPr>
          <w:rFonts w:cstheme="minorHAnsi"/>
          <w:color w:val="000000" w:themeColor="text1"/>
        </w:rPr>
        <w:t xml:space="preserve"> </w:t>
      </w:r>
      <w:r w:rsidRPr="00107C19">
        <w:rPr>
          <w:rFonts w:cstheme="minorHAnsi"/>
          <w:color w:val="000000" w:themeColor="text1"/>
        </w:rPr>
        <w:t xml:space="preserve">— combines Technology Transfer and Trust Fund Cooperative Agreement Authorities.   </w:t>
      </w:r>
    </w:p>
    <w:p w14:paraId="315DEE6E" w14:textId="5460F548" w:rsidR="00026F68" w:rsidRPr="00107C19" w:rsidRDefault="00A91749" w:rsidP="00321DEE">
      <w:pPr>
        <w:pStyle w:val="TableText"/>
        <w:rPr>
          <w:rFonts w:cstheme="minorHAnsi"/>
          <w:color w:val="000000" w:themeColor="text1"/>
          <w:sz w:val="20"/>
        </w:rPr>
      </w:pPr>
      <w:r w:rsidRPr="00107C19">
        <w:rPr>
          <w:rFonts w:cstheme="minorHAnsi"/>
          <w:color w:val="000000" w:themeColor="text1"/>
          <w:vertAlign w:val="superscript"/>
        </w:rPr>
        <w:lastRenderedPageBreak/>
        <w:t>3</w:t>
      </w:r>
      <w:r w:rsidRPr="00107C19">
        <w:rPr>
          <w:rFonts w:cstheme="minorHAnsi"/>
          <w:color w:val="000000" w:themeColor="text1"/>
        </w:rPr>
        <w:t xml:space="preserve">Trust Fund Cooperative Agreements, Reimbursable Agreements, Specific Cooperative Agreements and Non-Funded Cooperative Agreements, Cooperative Agreements, Inter-agency and Intra-agency Agreements. </w:t>
      </w:r>
      <w:r w:rsidRPr="00107C19">
        <w:rPr>
          <w:rFonts w:eastAsia="Calibri" w:cstheme="minorHAnsi"/>
          <w:b/>
          <w:color w:val="000000" w:themeColor="text1"/>
          <w:sz w:val="28"/>
          <w:szCs w:val="28"/>
        </w:rPr>
        <w:br w:type="page"/>
      </w:r>
      <w:bookmarkStart w:id="8" w:name="ARS"/>
    </w:p>
    <w:p w14:paraId="1646C3D6" w14:textId="77777777" w:rsidR="00026F68" w:rsidRPr="00107C19" w:rsidRDefault="00026F68" w:rsidP="009F513E">
      <w:pPr>
        <w:pStyle w:val="Heading1"/>
        <w:rPr>
          <w:rFonts w:asciiTheme="minorHAnsi" w:hAnsiTheme="minorHAnsi" w:cstheme="minorHAnsi"/>
          <w:b/>
          <w:bCs w:val="0"/>
          <w:color w:val="000000" w:themeColor="text1"/>
        </w:rPr>
      </w:pPr>
      <w:bookmarkStart w:id="9" w:name="_Toc119484011"/>
      <w:bookmarkStart w:id="10" w:name="_Toc120685154"/>
      <w:bookmarkStart w:id="11" w:name="_Toc160185940"/>
      <w:bookmarkEnd w:id="8"/>
      <w:r w:rsidRPr="00107C19">
        <w:rPr>
          <w:rFonts w:asciiTheme="minorHAnsi" w:hAnsiTheme="minorHAnsi" w:cstheme="minorHAnsi"/>
          <w:b/>
          <w:bCs w:val="0"/>
          <w:color w:val="000000" w:themeColor="text1"/>
        </w:rPr>
        <w:lastRenderedPageBreak/>
        <w:t>Agricultural Marketing Service</w:t>
      </w:r>
      <w:bookmarkEnd w:id="9"/>
      <w:bookmarkEnd w:id="10"/>
      <w:bookmarkEnd w:id="11"/>
    </w:p>
    <w:p w14:paraId="6CD5957A" w14:textId="77777777" w:rsidR="006E4997" w:rsidRPr="00107C19" w:rsidRDefault="006E4997" w:rsidP="006E4997">
      <w:pPr>
        <w:pStyle w:val="Heading2"/>
        <w:rPr>
          <w:color w:val="000000" w:themeColor="text1"/>
        </w:rPr>
      </w:pPr>
      <w:bookmarkStart w:id="12" w:name="_Toc119484012"/>
      <w:bookmarkStart w:id="13" w:name="_Toc120685155"/>
      <w:bookmarkStart w:id="14" w:name="_Toc123025308"/>
      <w:bookmarkStart w:id="15" w:name="_Toc157423608"/>
      <w:bookmarkStart w:id="16" w:name="_Toc160185941"/>
      <w:r w:rsidRPr="00107C19">
        <w:rPr>
          <w:color w:val="000000" w:themeColor="text1"/>
        </w:rPr>
        <w:t>Mission Statement</w:t>
      </w:r>
      <w:bookmarkEnd w:id="12"/>
      <w:bookmarkEnd w:id="13"/>
      <w:bookmarkEnd w:id="14"/>
      <w:bookmarkEnd w:id="15"/>
      <w:bookmarkEnd w:id="16"/>
    </w:p>
    <w:p w14:paraId="58D4499A" w14:textId="77777777" w:rsidR="006E4997" w:rsidRPr="00107C19" w:rsidRDefault="006E4997" w:rsidP="006E4997">
      <w:pPr>
        <w:pStyle w:val="BodyText2"/>
        <w:rPr>
          <w:rFonts w:cstheme="minorHAnsi"/>
          <w:color w:val="000000" w:themeColor="text1"/>
        </w:rPr>
      </w:pPr>
      <w:r w:rsidRPr="00107C19">
        <w:rPr>
          <w:rFonts w:cstheme="minorHAnsi"/>
          <w:color w:val="000000" w:themeColor="text1"/>
        </w:rPr>
        <w:t>The mission of the Agricultural Marketing Service (AMS) is to facilitate the strategic marketing of agricultural products in domestic and international markets, while ensuring fair trading practices and promoting a competitive and efficient marketplace to the benefit of producers, traders, and consumers of U.S. food and fiber products. AMS carries out a wide range of programs under the authorization of the Agricultural Marketing Act of 1946 as well as over 50 other statutes. More than half of the funds needed to finance AMS activities (excluding commodity purchase program funds) are derived from voluntary user fees. AMS also provides services for private industry and State/Federal agencies on a reimbursable basis. In addition, AMS conducts several appropriated program activities through cooperative arrangements with State Departments of Agriculture and other agencies.</w:t>
      </w:r>
    </w:p>
    <w:p w14:paraId="63188284" w14:textId="77777777" w:rsidR="006E4997" w:rsidRPr="00107C19" w:rsidRDefault="006E4997" w:rsidP="006E4997">
      <w:pPr>
        <w:pStyle w:val="Heading2"/>
        <w:rPr>
          <w:rFonts w:asciiTheme="minorHAnsi" w:hAnsiTheme="minorHAnsi" w:cstheme="minorHAnsi"/>
          <w:color w:val="000000" w:themeColor="text1"/>
        </w:rPr>
      </w:pPr>
      <w:bookmarkStart w:id="17" w:name="_Toc119484013"/>
      <w:bookmarkStart w:id="18" w:name="_Toc120685156"/>
      <w:bookmarkStart w:id="19" w:name="_Toc123025309"/>
      <w:bookmarkStart w:id="20" w:name="_Toc157423609"/>
      <w:bookmarkStart w:id="21" w:name="_Toc160185942"/>
      <w:r w:rsidRPr="00107C19">
        <w:rPr>
          <w:rFonts w:asciiTheme="minorHAnsi" w:hAnsiTheme="minorHAnsi" w:cstheme="minorHAnsi"/>
          <w:color w:val="000000" w:themeColor="text1"/>
        </w:rPr>
        <w:t>Nature and Structure of Program</w:t>
      </w:r>
      <w:bookmarkEnd w:id="17"/>
      <w:bookmarkEnd w:id="18"/>
      <w:bookmarkEnd w:id="19"/>
      <w:bookmarkEnd w:id="20"/>
      <w:bookmarkEnd w:id="21"/>
    </w:p>
    <w:p w14:paraId="3E53FF89" w14:textId="77777777" w:rsidR="006E4997" w:rsidRPr="00107C19" w:rsidRDefault="006E4997" w:rsidP="006E4997">
      <w:pPr>
        <w:pStyle w:val="Heading3"/>
      </w:pPr>
      <w:bookmarkStart w:id="22" w:name="_Toc119484014"/>
      <w:bookmarkStart w:id="23" w:name="_Toc120685157"/>
      <w:bookmarkStart w:id="24" w:name="_Toc123025310"/>
      <w:bookmarkStart w:id="25" w:name="_Toc157423610"/>
      <w:bookmarkStart w:id="26" w:name="_Toc160185943"/>
      <w:r w:rsidRPr="00107C19">
        <w:t>AMS Producer-Consumer Focus</w:t>
      </w:r>
      <w:bookmarkEnd w:id="22"/>
      <w:bookmarkEnd w:id="23"/>
      <w:bookmarkEnd w:id="24"/>
      <w:bookmarkEnd w:id="25"/>
      <w:bookmarkEnd w:id="26"/>
    </w:p>
    <w:p w14:paraId="377EEEBB"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AMS administers programs that create domestic and international marketing opportunities for U.S. producers of food, fiber, and specialty crops. AMS also provides the agriculture industry with valuable services to ensure the quality and availability of wholesome food for consumers across the country and around the world. </w:t>
      </w:r>
    </w:p>
    <w:p w14:paraId="1B994C1C"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Because of its commodity specific focus, AMS’ technology developments, licensing and transfers, which are central to the farm to fork agricultural supply chain, are handled through separate Agency business units and divisions. Still, the Agency oversees several programs where innovative advanced technologies and the “internet of things” have been leveraged to assist agency stakeholders in marketing their food and fiber commodities. AMS programs and services include: Market News Service, Shell Egg Surveillance and Standardization, Market Protection and Promotion Programs, Transportation and Marketing, Packers and Stockyards Programs, Federal Grain Inspection, U.S. Warehouse Activities—Warehouse Commodity Management, International Food Procurement, Payments to States and Possessions, Commodity Research and Promotion Programs, Commodity Grading, Verification and Plant Variety Program, Perishable Agricultural Commodities Act Program,</w:t>
      </w:r>
      <w:r w:rsidRPr="00107C19">
        <w:rPr>
          <w:rFonts w:cstheme="minorBidi"/>
          <w:color w:val="000000" w:themeColor="text1"/>
        </w:rPr>
        <w:t xml:space="preserve"> label disclosure for Country of Origin and Bioengineered Foods, </w:t>
      </w:r>
      <w:r w:rsidRPr="00107C19">
        <w:rPr>
          <w:rFonts w:cstheme="minorHAnsi"/>
          <w:color w:val="000000" w:themeColor="text1"/>
        </w:rPr>
        <w:t xml:space="preserve"> and Strengthening Agricultural Markets and Producer Income. </w:t>
      </w:r>
    </w:p>
    <w:p w14:paraId="63098F48"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Communication of the agency’s technology perspective highlights awareness of new technologies and facilitates improvement of existing technologies used by AMS in the agricultural marketing ecosystem. AMS is embracing the internet of things and smart farming principles, improving data exchange protocols and procedures, and unifying food and commodity data exchange from different sources into harmonized platforms, permitting easy access and utilization of data for stakeholders.</w:t>
      </w:r>
    </w:p>
    <w:p w14:paraId="00CAB772" w14:textId="77777777" w:rsidR="006E4997" w:rsidRPr="00107C19" w:rsidRDefault="006E4997" w:rsidP="006E4997">
      <w:pPr>
        <w:pStyle w:val="Heading3"/>
      </w:pPr>
      <w:bookmarkStart w:id="27" w:name="_Toc119484015"/>
      <w:bookmarkStart w:id="28" w:name="_Toc120685158"/>
      <w:bookmarkStart w:id="29" w:name="_Toc123025311"/>
      <w:bookmarkStart w:id="30" w:name="_Toc157423611"/>
      <w:bookmarkStart w:id="31" w:name="_Toc160185944"/>
      <w:r w:rsidRPr="00107C19">
        <w:lastRenderedPageBreak/>
        <w:t>Market News</w:t>
      </w:r>
      <w:bookmarkEnd w:id="27"/>
      <w:bookmarkEnd w:id="28"/>
      <w:bookmarkEnd w:id="29"/>
      <w:bookmarkEnd w:id="30"/>
      <w:bookmarkEnd w:id="31"/>
    </w:p>
    <w:p w14:paraId="7BEC2E4F"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The AMS Market News service collects, analyzes, and disseminates current market information to assist producers and marketers of farm products and those in related industries in making critical daily decisions. Market News information covers local, regional, national, and international markets, and includes data on supply, movement, contractual agreements, inventories, and prices for numerous agricultural commodities, both conventionally and organically produced. Reported commodities include cotton, cottonseed, and tobacco; dairy products; fruits, vegetables, and ornamentals; livestock, meat, grains, poultry, and eggs. </w:t>
      </w:r>
    </w:p>
    <w:p w14:paraId="2EB978C0"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All market information is reported to the Agricultural Marketing Service (AMS) on a voluntary basis except for mandatory price reporting for specified livestock, meat, and dairy product information which are discussed below in more detail. The agricultural sector constantly evolves and so does the form and content of the Market News reports as well as the ways in which that information is made available to the public. AMS Market News issues hundreds of reports daily for nearly 1,000 commodities resulting in 3.9 million unique report views by the public annually, a slight decrease from 4.1 million in FY2022.  It is important to note since the introduction of API’s for both the voluntary and mandatory reporting, more users are migrating to data calls over report views. In FY2022, AMS experienced 73.2 million unique API calls consuming over 6.9 Terabytes of data. In FY2023, the AMS Market News data system experienced 76.4 million user visits downloading a total of over 12.8 Terabytes of market data, a 4% increase in visits and an 86% increase in information delivered over FY2022.  </w:t>
      </w:r>
    </w:p>
    <w:p w14:paraId="1C5A19EC"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Market News has made great technological strides to improve access to market information. They have developed Market Analysis and Reporting Services (MARS) and the public facing “My Market News” component. MARS allows AMS to manage and publish Market News data in one centralized customer-facing database. This system improves market transparency, reduces information disadvantages between buyers and sellers, and continues the Market News commitment to provide unbiased data. MARS also makes Market News more flexible in a rapidly evolving digital market.  In FY 2023, MARS and its public facing website, My Market News (MMN), continued to add more market types and reports to those available to the public. Through My Market News, users can access over 890 unique market reports and data sets. </w:t>
      </w:r>
    </w:p>
    <w:p w14:paraId="47A120BD"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Introduction of Market News Mobile Application:  In July 2023, AMS released a Version 3.0 of the USDA Market News Mobile Application (app), providing additional reporting and functionality to producers and others in the supply chain.  The initial version of the app released in February 2022 included nearly 800 livestock, poultry, and grain market reports, with all other commodities released in May 2022.  Producers and other users can search for markets based on their location, by state, or by commodity.  They also can add market reports to their favorites for easier access, share reports via text or email, subscribe to reports, and receive real-time notifications when a new report is published.  Version 3.0 includes retail, international and organic reporting along with a consolidation of subscriptions and favorites into one menu, and improved functionality for identifying new reports.  </w:t>
      </w:r>
    </w:p>
    <w:p w14:paraId="0B71E0BC" w14:textId="77777777" w:rsidR="006E4997" w:rsidRPr="00107C19" w:rsidRDefault="006E4997" w:rsidP="006E4997">
      <w:pPr>
        <w:pStyle w:val="Heading3"/>
      </w:pPr>
      <w:bookmarkStart w:id="32" w:name="_Toc157423612"/>
      <w:bookmarkStart w:id="33" w:name="_Toc157423613"/>
      <w:bookmarkStart w:id="34" w:name="_Toc157423614"/>
      <w:bookmarkStart w:id="35" w:name="_Toc157423615"/>
      <w:bookmarkStart w:id="36" w:name="_Toc157423616"/>
      <w:bookmarkStart w:id="37" w:name="_Toc157423617"/>
      <w:bookmarkStart w:id="38" w:name="_Toc157423618"/>
      <w:bookmarkStart w:id="39" w:name="_Toc157423619"/>
      <w:bookmarkStart w:id="40" w:name="_Toc157423620"/>
      <w:bookmarkStart w:id="41" w:name="_Toc119484016"/>
      <w:bookmarkStart w:id="42" w:name="_Toc120685159"/>
      <w:bookmarkStart w:id="43" w:name="_Toc123025312"/>
      <w:bookmarkStart w:id="44" w:name="_Toc157423621"/>
      <w:bookmarkStart w:id="45" w:name="_Toc160185945"/>
      <w:bookmarkEnd w:id="32"/>
      <w:bookmarkEnd w:id="33"/>
      <w:bookmarkEnd w:id="34"/>
      <w:bookmarkEnd w:id="35"/>
      <w:bookmarkEnd w:id="36"/>
      <w:bookmarkEnd w:id="37"/>
      <w:bookmarkEnd w:id="38"/>
      <w:bookmarkEnd w:id="39"/>
      <w:bookmarkEnd w:id="40"/>
      <w:r w:rsidRPr="00107C19">
        <w:lastRenderedPageBreak/>
        <w:t>Shell Egg Surveillance</w:t>
      </w:r>
      <w:bookmarkEnd w:id="41"/>
      <w:bookmarkEnd w:id="42"/>
      <w:bookmarkEnd w:id="43"/>
      <w:bookmarkEnd w:id="44"/>
      <w:bookmarkEnd w:id="45"/>
    </w:p>
    <w:p w14:paraId="2AC73941"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The Egg Products Inspection Act (EPIA) mandates that eggs and egg products are wholesome, otherwise not adulterated, and properly labeled and packaged to protect the health and welfare of consumers of these products. The SES Program, carrying out these EPIA requirements, monitors the disposition of "restricted eggs"— eggs that are cracked, dirty, incubator rejects, inedible, leaking, or otherwise unfit for human consumption — to ensure they do not make their way into consumer channels. Inedible eggs, which constitute a small proportion of all shell eggs, are most often used in animal feed, while other types of restricted eggs are destroyed. The SES Program conducts official visits four times a year to shell egg handlers with 3,000 or more chickens or who pack product ultimately destined for consumers. The Program also conducts annual visits to hatcheries and follow-up visits when violations are found. SES activities are conducted either by Federal personnel or State Department of Agriculture employees under a cooperative agreement. During 2022, AMS completed 2,055 SES inspections, on-site and desk reviews, and accomplished an industry compliance rate of 97 percent. Review and Update of Enforcement Procedures: AMS conducted a top to bottom review of enforcement protocols and penalties, and as a result, drafted revised protocols that will eliminate redundancy, increase efficiency of inspections, and strengthen the penalties imposed on operations that continually violate provisions of the SES program. AMS plans to finalize the revised protocols and move towards implementation during 2023.</w:t>
      </w:r>
    </w:p>
    <w:p w14:paraId="37EC4BDB" w14:textId="77777777" w:rsidR="006E4997" w:rsidRPr="00107C19" w:rsidRDefault="006E4997" w:rsidP="006E4997">
      <w:pPr>
        <w:pStyle w:val="Heading3"/>
      </w:pPr>
      <w:bookmarkStart w:id="46" w:name="_Toc119484017"/>
      <w:bookmarkStart w:id="47" w:name="_Toc120685160"/>
      <w:bookmarkStart w:id="48" w:name="_Toc123025313"/>
      <w:bookmarkStart w:id="49" w:name="_Toc157423622"/>
      <w:bookmarkStart w:id="50" w:name="_Toc160185946"/>
      <w:r w:rsidRPr="00107C19">
        <w:t>Standardization</w:t>
      </w:r>
      <w:bookmarkEnd w:id="46"/>
      <w:bookmarkEnd w:id="47"/>
      <w:bookmarkEnd w:id="48"/>
      <w:bookmarkEnd w:id="49"/>
      <w:bookmarkEnd w:id="50"/>
    </w:p>
    <w:p w14:paraId="7F26D0D8" w14:textId="77777777" w:rsidR="006E4997" w:rsidRPr="00107C19" w:rsidRDefault="006E4997" w:rsidP="006E4997">
      <w:pPr>
        <w:pStyle w:val="Heading4"/>
      </w:pPr>
      <w:bookmarkStart w:id="51" w:name="_Toc119484018"/>
      <w:bookmarkStart w:id="52" w:name="_Toc120685161"/>
      <w:bookmarkStart w:id="53" w:name="_Toc123025314"/>
      <w:bookmarkStart w:id="54" w:name="_Toc157423623"/>
      <w:bookmarkStart w:id="55" w:name="_Toc160185947"/>
      <w:r w:rsidRPr="00107C19">
        <w:t>National Standardization</w:t>
      </w:r>
      <w:bookmarkEnd w:id="51"/>
      <w:bookmarkEnd w:id="52"/>
      <w:bookmarkEnd w:id="53"/>
      <w:bookmarkEnd w:id="54"/>
      <w:bookmarkEnd w:id="55"/>
    </w:p>
    <w:p w14:paraId="0F26E8D4" w14:textId="3BF90BAD" w:rsidR="006E4997" w:rsidRPr="00107C19" w:rsidRDefault="006E4997" w:rsidP="006E4997">
      <w:pPr>
        <w:pStyle w:val="BodyText4"/>
        <w:rPr>
          <w:color w:val="000000" w:themeColor="text1"/>
        </w:rPr>
      </w:pPr>
      <w:r w:rsidRPr="00107C19">
        <w:rPr>
          <w:rFonts w:cstheme="minorHAnsi"/>
          <w:color w:val="000000" w:themeColor="text1"/>
        </w:rPr>
        <w:t xml:space="preserve">AMS food and fiber standards are widely used by the agricultural industry in domestic and international trading, futures market contracts, and as a benchmark for purchase specifications in most private contracts. Grade standards are also the basis for AMS Market News reports, grading services, and Federal commodity procurement. Pursuant to the Agricultural Marketing Act of 1946, AMS develops quality grade standards for commodities “to encourage uniformity and consistency in commercial practices as needed by the agriculture and food </w:t>
      </w:r>
      <w:r w:rsidR="004014A1" w:rsidRPr="00107C19">
        <w:rPr>
          <w:rFonts w:cstheme="minorHAnsi"/>
          <w:color w:val="000000" w:themeColor="text1"/>
        </w:rPr>
        <w:t>industry and</w:t>
      </w:r>
      <w:r w:rsidRPr="00107C19">
        <w:rPr>
          <w:rFonts w:cstheme="minorHAnsi"/>
          <w:color w:val="000000" w:themeColor="text1"/>
        </w:rPr>
        <w:t xml:space="preserve"> modifies those standards when industry practices or consumer preferences change. Before standards are implemented, AMS conducts studies and announces proposed standards. Public comments are solicited to verify that quality grade standards will facilitate commerce. There are currently more than 500 quality grade standards in place for cotton, dairy products, eggs, fresh and processed fruits and vegetables, livestock, meat, olive oil, peanuts, poultry, rabbits, and tobacco. </w:t>
      </w:r>
      <w:r w:rsidRPr="00107C19">
        <w:rPr>
          <w:color w:val="000000" w:themeColor="text1"/>
        </w:rPr>
        <w:t xml:space="preserve">In addition to their use by private industry in domestic and international contracting, USDA food and fiber standards have become the basis for international harmonization of agricultural product quality grades recognized by the Codex Alimentarius and the United Nations Economic Commission for Europe (UNECE). AMS plays a significant role in several international standards-setting bodies to ensure the interest of U.S. agriculture is adequately represented in global conversations. For example, AMS serves as Administrator for </w:t>
      </w:r>
      <w:r w:rsidRPr="00107C19">
        <w:rPr>
          <w:color w:val="000000" w:themeColor="text1"/>
        </w:rPr>
        <w:lastRenderedPageBreak/>
        <w:t xml:space="preserve">the U.S. Technical Advisory Group to the ISO Technical Committee 34, Subcommittee 5 (milk and milk products) and the U.S. Technical Advisory Group to the ISO Technical Committee 34, Subcommittee 6 (meat and poultry), and led efforts on dairy, meat and poultry standards that would have been restrictive to U.S. imports and not based in science. In 2022, AMS specialists reviewed commodity standards to ensure that they continue to accurately describe current products, including 21 for cotton products; 31 for fruit and vegetable products; 15 for egg, meat, and poultry products; and 13 for tobacco. These reviews resulted in the following standard revisions: </w:t>
      </w:r>
    </w:p>
    <w:p w14:paraId="62BED851" w14:textId="77777777" w:rsidR="006E4997" w:rsidRPr="00107C19" w:rsidRDefault="006E4997" w:rsidP="006E4997">
      <w:pPr>
        <w:pStyle w:val="BodyText4"/>
        <w:rPr>
          <w:color w:val="000000" w:themeColor="text1"/>
        </w:rPr>
      </w:pPr>
      <w:r w:rsidRPr="00107C19">
        <w:rPr>
          <w:color w:val="000000" w:themeColor="text1"/>
        </w:rPr>
        <w:t xml:space="preserve">Institutional Meat Purchase Specifications (IMPS): The IMPS consist of several hundred descriptions of beef, lamb, pork, and veal products and are widely used by marketers for domestic and international trading of meat products. The IMPS serve as the foundation for several other private “buyers guides” popular with meat marketers including the Uniform Retail Meat Identity Standards. In 2021, AMS entered into an agreement with an industry stakeholder to harmonize IMPS and URMIS standards (Uniform Retail Meat Identity Standards system) and nomenclature for veal and lamb. The updated IMPS documents for veal and lamb will be released in January 2023. </w:t>
      </w:r>
    </w:p>
    <w:p w14:paraId="4E7D8A52" w14:textId="77777777" w:rsidR="006E4997" w:rsidRPr="00107C19" w:rsidRDefault="006E4997" w:rsidP="006E4997">
      <w:pPr>
        <w:pStyle w:val="BodyText4"/>
        <w:rPr>
          <w:color w:val="000000" w:themeColor="text1"/>
        </w:rPr>
      </w:pPr>
      <w:r w:rsidRPr="00107C19">
        <w:rPr>
          <w:color w:val="000000" w:themeColor="text1"/>
        </w:rPr>
        <w:t xml:space="preserve">Instrument Application of Grade Standards: AMS sought comments on instrument enhanced grading procedures to strengthen uniform application of beef grade standards. As a result, AMS revised its procedure to state specific quantitative requirements for establishments that want to use plant employees to apply USDA grade standards for beef using approved instrument technology. This update along with other revisions that provide clarity and flexibility in the testing requirements for employees, are expected to entice more interest in using plant employees to apply grade standards using camera instruments. In 2021, AMS conducted a major evaluation of updated camera technology – including four in-plant trials and data collection with the involvement of experts from USDA’s Meat Animal Research Center and academia – ultimately resulting in the approval of the new technology that offers USDA graders and beef plants a better tool to assess quality. As importantly, AMS stationed supervisors at each location when the new camera technology was “turned on” to ensure a smooth implementation. In addition to the approval of new technology, AMS approved two more facilities to use instruments – expanding the use to 18 facilities that grade 62 percent of all beef offered for grading. AMS received a positive external review of its instrument (camera) grading procedures from the American Meat Science Association (AMSA). AMS is in the process of updating its approval and monitoring procedures in the coming months. </w:t>
      </w:r>
    </w:p>
    <w:p w14:paraId="41303F09" w14:textId="77777777" w:rsidR="006E4997" w:rsidRPr="00107C19" w:rsidRDefault="006E4997" w:rsidP="006E4997">
      <w:pPr>
        <w:pStyle w:val="BodyText4"/>
        <w:rPr>
          <w:color w:val="000000" w:themeColor="text1"/>
        </w:rPr>
      </w:pPr>
      <w:r w:rsidRPr="00107C19">
        <w:rPr>
          <w:color w:val="000000" w:themeColor="text1"/>
        </w:rPr>
        <w:t xml:space="preserve">Additionally, AMS entered into agreement with Purdue University and the Agricultural Research Service to conduct four in-plant trials with an egg producer partner and equipment manufacturer on the use of egg grading technology in the application of official USDA grades (i.e., Grade AA, Grade A eggs). They collaborated with these partners to analyze historical grade data and strategize on the methodology and scientific basis for carrying out the trials. Due to outbreaks of HPAI that occurred across the country, completion of the in-plant trials scheduled during 2022 was postponed. </w:t>
      </w:r>
    </w:p>
    <w:p w14:paraId="72EF0E8A" w14:textId="77777777" w:rsidR="006E4997" w:rsidRPr="00107C19" w:rsidRDefault="006E4997" w:rsidP="006E4997">
      <w:pPr>
        <w:pStyle w:val="BodyText4"/>
        <w:rPr>
          <w:color w:val="000000" w:themeColor="text1"/>
        </w:rPr>
      </w:pPr>
      <w:r w:rsidRPr="00107C19">
        <w:rPr>
          <w:color w:val="000000" w:themeColor="text1"/>
        </w:rPr>
        <w:t xml:space="preserve">Specialty Crops Standards: AMS maintains 301 grade standards for fresh and processed fruits, </w:t>
      </w:r>
      <w:r w:rsidRPr="00107C19">
        <w:rPr>
          <w:color w:val="000000" w:themeColor="text1"/>
        </w:rPr>
        <w:lastRenderedPageBreak/>
        <w:t xml:space="preserve">vegetables, nuts, and miscellaneous products. The standards are reviewed annually to ensure they reflect current marketing practices and needs. </w:t>
      </w:r>
    </w:p>
    <w:p w14:paraId="580DAEE8" w14:textId="77777777" w:rsidR="006E4997" w:rsidRPr="00107C19" w:rsidRDefault="006E4997" w:rsidP="006E4997">
      <w:pPr>
        <w:pStyle w:val="BodyText4"/>
        <w:rPr>
          <w:color w:val="000000" w:themeColor="text1"/>
        </w:rPr>
      </w:pPr>
      <w:r w:rsidRPr="00107C19">
        <w:rPr>
          <w:color w:val="000000" w:themeColor="text1"/>
        </w:rPr>
        <w:t xml:space="preserve">Commercial Item Descriptions (CIDs): AMS also maintains 188 CIDs for products in all commodity areas. CIDs are official U.S. Government procurement documents that describe the most important characteristics of a commercial food product, such as the types and styles of products available. A CID also may contain information on analytical tests and requirements for food safety and quality for the product. CIDs are used by purchasers during the procurement process to specify the product they wish to purchase. </w:t>
      </w:r>
    </w:p>
    <w:p w14:paraId="1FFBCDFA" w14:textId="77777777" w:rsidR="006E4997" w:rsidRPr="00107C19" w:rsidRDefault="006E4997" w:rsidP="006E4997">
      <w:pPr>
        <w:pStyle w:val="BodyText4"/>
        <w:rPr>
          <w:color w:val="000000" w:themeColor="text1"/>
        </w:rPr>
      </w:pPr>
      <w:r w:rsidRPr="00107C19">
        <w:rPr>
          <w:color w:val="000000" w:themeColor="text1"/>
        </w:rPr>
        <w:t xml:space="preserve">To facilitate efficient, uniform commercial and government purchases, AMS revised seven CIDs: • Canned Applesauce (Applesauce), A-A-20317B • Corn Dogs, Fully Cooked, Frozen, A-A-20340A • Frankfurters (Hot Dogs), Fully Cooked, Frozen, A-A-20341A • Mushrooms, IQF, Minimally Processed, A-A-20376 • Pizza, Prepared, Frozen, A-A-20277A • Potatoes, White, Dehydrated, A-A-20032H • Soup Mixes, Dehydrated, A-A-20329B. Dairy: In 2022, AMS Dairy staff assisted in the revision of CIDs for Corn Dogs and Dehydrated White Potatoes (both contain dairy ingredients) and for Plant-based Non-dairy Milk Alternative Beverages. </w:t>
      </w:r>
    </w:p>
    <w:p w14:paraId="1A19C58A" w14:textId="77777777" w:rsidR="006E4997" w:rsidRPr="00107C19" w:rsidRDefault="006E4997" w:rsidP="006E4997">
      <w:pPr>
        <w:pStyle w:val="BodyText4"/>
        <w:rPr>
          <w:color w:val="000000" w:themeColor="text1"/>
        </w:rPr>
      </w:pPr>
      <w:r w:rsidRPr="00107C19">
        <w:rPr>
          <w:color w:val="000000" w:themeColor="text1"/>
        </w:rPr>
        <w:t>Dairy: AMS Dairy assisted the Commodity Procurement Program by providing technical review, risk assessment, and guidance to address 14 dairy product related inquiries and by providing research and technical reviews for updating Commodity Requirements Documents (CRDs) for Butter and Swiss Cheese.</w:t>
      </w:r>
    </w:p>
    <w:p w14:paraId="69BC112D" w14:textId="77777777" w:rsidR="006E4997" w:rsidRPr="00107C19" w:rsidRDefault="006E4997" w:rsidP="006E4997">
      <w:pPr>
        <w:pStyle w:val="BodyText4"/>
        <w:rPr>
          <w:rFonts w:cstheme="minorHAnsi"/>
          <w:color w:val="000000" w:themeColor="text1"/>
        </w:rPr>
      </w:pPr>
      <w:r w:rsidRPr="00107C19">
        <w:rPr>
          <w:color w:val="000000" w:themeColor="text1"/>
        </w:rPr>
        <w:t>Cotton Standards: AMS produced cotton grade standards boxes for the current crop year, consisting of approximately 1,650 Upland and Pima cotton grade standards boxes representing the 21 physical cotton grade standards. All freshly produced standards boxes were reviewed and approved by cotton industry representatives in June 2022 in Memphis, TN and all Pima standards boxes were reviewed and approved by Cotton Industry representatives in Visalia, CA. In addition, over 80,000 pounds of instrument calibration cotton standards were distributed to the domestic and international cotton industries.</w:t>
      </w:r>
    </w:p>
    <w:p w14:paraId="6EEBE794" w14:textId="77777777" w:rsidR="006E4997" w:rsidRPr="00107C19" w:rsidRDefault="006E4997" w:rsidP="006E4997">
      <w:pPr>
        <w:pStyle w:val="Heading4"/>
      </w:pPr>
      <w:bookmarkStart w:id="56" w:name="_Toc119484019"/>
      <w:bookmarkStart w:id="57" w:name="_Toc120685162"/>
      <w:bookmarkStart w:id="58" w:name="_Toc123025315"/>
      <w:bookmarkStart w:id="59" w:name="_Toc157423624"/>
      <w:bookmarkStart w:id="60" w:name="_Toc160185948"/>
      <w:r w:rsidRPr="00107C19">
        <w:t>International Standardization</w:t>
      </w:r>
      <w:bookmarkEnd w:id="56"/>
      <w:bookmarkEnd w:id="57"/>
      <w:bookmarkEnd w:id="58"/>
      <w:bookmarkEnd w:id="59"/>
      <w:bookmarkEnd w:id="60"/>
    </w:p>
    <w:p w14:paraId="6B1FF8BF" w14:textId="77777777" w:rsidR="006E4997" w:rsidRPr="00107C19" w:rsidRDefault="006E4997" w:rsidP="006E4997">
      <w:pPr>
        <w:pStyle w:val="BodyText4"/>
        <w:rPr>
          <w:rFonts w:cstheme="minorHAnsi"/>
          <w:color w:val="000000" w:themeColor="text1"/>
        </w:rPr>
      </w:pPr>
      <w:r w:rsidRPr="00107C19">
        <w:rPr>
          <w:color w:val="000000" w:themeColor="text1"/>
        </w:rPr>
        <w:t xml:space="preserve">According to the National Technology Transfer and Advancement Act of 1995 all Federal agencies and departments should use technical standards that are developed or adopted by voluntary consensus standards bodies to carry out policy objectives or activities. AMS remains a leader in global marketing standards initiatives and represents the U.S. in meetings of the Codex Alimentarius, the International Dairy Federation (IDF), the United Nations Economic Commission for Europe (UNECE), the Organization for Economic Cooperation and Development (OECD), the International Organization for Standardization (ISO), the International Union for the Protection of New Varieties of Plants (UPOV), the International Seed Testing Association (ISTA), the International Meat Secretariat, the American Society for Testing and Materials International, the U.S. Canadian Regulatory Cooperation Council, the Inter-American Commission on Organic Agriculture, the International Cotton Advisory Committee, international cotton outreach, and several bilateral consultative committees on agriculture. </w:t>
      </w:r>
    </w:p>
    <w:p w14:paraId="4496AB73"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lastRenderedPageBreak/>
        <w:t xml:space="preserve">Much of the work in international standardization involves developing and  validating methods of analysis, leveraging new technologies for agricultural use, establishing specialized characteristic descriptions, developing interpretative literature, and capturing and analyzing increasingly large datasets. AMS  regularly undertakes international outreach to promote its positions at international meetings and to influence regulatory practices and application of standards of foreign countries and relevant international organizations.  </w:t>
      </w:r>
    </w:p>
    <w:p w14:paraId="633C428D" w14:textId="77777777" w:rsidR="006E4997" w:rsidRPr="00107C19" w:rsidRDefault="006E4997" w:rsidP="006E4997">
      <w:pPr>
        <w:pStyle w:val="BodyText4"/>
        <w:rPr>
          <w:color w:val="000000" w:themeColor="text1"/>
        </w:rPr>
      </w:pPr>
      <w:r w:rsidRPr="00107C19">
        <w:rPr>
          <w:color w:val="000000" w:themeColor="text1"/>
        </w:rPr>
        <w:t xml:space="preserve">Examples of recent progress include: </w:t>
      </w:r>
    </w:p>
    <w:p w14:paraId="19D20B05" w14:textId="77777777" w:rsidR="006E4997" w:rsidRPr="00107C19" w:rsidRDefault="006E4997" w:rsidP="006E4997">
      <w:pPr>
        <w:pStyle w:val="BodyText4"/>
        <w:rPr>
          <w:color w:val="000000" w:themeColor="text1"/>
        </w:rPr>
      </w:pPr>
      <w:r w:rsidRPr="00107C19">
        <w:rPr>
          <w:color w:val="000000" w:themeColor="text1"/>
        </w:rPr>
        <w:t xml:space="preserve">ISO Agricultural Biotechnology Standards: AMS serves as the international executive committee manager and technical expert of ISO technical committee 34 Food Products/subcommittee 16 Horizontal methods for molecular biomarker analysis (TC 34/SC 16). Deliverables in the form of ISO standards, technical specifications and technical reports from this committee now provide methods, requirements, and specifications for GMO testing, including citations and recommendations in the US National Bioengineered Food Disclosure Standard. The eight working groups in TC 34/SC 16 also cover meat speciation including food authentication, subsampling of seeds and grains, rapid nucleic acid amplification methods, biobanking for agriculture and food production, molecular biomarkers of agricultural fibers, microarray detection, genetically engineered content detection and quantification, and single laboratory validation of qualitative real time PCR methods. In 2023, AMS served on the drafting committee to publish ISO 23418:2022 Microbiology of the food chain — Whole genome sequencing for typing and genomic characterization of bacteria — General requirements and guidance and provided a proposal at the ISO TC 34 Food Products/SC 9 Microbiology of the Food Chain plenary meeting in 2022 for the development of new work on a One Health approach to the biomolecular identification of antimicrobial resistance in microbial pathogens. AMS currently serves in an expert role for ISO committees in health informatics, statistics, and genomic DNA data compression. In 2023 AMS represented the USDA on the ISO Technical Management Board Strategic Advisory Group on Smart Farming (ISO TMB SAG SF). Smart farming refers to the modern use of information and communication technologies (ICT) in agriculture. AMS continued to serve in an expert capacity in ISO TC 276 Biotechnology the work of which includes biobanking, analytical methods, bioprocessing and data processing and integration. As a contributor to the development of ISO 35001:2019 Bio risk management for laboratories and other related organizations produced by ISO/TC 212 Clinical laboratory testing and in vitro diagnostic test systems AMS is now working to continue this work with two projects for its implementation and the competence of those involved. In 2023, AMS chaired the AOAC International Stakeholder Program on Agent Detection Assays Working Group (WG) III Next Generation DNA sequencing Standards for Validation Criteria for Databases and in silico Processes to developed validation criteria and confidence parameters for reference genome databases. </w:t>
      </w:r>
    </w:p>
    <w:p w14:paraId="29FD7298" w14:textId="77777777" w:rsidR="006E4997" w:rsidRPr="00107C19" w:rsidRDefault="006E4997" w:rsidP="006E4997">
      <w:pPr>
        <w:pStyle w:val="BodyText4"/>
        <w:rPr>
          <w:color w:val="000000" w:themeColor="text1"/>
        </w:rPr>
      </w:pPr>
      <w:r w:rsidRPr="00107C19">
        <w:rPr>
          <w:color w:val="000000" w:themeColor="text1"/>
        </w:rPr>
        <w:t xml:space="preserve">ISO Dairy Standards: In 2023, AMS continued ISO Dairy Standards work through the U.S. Technical Advisory Group for ISO Technical Committee 34/Subcommittee 5 Milk and Milk Products. </w:t>
      </w:r>
    </w:p>
    <w:p w14:paraId="7B21F866" w14:textId="77777777" w:rsidR="006E4997" w:rsidRPr="00107C19" w:rsidRDefault="006E4997" w:rsidP="006E4997">
      <w:pPr>
        <w:pStyle w:val="BodyText4"/>
        <w:rPr>
          <w:color w:val="000000" w:themeColor="text1"/>
        </w:rPr>
      </w:pPr>
      <w:r w:rsidRPr="00107C19">
        <w:rPr>
          <w:color w:val="000000" w:themeColor="text1"/>
        </w:rPr>
        <w:t xml:space="preserve">ISO Meat, Poultry, Fish, Egg Standards: AMS represents U.S. interests as chair and administrator </w:t>
      </w:r>
      <w:r w:rsidRPr="00107C19">
        <w:rPr>
          <w:color w:val="000000" w:themeColor="text1"/>
        </w:rPr>
        <w:lastRenderedPageBreak/>
        <w:t xml:space="preserve">for the ISO Technical Committee (TC) 34/Subcommittee (SC) 6 Meat, Poultry, Fish, Eggs and their products. AMS participated in virtual plenary sessions that covered a variety of topics and submitted ballot votes on several proposed revisions to standards. </w:t>
      </w:r>
    </w:p>
    <w:p w14:paraId="61435052" w14:textId="77777777" w:rsidR="006E4997" w:rsidRPr="00107C19" w:rsidRDefault="006E4997" w:rsidP="006E4997">
      <w:pPr>
        <w:pStyle w:val="BodyText4"/>
        <w:rPr>
          <w:color w:val="000000" w:themeColor="text1"/>
        </w:rPr>
      </w:pPr>
      <w:r w:rsidRPr="00107C19">
        <w:rPr>
          <w:color w:val="000000" w:themeColor="text1"/>
        </w:rPr>
        <w:t xml:space="preserve">UNECE Specialized Section on Standardization of Meat: AMS representatives attended and participated in virtual and in-person sessions of the United Nations Specialized Section on the Standardization of Meat. These sessions were organized by Geneva, Switzerland based UN representatives and covered topics such as marbling and fat in meat products; aligning UNECE product codes with Harmonized Tariff Codes and harmonizing meat nomenclature between ISO and UN standards. AMS serves as Vice-Chair of the Specialized Section, and in this role, AMS attended the 77th session of the Working Party on Agricultural Quality Standards and served as moderator of a round table discussion on food waste and prevention. </w:t>
      </w:r>
    </w:p>
    <w:p w14:paraId="6E6D4FF3" w14:textId="77777777" w:rsidR="006E4997" w:rsidRPr="00107C19" w:rsidRDefault="006E4997" w:rsidP="006E4997">
      <w:pPr>
        <w:pStyle w:val="BodyText4"/>
        <w:rPr>
          <w:color w:val="000000" w:themeColor="text1"/>
        </w:rPr>
      </w:pPr>
      <w:r w:rsidRPr="00107C19">
        <w:rPr>
          <w:color w:val="000000" w:themeColor="text1"/>
        </w:rPr>
        <w:t xml:space="preserve">Specialty Crops: AMS is an ongoing participant in activities that facilitate the development of international standards, and standards interpretations and positions that benefit American agriculture by building strong markets for U.S. specialty crops worldwide. In 2022, AMS participated in Codex committees and working groups established to advance standards for fresh and processed fruits and vegetables and spiced herbs. AMS coordinates its activities with the U.S. Codex Offices in the USDA/Food Safety and Inspection Service; the Food and Drug Administration (FDA); relevant domestic stakeholders; and Codex committees and working groups. </w:t>
      </w:r>
    </w:p>
    <w:p w14:paraId="72A10846" w14:textId="77777777" w:rsidR="006E4997" w:rsidRPr="00107C19" w:rsidRDefault="006E4997" w:rsidP="006E4997">
      <w:pPr>
        <w:pStyle w:val="BodyText4"/>
        <w:rPr>
          <w:color w:val="000000" w:themeColor="text1"/>
        </w:rPr>
      </w:pPr>
      <w:r w:rsidRPr="00107C19">
        <w:rPr>
          <w:color w:val="000000" w:themeColor="text1"/>
        </w:rPr>
        <w:t xml:space="preserve">Codex Committee on Spices and Culinary Herbs (CCSCH): In 2022, per the recommendation of the United States, the draft standards for saffron, nutmeg, and for dried or dehydrated chili peppers and paprika were forwarded to Codex Alimentarius for adoption. </w:t>
      </w:r>
    </w:p>
    <w:p w14:paraId="26C74DF5" w14:textId="77777777" w:rsidR="006E4997" w:rsidRPr="00107C19" w:rsidRDefault="006E4997" w:rsidP="006E4997">
      <w:pPr>
        <w:pStyle w:val="BodyText4"/>
        <w:rPr>
          <w:color w:val="000000" w:themeColor="text1"/>
        </w:rPr>
      </w:pPr>
      <w:r w:rsidRPr="00107C19">
        <w:rPr>
          <w:color w:val="000000" w:themeColor="text1"/>
        </w:rPr>
        <w:t xml:space="preserve">Codex Committee on Processed Fruits and Vegetables (CCPFV): In 2022, AMS continued to chair this Committee and provide the U.S. delegate to represent U.S. interests to the CCPFV. Per the recommendation of the United States, in 2022, the draft standards for berry fruits, fresh dates, and onions/shallots were forwarded to Codex Alimentarius for adoption. UNECE: In 2022, AMS participated in the work of the UNECE Specialized Section on Standardization of Fresh Fruits and Vegetables (SSSFFV), and the UNECE Specialized Section on Standardization of Dry and Dried Produce (SSSDDP). </w:t>
      </w:r>
    </w:p>
    <w:p w14:paraId="47067277" w14:textId="77777777" w:rsidR="006E4997" w:rsidRPr="00107C19" w:rsidRDefault="006E4997" w:rsidP="006E4997">
      <w:pPr>
        <w:pStyle w:val="BodyText4"/>
        <w:rPr>
          <w:color w:val="000000" w:themeColor="text1"/>
        </w:rPr>
      </w:pPr>
      <w:r w:rsidRPr="00107C19">
        <w:rPr>
          <w:color w:val="000000" w:themeColor="text1"/>
        </w:rPr>
        <w:t xml:space="preserve">Plant Variety: AMS, through its Plant Variety Protection Office (PVPO), serves as a member of the International Union for the Protection of New Varieties of Plants (UPOV), headquartered in Geneva, Switzerland. AMS participates in all annual administrative and technical meetings hosted by UPOV and is actively involved in several ad hoc working groups to provide input and represent US positions on a variety of issues important to the seed and plant industries. In 2022, PVPO continued to promote and expand harmonization of global standards by aligning 24 additional crop forms with international standards, linking its electronic application system to the UPOV application system, and increasing the sharing of examination reports. </w:t>
      </w:r>
    </w:p>
    <w:p w14:paraId="5D621D7D" w14:textId="77777777" w:rsidR="006E4997" w:rsidRPr="00107C19" w:rsidRDefault="006E4997" w:rsidP="006E4997">
      <w:pPr>
        <w:pStyle w:val="BodyText4"/>
        <w:rPr>
          <w:color w:val="000000" w:themeColor="text1"/>
        </w:rPr>
      </w:pPr>
      <w:r w:rsidRPr="00107C19">
        <w:rPr>
          <w:color w:val="000000" w:themeColor="text1"/>
        </w:rPr>
        <w:t xml:space="preserve">Codex Committee on Food Import and Export Inspection and Certification Systems (CCFICS): In 2022, AMS contributed the U.S. CCFICS efforts by providing comments to the Electronic Working Group (EWG) for work on Food Fraud and “Use of remote audit and verification in </w:t>
      </w:r>
      <w:r w:rsidRPr="00107C19">
        <w:rPr>
          <w:color w:val="000000" w:themeColor="text1"/>
        </w:rPr>
        <w:lastRenderedPageBreak/>
        <w:t xml:space="preserve">regulatory frameworks.” Additionally, comments were provided regarding the draft standard for Food Fraud, primarily focused on ensuring scope of work remains withing Codex frame of reference and does not expand and into areas of intellectual property that could jeopardize the marketing of certain dairy products. </w:t>
      </w:r>
    </w:p>
    <w:p w14:paraId="18123195" w14:textId="77777777" w:rsidR="006E4997" w:rsidRPr="00107C19" w:rsidRDefault="006E4997" w:rsidP="006E4997">
      <w:pPr>
        <w:pStyle w:val="BodyText4"/>
        <w:rPr>
          <w:color w:val="000000" w:themeColor="text1"/>
        </w:rPr>
      </w:pPr>
      <w:r w:rsidRPr="00107C19">
        <w:rPr>
          <w:color w:val="000000" w:themeColor="text1"/>
        </w:rPr>
        <w:t xml:space="preserve">Egg Exports: In 2022, AMS worked closely with the USDA’s Foreign Agricultural Service to effectively manage foreign country restrictions on U.S. egg exports that resulted from outbreaks of Highly Pathogenic Avian Influenza (HPAI), which skyrocketed from the usual range of 20-50 to over 1,200 during the peak of HPAI and directed the issuance of 90 permits to import over 2 million dozen of eggs destined for breaking plants that experienced supply shortages due to HPAI. </w:t>
      </w:r>
    </w:p>
    <w:p w14:paraId="0D04ED8F" w14:textId="235665BB" w:rsidR="006E4997" w:rsidRPr="00107C19" w:rsidRDefault="006E4997" w:rsidP="006E4997">
      <w:pPr>
        <w:pStyle w:val="BodyText4"/>
        <w:rPr>
          <w:rFonts w:cstheme="minorHAnsi"/>
          <w:color w:val="000000" w:themeColor="text1"/>
        </w:rPr>
      </w:pPr>
      <w:r w:rsidRPr="00107C19">
        <w:rPr>
          <w:color w:val="000000" w:themeColor="text1"/>
        </w:rPr>
        <w:t>Nut Exports to the EU and Japan: AMS continued working with the almond, pistachio, and peanut industries to address European Union border rejections. AMS assisted in analyzing issues to develop responses and long-term corrective actions. AMS advised the pistachio industry as that they engage with the European Commission on their plans to require Ochratoxin A testing for pistachio destined to the EU. AMS, at the pistachio industry’s request, has expanded its laboratory testing program in 2022 to include testing for Ochratoxin A. AMS continues collaborating with FAS to engage Japan’s Ministry of Health, Labour</w:t>
      </w:r>
      <w:r w:rsidR="00864FB2">
        <w:rPr>
          <w:color w:val="000000" w:themeColor="text1"/>
        </w:rPr>
        <w:t>,</w:t>
      </w:r>
      <w:r w:rsidRPr="00107C19">
        <w:rPr>
          <w:color w:val="000000" w:themeColor="text1"/>
        </w:rPr>
        <w:t xml:space="preserve"> and Welfare on almond trade issues. AMS remains engaged with the peanut industry to develop and implement a corrective action plan for EU border rejections and with FAS, began engaging the European Commission on peanut trade issues.</w:t>
      </w:r>
    </w:p>
    <w:p w14:paraId="111A44EB" w14:textId="77777777" w:rsidR="006E4997" w:rsidRPr="00107C19" w:rsidRDefault="006E4997" w:rsidP="006E4997">
      <w:pPr>
        <w:pStyle w:val="Heading3"/>
      </w:pPr>
      <w:bookmarkStart w:id="61" w:name="_Toc157423626"/>
      <w:bookmarkStart w:id="62" w:name="_Toc157423627"/>
      <w:bookmarkStart w:id="63" w:name="_Toc119484021"/>
      <w:bookmarkStart w:id="64" w:name="_Toc120685164"/>
      <w:bookmarkStart w:id="65" w:name="_Toc123025317"/>
      <w:bookmarkStart w:id="66" w:name="_Toc157423628"/>
      <w:bookmarkStart w:id="67" w:name="_Toc160185949"/>
      <w:bookmarkEnd w:id="61"/>
      <w:bookmarkEnd w:id="62"/>
      <w:r w:rsidRPr="00107C19">
        <w:t>Federal Seed Act</w:t>
      </w:r>
      <w:bookmarkEnd w:id="63"/>
      <w:bookmarkEnd w:id="64"/>
      <w:bookmarkEnd w:id="65"/>
      <w:bookmarkEnd w:id="66"/>
      <w:bookmarkEnd w:id="67"/>
    </w:p>
    <w:p w14:paraId="37D2A72A"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The AMS Science and Technology Programs Seed Regulatory and Testing Division (SRTD) administers the Federal Seed Act and other marketing programs to facilitate the trade of agricultural and vegetable seed in domestic and international markets. These activities ensure that seed buyers can make informed choices when purchasing seed and that American seed businesses are able to market their seed on a level playing field. SRTD partners with all 50 State Departments of Agriculture and several industry organizations to leverage its limited resources into a broad network of regulatory and marketing outreach. These partnerships stabilize and support the robust $12 billion U.S. seed market.</w:t>
      </w:r>
    </w:p>
    <w:p w14:paraId="2763CE27" w14:textId="77777777" w:rsidR="006E4997" w:rsidRPr="00107C19" w:rsidRDefault="006E4997" w:rsidP="006E4997">
      <w:pPr>
        <w:spacing w:before="0" w:after="0"/>
        <w:ind w:left="540"/>
        <w:rPr>
          <w:rFonts w:eastAsia="Times New Roman" w:cstheme="minorHAnsi"/>
          <w:color w:val="000000" w:themeColor="text1"/>
          <w:szCs w:val="24"/>
        </w:rPr>
      </w:pPr>
      <w:r w:rsidRPr="00107C19">
        <w:rPr>
          <w:rFonts w:cstheme="minorHAnsi"/>
          <w:color w:val="000000" w:themeColor="text1"/>
          <w:szCs w:val="24"/>
        </w:rPr>
        <w:t xml:space="preserve">In FY 2023, SRTD developed a market monitoring program to ensure that every region within the United States maintains a regulatory presence for monitoring seed trade.  This program was needed due to cuts to many State seed regulatory budgets, leaving several regions of the United States with ineffective oversight.  Each year, SRTD’s market monitoring program evaluates every States’ trading capacity and selects those that have the highest seed trading activities with limited State oversight.  In partnership with the State seed control official, a regulatory team from SRTD randomly selects interstate shippers from those States for inspections.   </w:t>
      </w:r>
      <w:r w:rsidRPr="00107C19">
        <w:rPr>
          <w:rFonts w:eastAsia="Times New Roman" w:cstheme="minorHAnsi"/>
          <w:color w:val="000000" w:themeColor="text1"/>
          <w:szCs w:val="24"/>
        </w:rPr>
        <w:t>This program ensures that there is a web of support for seed buyers nationwide and that no State is used as a dumping ground for bad seed.</w:t>
      </w:r>
    </w:p>
    <w:p w14:paraId="3AE8641E" w14:textId="77777777" w:rsidR="006E4997" w:rsidRPr="00107C19" w:rsidRDefault="006E4997" w:rsidP="006E4997">
      <w:pPr>
        <w:spacing w:before="0" w:after="0"/>
        <w:ind w:left="450"/>
        <w:rPr>
          <w:rFonts w:ascii="Arial" w:hAnsi="Arial" w:cs="Arial"/>
          <w:color w:val="000000" w:themeColor="text1"/>
          <w:sz w:val="20"/>
          <w:szCs w:val="20"/>
        </w:rPr>
      </w:pPr>
    </w:p>
    <w:p w14:paraId="0055A45A" w14:textId="77777777" w:rsidR="006E4997" w:rsidRPr="00107C19" w:rsidRDefault="006E4997" w:rsidP="006E4997">
      <w:pPr>
        <w:pStyle w:val="TableHeading"/>
        <w:ind w:left="450"/>
        <w:rPr>
          <w:rFonts w:ascii="Arial" w:hAnsi="Arial" w:cs="Arial"/>
          <w:color w:val="000000" w:themeColor="text1"/>
          <w:sz w:val="20"/>
        </w:rPr>
      </w:pPr>
      <w:r w:rsidRPr="00107C19">
        <w:rPr>
          <w:rFonts w:ascii="Arial" w:hAnsi="Arial" w:cs="Arial"/>
          <w:color w:val="000000" w:themeColor="text1"/>
          <w:sz w:val="20"/>
        </w:rPr>
        <w:t>AMS Seed Regulatory Activity Summary</w:t>
      </w:r>
    </w:p>
    <w:tbl>
      <w:tblPr>
        <w:tblStyle w:val="TableGrid"/>
        <w:tblW w:w="9630" w:type="dxa"/>
        <w:tblInd w:w="445" w:type="dxa"/>
        <w:tblLayout w:type="fixed"/>
        <w:tblLook w:val="04A0" w:firstRow="1" w:lastRow="0" w:firstColumn="1" w:lastColumn="0" w:noHBand="0" w:noVBand="1"/>
      </w:tblPr>
      <w:tblGrid>
        <w:gridCol w:w="810"/>
        <w:gridCol w:w="1260"/>
        <w:gridCol w:w="1440"/>
        <w:gridCol w:w="1170"/>
        <w:gridCol w:w="1260"/>
        <w:gridCol w:w="1170"/>
        <w:gridCol w:w="1170"/>
        <w:gridCol w:w="1350"/>
      </w:tblGrid>
      <w:tr w:rsidR="00107C19" w:rsidRPr="00107C19" w14:paraId="3C6B214F" w14:textId="77777777" w:rsidTr="002E054C">
        <w:trPr>
          <w:trHeight w:val="350"/>
        </w:trPr>
        <w:tc>
          <w:tcPr>
            <w:tcW w:w="810" w:type="dxa"/>
          </w:tcPr>
          <w:p w14:paraId="708EAED0"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lastRenderedPageBreak/>
              <w:t>Fiscal Year</w:t>
            </w:r>
          </w:p>
        </w:tc>
        <w:tc>
          <w:tcPr>
            <w:tcW w:w="1260" w:type="dxa"/>
          </w:tcPr>
          <w:p w14:paraId="2CD56284"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t>Complaints Received</w:t>
            </w:r>
          </w:p>
        </w:tc>
        <w:tc>
          <w:tcPr>
            <w:tcW w:w="1440" w:type="dxa"/>
          </w:tcPr>
          <w:p w14:paraId="11313B0C"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t>Investigations Completed</w:t>
            </w:r>
          </w:p>
        </w:tc>
        <w:tc>
          <w:tcPr>
            <w:tcW w:w="1170" w:type="dxa"/>
          </w:tcPr>
          <w:p w14:paraId="28B2EDB7"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t>Quality Tests Completed</w:t>
            </w:r>
          </w:p>
        </w:tc>
        <w:tc>
          <w:tcPr>
            <w:tcW w:w="1260" w:type="dxa"/>
          </w:tcPr>
          <w:p w14:paraId="73563B5A"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t>Variety Field Tests Completed</w:t>
            </w:r>
          </w:p>
        </w:tc>
        <w:tc>
          <w:tcPr>
            <w:tcW w:w="1170" w:type="dxa"/>
            <w:tcBorders>
              <w:right w:val="single" w:sz="4" w:space="0" w:color="auto"/>
            </w:tcBorders>
          </w:tcPr>
          <w:p w14:paraId="4E2FDC89"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t>Settlement- warnings</w:t>
            </w:r>
          </w:p>
        </w:tc>
        <w:tc>
          <w:tcPr>
            <w:tcW w:w="1170" w:type="dxa"/>
            <w:tcBorders>
              <w:left w:val="single" w:sz="4" w:space="0" w:color="auto"/>
              <w:right w:val="single" w:sz="4" w:space="0" w:color="auto"/>
            </w:tcBorders>
          </w:tcPr>
          <w:p w14:paraId="1D2C62E4"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t>Settlement- penalties</w:t>
            </w:r>
          </w:p>
        </w:tc>
        <w:tc>
          <w:tcPr>
            <w:tcW w:w="1350" w:type="dxa"/>
            <w:tcBorders>
              <w:left w:val="single" w:sz="4" w:space="0" w:color="auto"/>
            </w:tcBorders>
          </w:tcPr>
          <w:p w14:paraId="4ADA869D" w14:textId="77777777" w:rsidR="006E4997" w:rsidRPr="00107C19" w:rsidRDefault="006E4997" w:rsidP="002E054C">
            <w:pPr>
              <w:pStyle w:val="TableHeading"/>
              <w:ind w:left="-18"/>
              <w:rPr>
                <w:rFonts w:ascii="Arial" w:hAnsi="Arial" w:cs="Arial"/>
                <w:color w:val="000000" w:themeColor="text1"/>
                <w:sz w:val="18"/>
                <w:szCs w:val="18"/>
              </w:rPr>
            </w:pPr>
            <w:r w:rsidRPr="00107C19">
              <w:rPr>
                <w:rFonts w:ascii="Arial" w:hAnsi="Arial" w:cs="Arial"/>
                <w:color w:val="000000" w:themeColor="text1"/>
                <w:sz w:val="18"/>
                <w:szCs w:val="18"/>
              </w:rPr>
              <w:t>Settlement- assessments</w:t>
            </w:r>
          </w:p>
        </w:tc>
      </w:tr>
      <w:tr w:rsidR="00107C19" w:rsidRPr="00107C19" w14:paraId="5B24D528" w14:textId="77777777" w:rsidTr="002E054C">
        <w:tc>
          <w:tcPr>
            <w:tcW w:w="810" w:type="dxa"/>
          </w:tcPr>
          <w:p w14:paraId="74E9993B"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2019</w:t>
            </w:r>
          </w:p>
        </w:tc>
        <w:tc>
          <w:tcPr>
            <w:tcW w:w="1260" w:type="dxa"/>
          </w:tcPr>
          <w:p w14:paraId="40A85BDA"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325</w:t>
            </w:r>
          </w:p>
        </w:tc>
        <w:tc>
          <w:tcPr>
            <w:tcW w:w="1440" w:type="dxa"/>
          </w:tcPr>
          <w:p w14:paraId="15D897EF"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321</w:t>
            </w:r>
          </w:p>
        </w:tc>
        <w:tc>
          <w:tcPr>
            <w:tcW w:w="1170" w:type="dxa"/>
          </w:tcPr>
          <w:p w14:paraId="31496838"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914</w:t>
            </w:r>
          </w:p>
        </w:tc>
        <w:tc>
          <w:tcPr>
            <w:tcW w:w="1260" w:type="dxa"/>
          </w:tcPr>
          <w:p w14:paraId="682FEF41"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400</w:t>
            </w:r>
          </w:p>
        </w:tc>
        <w:tc>
          <w:tcPr>
            <w:tcW w:w="1170" w:type="dxa"/>
          </w:tcPr>
          <w:p w14:paraId="11FA7253"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190</w:t>
            </w:r>
          </w:p>
        </w:tc>
        <w:tc>
          <w:tcPr>
            <w:tcW w:w="1170" w:type="dxa"/>
          </w:tcPr>
          <w:p w14:paraId="5000883C"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120</w:t>
            </w:r>
          </w:p>
        </w:tc>
        <w:tc>
          <w:tcPr>
            <w:tcW w:w="1350" w:type="dxa"/>
          </w:tcPr>
          <w:p w14:paraId="3F773479"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$117,350</w:t>
            </w:r>
          </w:p>
        </w:tc>
      </w:tr>
      <w:tr w:rsidR="00107C19" w:rsidRPr="00107C19" w14:paraId="12D94FC8" w14:textId="77777777" w:rsidTr="002E054C">
        <w:tc>
          <w:tcPr>
            <w:tcW w:w="810" w:type="dxa"/>
          </w:tcPr>
          <w:p w14:paraId="2F123926"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2020</w:t>
            </w:r>
          </w:p>
        </w:tc>
        <w:tc>
          <w:tcPr>
            <w:tcW w:w="1260" w:type="dxa"/>
          </w:tcPr>
          <w:p w14:paraId="69272392"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184</w:t>
            </w:r>
          </w:p>
        </w:tc>
        <w:tc>
          <w:tcPr>
            <w:tcW w:w="1440" w:type="dxa"/>
          </w:tcPr>
          <w:p w14:paraId="1D8C7DCB"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276</w:t>
            </w:r>
          </w:p>
        </w:tc>
        <w:tc>
          <w:tcPr>
            <w:tcW w:w="1170" w:type="dxa"/>
          </w:tcPr>
          <w:p w14:paraId="31C2A1D9"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1180</w:t>
            </w:r>
          </w:p>
        </w:tc>
        <w:tc>
          <w:tcPr>
            <w:tcW w:w="1260" w:type="dxa"/>
          </w:tcPr>
          <w:p w14:paraId="12C7D827"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323</w:t>
            </w:r>
          </w:p>
        </w:tc>
        <w:tc>
          <w:tcPr>
            <w:tcW w:w="1170" w:type="dxa"/>
          </w:tcPr>
          <w:p w14:paraId="17BC0D3D"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129</w:t>
            </w:r>
          </w:p>
        </w:tc>
        <w:tc>
          <w:tcPr>
            <w:tcW w:w="1170" w:type="dxa"/>
          </w:tcPr>
          <w:p w14:paraId="24549210"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106</w:t>
            </w:r>
          </w:p>
        </w:tc>
        <w:tc>
          <w:tcPr>
            <w:tcW w:w="1350" w:type="dxa"/>
          </w:tcPr>
          <w:p w14:paraId="5B742C6E" w14:textId="77777777" w:rsidR="006E4997" w:rsidRPr="00107C19" w:rsidRDefault="006E4997" w:rsidP="002E054C">
            <w:pPr>
              <w:pStyle w:val="BodyText3"/>
              <w:ind w:left="-18"/>
              <w:rPr>
                <w:rFonts w:ascii="Arial" w:hAnsi="Arial" w:cs="Arial"/>
                <w:color w:val="000000" w:themeColor="text1"/>
                <w:sz w:val="18"/>
                <w:szCs w:val="18"/>
              </w:rPr>
            </w:pPr>
            <w:r w:rsidRPr="00107C19">
              <w:rPr>
                <w:rFonts w:ascii="Arial" w:hAnsi="Arial" w:cs="Arial"/>
                <w:color w:val="000000" w:themeColor="text1"/>
                <w:sz w:val="18"/>
                <w:szCs w:val="18"/>
              </w:rPr>
              <w:t>$92,925</w:t>
            </w:r>
          </w:p>
        </w:tc>
      </w:tr>
      <w:tr w:rsidR="00107C19" w:rsidRPr="00107C19" w14:paraId="5BDA19BC" w14:textId="77777777" w:rsidTr="002E054C">
        <w:trPr>
          <w:trHeight w:val="395"/>
        </w:trPr>
        <w:tc>
          <w:tcPr>
            <w:tcW w:w="810" w:type="dxa"/>
            <w:hideMark/>
          </w:tcPr>
          <w:p w14:paraId="35D65AA3" w14:textId="77777777" w:rsidR="006E4997" w:rsidRPr="00107C19" w:rsidRDefault="006E4997" w:rsidP="002E054C">
            <w:pPr>
              <w:pStyle w:val="TableParagraph"/>
              <w:ind w:left="-18" w:right="192"/>
              <w:jc w:val="both"/>
              <w:rPr>
                <w:rFonts w:ascii="Arial" w:eastAsia="Times New Roman" w:hAnsi="Arial" w:cs="Arial"/>
                <w:color w:val="000000" w:themeColor="text1"/>
                <w:sz w:val="18"/>
                <w:szCs w:val="18"/>
              </w:rPr>
            </w:pPr>
            <w:r w:rsidRPr="00107C19">
              <w:rPr>
                <w:rFonts w:ascii="Arial" w:hAnsi="Arial" w:cs="Arial"/>
                <w:color w:val="000000" w:themeColor="text1"/>
                <w:sz w:val="18"/>
                <w:szCs w:val="18"/>
              </w:rPr>
              <w:t>2021</w:t>
            </w:r>
          </w:p>
        </w:tc>
        <w:tc>
          <w:tcPr>
            <w:tcW w:w="1260" w:type="dxa"/>
            <w:hideMark/>
          </w:tcPr>
          <w:p w14:paraId="7B5FF4C8" w14:textId="77777777" w:rsidR="006E4997" w:rsidRPr="00107C19" w:rsidRDefault="006E4997" w:rsidP="002E054C">
            <w:pPr>
              <w:pStyle w:val="TableParagraph"/>
              <w:ind w:left="-18" w:right="178"/>
              <w:jc w:val="both"/>
              <w:rPr>
                <w:rFonts w:ascii="Arial" w:hAnsi="Arial" w:cs="Arial"/>
                <w:color w:val="000000" w:themeColor="text1"/>
                <w:sz w:val="18"/>
                <w:szCs w:val="18"/>
              </w:rPr>
            </w:pPr>
            <w:r w:rsidRPr="00107C19">
              <w:rPr>
                <w:rFonts w:ascii="Arial" w:hAnsi="Arial" w:cs="Arial"/>
                <w:color w:val="000000" w:themeColor="text1"/>
                <w:sz w:val="18"/>
                <w:szCs w:val="18"/>
              </w:rPr>
              <w:t>407</w:t>
            </w:r>
          </w:p>
        </w:tc>
        <w:tc>
          <w:tcPr>
            <w:tcW w:w="1440" w:type="dxa"/>
            <w:hideMark/>
          </w:tcPr>
          <w:p w14:paraId="2B3E8722" w14:textId="77777777" w:rsidR="006E4997" w:rsidRPr="00107C19" w:rsidRDefault="006E4997" w:rsidP="002E054C">
            <w:pPr>
              <w:pStyle w:val="TableParagraph"/>
              <w:ind w:left="-18" w:right="144"/>
              <w:jc w:val="both"/>
              <w:rPr>
                <w:rFonts w:ascii="Arial" w:hAnsi="Arial" w:cs="Arial"/>
                <w:color w:val="000000" w:themeColor="text1"/>
                <w:sz w:val="18"/>
                <w:szCs w:val="18"/>
              </w:rPr>
            </w:pPr>
            <w:r w:rsidRPr="00107C19">
              <w:rPr>
                <w:rFonts w:ascii="Arial" w:hAnsi="Arial" w:cs="Arial"/>
                <w:color w:val="000000" w:themeColor="text1"/>
                <w:sz w:val="18"/>
                <w:szCs w:val="18"/>
              </w:rPr>
              <w:t>409</w:t>
            </w:r>
          </w:p>
        </w:tc>
        <w:tc>
          <w:tcPr>
            <w:tcW w:w="1170" w:type="dxa"/>
            <w:hideMark/>
          </w:tcPr>
          <w:p w14:paraId="18D2DB2D" w14:textId="77777777" w:rsidR="006E4997" w:rsidRPr="00107C19" w:rsidRDefault="006E4997" w:rsidP="002E054C">
            <w:pPr>
              <w:pStyle w:val="TableParagraph"/>
              <w:ind w:left="-18"/>
              <w:jc w:val="both"/>
              <w:rPr>
                <w:rFonts w:ascii="Arial" w:hAnsi="Arial" w:cs="Arial"/>
                <w:color w:val="000000" w:themeColor="text1"/>
                <w:sz w:val="18"/>
                <w:szCs w:val="18"/>
              </w:rPr>
            </w:pPr>
            <w:r w:rsidRPr="00107C19">
              <w:rPr>
                <w:rFonts w:ascii="Arial" w:hAnsi="Arial" w:cs="Arial"/>
                <w:color w:val="000000" w:themeColor="text1"/>
                <w:sz w:val="18"/>
                <w:szCs w:val="18"/>
              </w:rPr>
              <w:t>1089</w:t>
            </w:r>
          </w:p>
        </w:tc>
        <w:tc>
          <w:tcPr>
            <w:tcW w:w="1260" w:type="dxa"/>
            <w:hideMark/>
          </w:tcPr>
          <w:p w14:paraId="6C2F0D2F" w14:textId="77777777" w:rsidR="006E4997" w:rsidRPr="00107C19" w:rsidRDefault="006E4997" w:rsidP="002E054C">
            <w:pPr>
              <w:pStyle w:val="TableParagraph"/>
              <w:ind w:left="-18"/>
              <w:jc w:val="both"/>
              <w:rPr>
                <w:rFonts w:ascii="Arial" w:hAnsi="Arial" w:cs="Arial"/>
                <w:color w:val="000000" w:themeColor="text1"/>
                <w:sz w:val="18"/>
                <w:szCs w:val="18"/>
              </w:rPr>
            </w:pPr>
            <w:r w:rsidRPr="00107C19">
              <w:rPr>
                <w:rFonts w:ascii="Arial" w:hAnsi="Arial" w:cs="Arial"/>
                <w:color w:val="000000" w:themeColor="text1"/>
                <w:sz w:val="18"/>
                <w:szCs w:val="18"/>
              </w:rPr>
              <w:t>360</w:t>
            </w:r>
          </w:p>
        </w:tc>
        <w:tc>
          <w:tcPr>
            <w:tcW w:w="1170" w:type="dxa"/>
            <w:hideMark/>
          </w:tcPr>
          <w:p w14:paraId="6419BAFC" w14:textId="77777777" w:rsidR="006E4997" w:rsidRPr="00107C19" w:rsidRDefault="006E4997" w:rsidP="002E054C">
            <w:pPr>
              <w:pStyle w:val="TableParagraph"/>
              <w:ind w:left="-18" w:right="174"/>
              <w:jc w:val="both"/>
              <w:rPr>
                <w:rFonts w:ascii="Arial" w:hAnsi="Arial" w:cs="Arial"/>
                <w:color w:val="000000" w:themeColor="text1"/>
                <w:sz w:val="18"/>
                <w:szCs w:val="18"/>
              </w:rPr>
            </w:pPr>
            <w:r w:rsidRPr="00107C19">
              <w:rPr>
                <w:rFonts w:ascii="Arial" w:hAnsi="Arial" w:cs="Arial"/>
                <w:color w:val="000000" w:themeColor="text1"/>
                <w:sz w:val="18"/>
                <w:szCs w:val="18"/>
              </w:rPr>
              <w:t>209</w:t>
            </w:r>
          </w:p>
        </w:tc>
        <w:tc>
          <w:tcPr>
            <w:tcW w:w="1170" w:type="dxa"/>
            <w:hideMark/>
          </w:tcPr>
          <w:p w14:paraId="4A273993" w14:textId="77777777" w:rsidR="006E4997" w:rsidRPr="00107C19" w:rsidRDefault="006E4997" w:rsidP="002E054C">
            <w:pPr>
              <w:pStyle w:val="TableParagraph"/>
              <w:ind w:left="-18" w:right="126"/>
              <w:jc w:val="both"/>
              <w:rPr>
                <w:rFonts w:ascii="Arial" w:hAnsi="Arial" w:cs="Arial"/>
                <w:color w:val="000000" w:themeColor="text1"/>
                <w:sz w:val="18"/>
                <w:szCs w:val="18"/>
              </w:rPr>
            </w:pPr>
            <w:r w:rsidRPr="00107C19">
              <w:rPr>
                <w:rFonts w:ascii="Arial" w:hAnsi="Arial" w:cs="Arial"/>
                <w:color w:val="000000" w:themeColor="text1"/>
                <w:sz w:val="18"/>
                <w:szCs w:val="18"/>
              </w:rPr>
              <w:t>92</w:t>
            </w:r>
          </w:p>
        </w:tc>
        <w:tc>
          <w:tcPr>
            <w:tcW w:w="1350" w:type="dxa"/>
            <w:hideMark/>
          </w:tcPr>
          <w:p w14:paraId="5DD8A90C" w14:textId="77777777" w:rsidR="006E4997" w:rsidRPr="00107C19" w:rsidRDefault="006E4997" w:rsidP="002E054C">
            <w:pPr>
              <w:pStyle w:val="TableParagraph"/>
              <w:ind w:left="-18" w:right="96"/>
              <w:jc w:val="both"/>
              <w:rPr>
                <w:rFonts w:ascii="Arial" w:hAnsi="Arial" w:cs="Arial"/>
                <w:color w:val="000000" w:themeColor="text1"/>
                <w:sz w:val="18"/>
                <w:szCs w:val="18"/>
              </w:rPr>
            </w:pPr>
            <w:r w:rsidRPr="00107C19">
              <w:rPr>
                <w:rFonts w:ascii="Arial" w:hAnsi="Arial" w:cs="Arial"/>
                <w:color w:val="000000" w:themeColor="text1"/>
                <w:sz w:val="18"/>
                <w:szCs w:val="18"/>
              </w:rPr>
              <w:t>$65,050</w:t>
            </w:r>
          </w:p>
        </w:tc>
      </w:tr>
      <w:tr w:rsidR="00107C19" w:rsidRPr="00107C19" w14:paraId="558472B3" w14:textId="77777777" w:rsidTr="002E054C">
        <w:trPr>
          <w:trHeight w:val="395"/>
        </w:trPr>
        <w:tc>
          <w:tcPr>
            <w:tcW w:w="810" w:type="dxa"/>
            <w:hideMark/>
          </w:tcPr>
          <w:p w14:paraId="591A1C1C" w14:textId="77777777" w:rsidR="006E4997" w:rsidRPr="00107C19" w:rsidRDefault="006E4997" w:rsidP="002E054C">
            <w:pPr>
              <w:pStyle w:val="TableParagraph"/>
              <w:ind w:left="-18" w:right="192"/>
              <w:jc w:val="both"/>
              <w:rPr>
                <w:rFonts w:ascii="Arial" w:hAnsi="Arial" w:cs="Arial"/>
                <w:color w:val="000000" w:themeColor="text1"/>
                <w:sz w:val="18"/>
                <w:szCs w:val="18"/>
              </w:rPr>
            </w:pPr>
            <w:r w:rsidRPr="00107C19">
              <w:rPr>
                <w:rFonts w:ascii="Arial" w:hAnsi="Arial" w:cs="Arial"/>
                <w:color w:val="000000" w:themeColor="text1"/>
                <w:sz w:val="18"/>
                <w:szCs w:val="18"/>
              </w:rPr>
              <w:t>2022</w:t>
            </w:r>
          </w:p>
        </w:tc>
        <w:tc>
          <w:tcPr>
            <w:tcW w:w="1260" w:type="dxa"/>
            <w:hideMark/>
          </w:tcPr>
          <w:p w14:paraId="59B53DB4" w14:textId="77777777" w:rsidR="006E4997" w:rsidRPr="00107C19" w:rsidRDefault="006E4997" w:rsidP="002E054C">
            <w:pPr>
              <w:pStyle w:val="TableParagraph"/>
              <w:ind w:left="-18" w:right="178"/>
              <w:jc w:val="both"/>
              <w:rPr>
                <w:rFonts w:ascii="Arial" w:hAnsi="Arial" w:cs="Arial"/>
                <w:color w:val="000000" w:themeColor="text1"/>
                <w:sz w:val="18"/>
                <w:szCs w:val="18"/>
              </w:rPr>
            </w:pPr>
            <w:r w:rsidRPr="00107C19">
              <w:rPr>
                <w:rFonts w:ascii="Arial" w:hAnsi="Arial" w:cs="Arial"/>
                <w:color w:val="000000" w:themeColor="text1"/>
                <w:sz w:val="18"/>
                <w:szCs w:val="18"/>
              </w:rPr>
              <w:t>400</w:t>
            </w:r>
          </w:p>
        </w:tc>
        <w:tc>
          <w:tcPr>
            <w:tcW w:w="1440" w:type="dxa"/>
            <w:hideMark/>
          </w:tcPr>
          <w:p w14:paraId="190D12F0" w14:textId="77777777" w:rsidR="006E4997" w:rsidRPr="00107C19" w:rsidRDefault="006E4997" w:rsidP="002E054C">
            <w:pPr>
              <w:pStyle w:val="TableParagraph"/>
              <w:ind w:left="-18" w:right="144"/>
              <w:jc w:val="both"/>
              <w:rPr>
                <w:rFonts w:ascii="Arial" w:hAnsi="Arial" w:cs="Arial"/>
                <w:color w:val="000000" w:themeColor="text1"/>
                <w:sz w:val="18"/>
                <w:szCs w:val="18"/>
              </w:rPr>
            </w:pPr>
            <w:r w:rsidRPr="00107C19">
              <w:rPr>
                <w:rFonts w:ascii="Arial" w:hAnsi="Arial" w:cs="Arial"/>
                <w:color w:val="000000" w:themeColor="text1"/>
                <w:sz w:val="18"/>
                <w:szCs w:val="18"/>
              </w:rPr>
              <w:t>366</w:t>
            </w:r>
          </w:p>
        </w:tc>
        <w:tc>
          <w:tcPr>
            <w:tcW w:w="1170" w:type="dxa"/>
            <w:hideMark/>
          </w:tcPr>
          <w:p w14:paraId="259C2DEC" w14:textId="77777777" w:rsidR="006E4997" w:rsidRPr="00107C19" w:rsidRDefault="006E4997" w:rsidP="002E054C">
            <w:pPr>
              <w:pStyle w:val="TableParagraph"/>
              <w:ind w:left="-18"/>
              <w:jc w:val="both"/>
              <w:rPr>
                <w:rFonts w:ascii="Arial" w:hAnsi="Arial" w:cs="Arial"/>
                <w:color w:val="000000" w:themeColor="text1"/>
                <w:sz w:val="18"/>
                <w:szCs w:val="18"/>
              </w:rPr>
            </w:pPr>
            <w:r w:rsidRPr="00107C19">
              <w:rPr>
                <w:rFonts w:ascii="Arial" w:hAnsi="Arial" w:cs="Arial"/>
                <w:color w:val="000000" w:themeColor="text1"/>
                <w:sz w:val="18"/>
                <w:szCs w:val="18"/>
              </w:rPr>
              <w:t>1324</w:t>
            </w:r>
          </w:p>
        </w:tc>
        <w:tc>
          <w:tcPr>
            <w:tcW w:w="1260" w:type="dxa"/>
            <w:hideMark/>
          </w:tcPr>
          <w:p w14:paraId="739A7B11" w14:textId="77777777" w:rsidR="006E4997" w:rsidRPr="00107C19" w:rsidRDefault="006E4997" w:rsidP="002E054C">
            <w:pPr>
              <w:pStyle w:val="TableParagraph"/>
              <w:ind w:left="-18"/>
              <w:jc w:val="both"/>
              <w:rPr>
                <w:rFonts w:ascii="Arial" w:hAnsi="Arial" w:cs="Arial"/>
                <w:color w:val="000000" w:themeColor="text1"/>
                <w:sz w:val="18"/>
                <w:szCs w:val="18"/>
              </w:rPr>
            </w:pPr>
            <w:r w:rsidRPr="00107C19">
              <w:rPr>
                <w:rFonts w:ascii="Arial" w:hAnsi="Arial" w:cs="Arial"/>
                <w:color w:val="000000" w:themeColor="text1"/>
                <w:sz w:val="18"/>
                <w:szCs w:val="18"/>
              </w:rPr>
              <w:t>482</w:t>
            </w:r>
          </w:p>
        </w:tc>
        <w:tc>
          <w:tcPr>
            <w:tcW w:w="1170" w:type="dxa"/>
            <w:hideMark/>
          </w:tcPr>
          <w:p w14:paraId="08702E32" w14:textId="77777777" w:rsidR="006E4997" w:rsidRPr="00107C19" w:rsidRDefault="006E4997" w:rsidP="002E054C">
            <w:pPr>
              <w:pStyle w:val="TableParagraph"/>
              <w:ind w:left="-18" w:right="174"/>
              <w:jc w:val="both"/>
              <w:rPr>
                <w:rFonts w:ascii="Arial" w:hAnsi="Arial" w:cs="Arial"/>
                <w:color w:val="000000" w:themeColor="text1"/>
                <w:sz w:val="18"/>
                <w:szCs w:val="18"/>
              </w:rPr>
            </w:pPr>
            <w:r w:rsidRPr="00107C19">
              <w:rPr>
                <w:rFonts w:ascii="Arial" w:hAnsi="Arial" w:cs="Arial"/>
                <w:color w:val="000000" w:themeColor="text1"/>
                <w:sz w:val="18"/>
                <w:szCs w:val="18"/>
              </w:rPr>
              <w:t>181</w:t>
            </w:r>
          </w:p>
        </w:tc>
        <w:tc>
          <w:tcPr>
            <w:tcW w:w="1170" w:type="dxa"/>
            <w:hideMark/>
          </w:tcPr>
          <w:p w14:paraId="52A8E0BF" w14:textId="77777777" w:rsidR="006E4997" w:rsidRPr="00107C19" w:rsidRDefault="006E4997" w:rsidP="002E054C">
            <w:pPr>
              <w:pStyle w:val="TableParagraph"/>
              <w:ind w:left="-18" w:right="126"/>
              <w:jc w:val="both"/>
              <w:rPr>
                <w:rFonts w:ascii="Arial" w:hAnsi="Arial" w:cs="Arial"/>
                <w:color w:val="000000" w:themeColor="text1"/>
                <w:sz w:val="18"/>
                <w:szCs w:val="18"/>
              </w:rPr>
            </w:pPr>
            <w:r w:rsidRPr="00107C19">
              <w:rPr>
                <w:rFonts w:ascii="Arial" w:hAnsi="Arial" w:cs="Arial"/>
                <w:color w:val="000000" w:themeColor="text1"/>
                <w:sz w:val="18"/>
                <w:szCs w:val="18"/>
              </w:rPr>
              <w:t>116</w:t>
            </w:r>
          </w:p>
        </w:tc>
        <w:tc>
          <w:tcPr>
            <w:tcW w:w="1350" w:type="dxa"/>
            <w:hideMark/>
          </w:tcPr>
          <w:p w14:paraId="33C2DC26" w14:textId="77777777" w:rsidR="006E4997" w:rsidRPr="00107C19" w:rsidRDefault="006E4997" w:rsidP="002E054C">
            <w:pPr>
              <w:pStyle w:val="TableParagraph"/>
              <w:ind w:left="-18" w:right="96"/>
              <w:jc w:val="both"/>
              <w:rPr>
                <w:rFonts w:ascii="Arial" w:hAnsi="Arial" w:cs="Arial"/>
                <w:color w:val="000000" w:themeColor="text1"/>
                <w:sz w:val="18"/>
                <w:szCs w:val="18"/>
              </w:rPr>
            </w:pPr>
            <w:r w:rsidRPr="00107C19">
              <w:rPr>
                <w:rFonts w:ascii="Arial" w:hAnsi="Arial" w:cs="Arial"/>
                <w:color w:val="000000" w:themeColor="text1"/>
                <w:sz w:val="18"/>
                <w:szCs w:val="18"/>
              </w:rPr>
              <w:t>$98,100</w:t>
            </w:r>
          </w:p>
        </w:tc>
      </w:tr>
      <w:tr w:rsidR="006E4997" w:rsidRPr="00107C19" w14:paraId="7BA3D83B" w14:textId="77777777" w:rsidTr="002E054C">
        <w:trPr>
          <w:trHeight w:val="395"/>
        </w:trPr>
        <w:tc>
          <w:tcPr>
            <w:tcW w:w="810" w:type="dxa"/>
          </w:tcPr>
          <w:p w14:paraId="55310F26" w14:textId="77777777" w:rsidR="006E4997" w:rsidRPr="00107C19" w:rsidRDefault="006E4997" w:rsidP="002E054C">
            <w:pPr>
              <w:pStyle w:val="TableParagraph"/>
              <w:ind w:left="-18" w:right="192"/>
              <w:jc w:val="both"/>
              <w:rPr>
                <w:rFonts w:ascii="Arial" w:hAnsi="Arial" w:cs="Arial"/>
                <w:color w:val="000000" w:themeColor="text1"/>
                <w:sz w:val="18"/>
                <w:szCs w:val="18"/>
              </w:rPr>
            </w:pPr>
            <w:r w:rsidRPr="00107C19">
              <w:rPr>
                <w:rFonts w:ascii="Arial" w:hAnsi="Arial" w:cs="Arial"/>
                <w:color w:val="000000" w:themeColor="text1"/>
                <w:sz w:val="18"/>
                <w:szCs w:val="18"/>
              </w:rPr>
              <w:t>2023</w:t>
            </w:r>
          </w:p>
        </w:tc>
        <w:tc>
          <w:tcPr>
            <w:tcW w:w="1260" w:type="dxa"/>
          </w:tcPr>
          <w:p w14:paraId="561F01A4" w14:textId="77777777" w:rsidR="006E4997" w:rsidRPr="00107C19" w:rsidRDefault="006E4997" w:rsidP="002E054C">
            <w:pPr>
              <w:pStyle w:val="TableParagraph"/>
              <w:ind w:left="-18" w:right="178"/>
              <w:jc w:val="both"/>
              <w:rPr>
                <w:rFonts w:ascii="Arial" w:hAnsi="Arial" w:cs="Arial"/>
                <w:color w:val="000000" w:themeColor="text1"/>
                <w:sz w:val="18"/>
                <w:szCs w:val="18"/>
              </w:rPr>
            </w:pPr>
            <w:r w:rsidRPr="00107C19">
              <w:rPr>
                <w:rFonts w:ascii="Arial" w:hAnsi="Arial" w:cs="Arial"/>
                <w:color w:val="000000" w:themeColor="text1"/>
                <w:sz w:val="18"/>
                <w:szCs w:val="18"/>
              </w:rPr>
              <w:t>492</w:t>
            </w:r>
          </w:p>
        </w:tc>
        <w:tc>
          <w:tcPr>
            <w:tcW w:w="1440" w:type="dxa"/>
          </w:tcPr>
          <w:p w14:paraId="7E8ECC70" w14:textId="77777777" w:rsidR="006E4997" w:rsidRPr="00107C19" w:rsidRDefault="006E4997" w:rsidP="002E054C">
            <w:pPr>
              <w:pStyle w:val="TableParagraph"/>
              <w:ind w:left="-18" w:right="144"/>
              <w:jc w:val="both"/>
              <w:rPr>
                <w:rFonts w:ascii="Arial" w:hAnsi="Arial" w:cs="Arial"/>
                <w:color w:val="000000" w:themeColor="text1"/>
                <w:sz w:val="18"/>
                <w:szCs w:val="18"/>
              </w:rPr>
            </w:pPr>
            <w:r w:rsidRPr="00107C19">
              <w:rPr>
                <w:rFonts w:ascii="Arial" w:hAnsi="Arial" w:cs="Arial"/>
                <w:color w:val="000000" w:themeColor="text1"/>
                <w:sz w:val="18"/>
                <w:szCs w:val="18"/>
              </w:rPr>
              <w:t>406</w:t>
            </w:r>
          </w:p>
        </w:tc>
        <w:tc>
          <w:tcPr>
            <w:tcW w:w="1170" w:type="dxa"/>
          </w:tcPr>
          <w:p w14:paraId="4745D90D" w14:textId="77777777" w:rsidR="006E4997" w:rsidRPr="00107C19" w:rsidRDefault="006E4997" w:rsidP="002E054C">
            <w:pPr>
              <w:pStyle w:val="TableParagraph"/>
              <w:ind w:left="-18"/>
              <w:jc w:val="both"/>
              <w:rPr>
                <w:rFonts w:ascii="Arial" w:hAnsi="Arial" w:cs="Arial"/>
                <w:color w:val="000000" w:themeColor="text1"/>
                <w:sz w:val="18"/>
                <w:szCs w:val="18"/>
              </w:rPr>
            </w:pPr>
            <w:r w:rsidRPr="00107C19">
              <w:rPr>
                <w:rFonts w:ascii="Arial" w:hAnsi="Arial" w:cs="Arial"/>
                <w:color w:val="000000" w:themeColor="text1"/>
                <w:sz w:val="18"/>
                <w:szCs w:val="18"/>
              </w:rPr>
              <w:t>1264</w:t>
            </w:r>
          </w:p>
        </w:tc>
        <w:tc>
          <w:tcPr>
            <w:tcW w:w="1260" w:type="dxa"/>
          </w:tcPr>
          <w:p w14:paraId="5DA4A502" w14:textId="77777777" w:rsidR="006E4997" w:rsidRPr="00107C19" w:rsidRDefault="006E4997" w:rsidP="002E054C">
            <w:pPr>
              <w:pStyle w:val="TableParagraph"/>
              <w:ind w:left="-18"/>
              <w:jc w:val="both"/>
              <w:rPr>
                <w:rFonts w:ascii="Arial" w:hAnsi="Arial" w:cs="Arial"/>
                <w:color w:val="000000" w:themeColor="text1"/>
                <w:sz w:val="18"/>
                <w:szCs w:val="18"/>
              </w:rPr>
            </w:pPr>
            <w:r w:rsidRPr="00107C19">
              <w:rPr>
                <w:rFonts w:ascii="Arial" w:hAnsi="Arial" w:cs="Arial"/>
                <w:color w:val="000000" w:themeColor="text1"/>
                <w:sz w:val="18"/>
                <w:szCs w:val="18"/>
              </w:rPr>
              <w:t>265</w:t>
            </w:r>
          </w:p>
        </w:tc>
        <w:tc>
          <w:tcPr>
            <w:tcW w:w="1170" w:type="dxa"/>
          </w:tcPr>
          <w:p w14:paraId="105B1D0A" w14:textId="77777777" w:rsidR="006E4997" w:rsidRPr="00107C19" w:rsidRDefault="006E4997" w:rsidP="002E054C">
            <w:pPr>
              <w:pStyle w:val="TableParagraph"/>
              <w:ind w:left="-18" w:right="174"/>
              <w:jc w:val="both"/>
              <w:rPr>
                <w:rFonts w:ascii="Arial" w:hAnsi="Arial" w:cs="Arial"/>
                <w:color w:val="000000" w:themeColor="text1"/>
                <w:sz w:val="18"/>
                <w:szCs w:val="18"/>
              </w:rPr>
            </w:pPr>
            <w:r w:rsidRPr="00107C19">
              <w:rPr>
                <w:rFonts w:ascii="Arial" w:hAnsi="Arial" w:cs="Arial"/>
                <w:color w:val="000000" w:themeColor="text1"/>
                <w:sz w:val="18"/>
                <w:szCs w:val="18"/>
              </w:rPr>
              <w:t>226</w:t>
            </w:r>
          </w:p>
        </w:tc>
        <w:tc>
          <w:tcPr>
            <w:tcW w:w="1170" w:type="dxa"/>
          </w:tcPr>
          <w:p w14:paraId="1275BDE9" w14:textId="77777777" w:rsidR="006E4997" w:rsidRPr="00107C19" w:rsidRDefault="006E4997" w:rsidP="002E054C">
            <w:pPr>
              <w:pStyle w:val="TableParagraph"/>
              <w:ind w:left="-18" w:right="126"/>
              <w:jc w:val="both"/>
              <w:rPr>
                <w:rFonts w:ascii="Arial" w:hAnsi="Arial" w:cs="Arial"/>
                <w:color w:val="000000" w:themeColor="text1"/>
                <w:sz w:val="18"/>
                <w:szCs w:val="18"/>
              </w:rPr>
            </w:pPr>
            <w:r w:rsidRPr="00107C19">
              <w:rPr>
                <w:rFonts w:ascii="Arial" w:hAnsi="Arial" w:cs="Arial"/>
                <w:color w:val="000000" w:themeColor="text1"/>
                <w:sz w:val="18"/>
                <w:szCs w:val="18"/>
              </w:rPr>
              <w:t>50</w:t>
            </w:r>
          </w:p>
        </w:tc>
        <w:tc>
          <w:tcPr>
            <w:tcW w:w="1350" w:type="dxa"/>
          </w:tcPr>
          <w:p w14:paraId="4A034CBD" w14:textId="77777777" w:rsidR="006E4997" w:rsidRPr="00107C19" w:rsidRDefault="006E4997" w:rsidP="002E054C">
            <w:pPr>
              <w:pStyle w:val="TableParagraph"/>
              <w:ind w:left="-18" w:right="96"/>
              <w:jc w:val="both"/>
              <w:rPr>
                <w:rFonts w:ascii="Arial" w:hAnsi="Arial" w:cs="Arial"/>
                <w:color w:val="000000" w:themeColor="text1"/>
                <w:sz w:val="18"/>
                <w:szCs w:val="18"/>
              </w:rPr>
            </w:pPr>
            <w:r w:rsidRPr="00107C19">
              <w:rPr>
                <w:rFonts w:ascii="Arial" w:hAnsi="Arial" w:cs="Arial"/>
                <w:color w:val="000000" w:themeColor="text1"/>
                <w:sz w:val="18"/>
                <w:szCs w:val="18"/>
              </w:rPr>
              <w:t>$49,975</w:t>
            </w:r>
          </w:p>
        </w:tc>
      </w:tr>
    </w:tbl>
    <w:p w14:paraId="57AB4D03" w14:textId="77777777" w:rsidR="006E4997" w:rsidRPr="00107C19" w:rsidRDefault="006E4997" w:rsidP="006E4997">
      <w:pPr>
        <w:pStyle w:val="BodyText3"/>
        <w:ind w:left="450"/>
        <w:rPr>
          <w:rFonts w:ascii="Arial" w:hAnsi="Arial" w:cs="Arial"/>
          <w:b/>
          <w:bCs/>
          <w:color w:val="000000" w:themeColor="text1"/>
          <w:sz w:val="20"/>
          <w:szCs w:val="20"/>
          <w:u w:val="single"/>
        </w:rPr>
      </w:pPr>
    </w:p>
    <w:p w14:paraId="61B65669" w14:textId="77777777" w:rsidR="006E4997" w:rsidRPr="00107C19" w:rsidRDefault="006E4997" w:rsidP="006E4997">
      <w:pPr>
        <w:pStyle w:val="BodyText3"/>
        <w:ind w:left="450"/>
        <w:rPr>
          <w:rFonts w:cstheme="minorHAnsi"/>
          <w:i/>
          <w:iCs/>
          <w:color w:val="000000" w:themeColor="text1"/>
        </w:rPr>
      </w:pPr>
      <w:r w:rsidRPr="00107C19">
        <w:rPr>
          <w:rStyle w:val="title-text"/>
          <w:rFonts w:cstheme="minorHAnsi"/>
          <w:b/>
          <w:bCs/>
          <w:color w:val="000000" w:themeColor="text1"/>
        </w:rPr>
        <w:t>Development of new information database improved testing efficiency:</w:t>
      </w:r>
      <w:r w:rsidRPr="00107C19">
        <w:rPr>
          <w:rFonts w:cstheme="minorHAnsi"/>
          <w:color w:val="000000" w:themeColor="text1"/>
        </w:rPr>
        <w:t xml:space="preserve"> For several years, SRTD has known that its legacy database would soon develop compatibility issues that would not allow it to remain on a USDA network.  The only solution to this dilemma was to get a new database to take its place.  Instead buying a new off the shelf solution, SRTD opted to piggyback on a full sample and analysis life-cycle solution (Labworks: Laboratory information management system) already being used by another Division within the Program.  This path allowed program staff to use in house knowledge to modify the existing Labworks platform to customize an SRTD solution.  Instead of just copying the old database, S&amp;T added new functions which can capture production metrics.  In 2023, the second year online, the database’s new functions allowed supervisory staff to adjust staff production metrics to reduce laboratory turnaround time.  The division has also put in place new performance metrics, based on year over year data, which has allowed SRTD to reduce purity test completion times from an average of 29.5 days in FY22 to 12.2 days in FY23.</w:t>
      </w:r>
    </w:p>
    <w:p w14:paraId="2B1DF0AF" w14:textId="77777777" w:rsidR="006E4997" w:rsidRPr="00107C19" w:rsidRDefault="006E4997" w:rsidP="006E4997">
      <w:pPr>
        <w:pStyle w:val="Heading3"/>
      </w:pPr>
      <w:bookmarkStart w:id="68" w:name="_Toc157423629"/>
      <w:bookmarkStart w:id="69" w:name="_Toc157423630"/>
      <w:bookmarkStart w:id="70" w:name="_Toc157423631"/>
      <w:bookmarkStart w:id="71" w:name="_Toc157423686"/>
      <w:bookmarkStart w:id="72" w:name="_Toc157423687"/>
      <w:bookmarkStart w:id="73" w:name="_Toc157423688"/>
      <w:bookmarkStart w:id="74" w:name="_Toc119484022"/>
      <w:bookmarkStart w:id="75" w:name="_Toc120685165"/>
      <w:bookmarkStart w:id="76" w:name="_Toc123025318"/>
      <w:bookmarkStart w:id="77" w:name="_Toc157423689"/>
      <w:bookmarkStart w:id="78" w:name="_Toc160185950"/>
      <w:bookmarkEnd w:id="68"/>
      <w:bookmarkEnd w:id="69"/>
      <w:bookmarkEnd w:id="70"/>
      <w:bookmarkEnd w:id="71"/>
      <w:bookmarkEnd w:id="72"/>
      <w:bookmarkEnd w:id="73"/>
      <w:r w:rsidRPr="00107C19">
        <w:t>Country of Origin Labelling</w:t>
      </w:r>
      <w:bookmarkEnd w:id="74"/>
      <w:bookmarkEnd w:id="75"/>
      <w:bookmarkEnd w:id="76"/>
      <w:r w:rsidRPr="00107C19">
        <w:t xml:space="preserve"> and the National Bioengineered Food Disclosure Standard</w:t>
      </w:r>
      <w:bookmarkEnd w:id="77"/>
      <w:bookmarkEnd w:id="78"/>
    </w:p>
    <w:p w14:paraId="36A72AB0" w14:textId="77777777" w:rsidR="006E4997" w:rsidRPr="00107C19" w:rsidRDefault="006E4997" w:rsidP="006E4997">
      <w:pPr>
        <w:pStyle w:val="BodyText3"/>
        <w:ind w:left="540"/>
        <w:rPr>
          <w:rFonts w:cstheme="minorBidi"/>
          <w:color w:val="000000" w:themeColor="text1"/>
        </w:rPr>
      </w:pPr>
      <w:r w:rsidRPr="00107C19">
        <w:rPr>
          <w:rFonts w:cstheme="minorBidi"/>
          <w:color w:val="000000" w:themeColor="text1"/>
        </w:rPr>
        <w:t xml:space="preserve">In FY 2021, the Fair Trade Practices Program (FTPP) Food Disclosure and Labeling Division (FDLD) launched an automated online customer relationship management (CRM) system on the Salesforce Platform  to improve the effectiveness of identifying and reporting data supporting  the compliance and enforcement of grocery retailers with the Country of Origin Labeling (COOL) program. Launched in FY 2021 the system houses data on nearly 45,000 retailers that sell COOL covered commodities and allows FDLD to communicate directly with eAuth verified reviewers in 46 states as well as federal reviews in 5 states to  assign, receive, and process annual field audits. The CRM system allowed FDLD staff to utilize risk-based criteria to target those stores most appropriate for review, improved staff efficiency by automating many legacy system tasks, and included a separate function to track compliance of supplier records with declared origin.    </w:t>
      </w:r>
    </w:p>
    <w:p w14:paraId="461D75DB" w14:textId="77777777" w:rsidR="006E4997" w:rsidRPr="00107C19" w:rsidRDefault="006E4997" w:rsidP="006E4997">
      <w:pPr>
        <w:pStyle w:val="BodyText3"/>
        <w:ind w:left="540"/>
        <w:rPr>
          <w:rFonts w:cstheme="minorBidi"/>
          <w:color w:val="000000" w:themeColor="text1"/>
        </w:rPr>
      </w:pPr>
      <w:r w:rsidRPr="00107C19">
        <w:rPr>
          <w:rFonts w:cstheme="minorBidi"/>
          <w:color w:val="000000" w:themeColor="text1"/>
        </w:rPr>
        <w:t xml:space="preserve">Compliance with the National Bioengineered Food Disclosure Standard (BE Standard) started on January 1, 2022.  FDLD launched a public interface that allows stakeholders to directly enter complaints both COOL and the BE Standard in September of 2022.  The launch of the public interface was crucial since compliance with the BE Standard is complaint driven.  </w:t>
      </w:r>
      <w:r w:rsidRPr="00107C19">
        <w:rPr>
          <w:rFonts w:ascii="Calibri" w:eastAsia="Calibri" w:hAnsi="Calibri" w:cs="Calibri"/>
          <w:color w:val="000000" w:themeColor="text1"/>
          <w:sz w:val="22"/>
          <w:szCs w:val="22"/>
        </w:rPr>
        <w:t>T</w:t>
      </w:r>
      <w:r w:rsidRPr="00107C19">
        <w:rPr>
          <w:rFonts w:ascii="Calibri" w:eastAsia="Calibri" w:hAnsi="Calibri" w:cs="Calibri"/>
          <w:color w:val="000000" w:themeColor="text1"/>
        </w:rPr>
        <w:t xml:space="preserve">he system was renamed the COOL BE CRM. </w:t>
      </w:r>
      <w:r w:rsidRPr="00107C19">
        <w:rPr>
          <w:rFonts w:ascii="Calibri" w:eastAsia="Calibri" w:hAnsi="Calibri" w:cs="Calibri"/>
          <w:color w:val="000000" w:themeColor="text1"/>
          <w:sz w:val="22"/>
          <w:szCs w:val="22"/>
        </w:rPr>
        <w:t xml:space="preserve"> The same year, </w:t>
      </w:r>
      <w:r w:rsidRPr="00107C19">
        <w:rPr>
          <w:rFonts w:cstheme="minorBidi"/>
          <w:color w:val="000000" w:themeColor="text1"/>
        </w:rPr>
        <w:t xml:space="preserve">FDLD migrated 46 cooperative agreements into the </w:t>
      </w:r>
      <w:r w:rsidRPr="00107C19">
        <w:rPr>
          <w:rFonts w:cstheme="minorBidi"/>
          <w:color w:val="000000" w:themeColor="text1"/>
        </w:rPr>
        <w:lastRenderedPageBreak/>
        <w:t xml:space="preserve">ezFedGrants system to comply with the Digital Accountability and Transparency Act (DATA Act) that ensures transparency in federal spending. </w:t>
      </w:r>
    </w:p>
    <w:p w14:paraId="733F3D2E" w14:textId="77777777" w:rsidR="006E4997" w:rsidRPr="00107C19" w:rsidRDefault="006E4997" w:rsidP="006E4997">
      <w:pPr>
        <w:ind w:left="540"/>
        <w:rPr>
          <w:rFonts w:ascii="Calibri" w:hAnsi="Calibri" w:cs="Calibri"/>
          <w:color w:val="000000" w:themeColor="text1"/>
        </w:rPr>
      </w:pPr>
      <w:r w:rsidRPr="00107C19">
        <w:rPr>
          <w:rFonts w:ascii="Calibri" w:hAnsi="Calibri" w:cs="Calibri"/>
          <w:color w:val="000000" w:themeColor="text1"/>
          <w:szCs w:val="24"/>
        </w:rPr>
        <w:t>In FY 2023, the following improvements were made to the COOL BE CRM:</w:t>
      </w:r>
    </w:p>
    <w:p w14:paraId="5C1AF9C2" w14:textId="77777777" w:rsidR="006E4997" w:rsidRPr="00107C19" w:rsidRDefault="006E4997" w:rsidP="00695E0D">
      <w:pPr>
        <w:pStyle w:val="ListParagraph"/>
        <w:numPr>
          <w:ilvl w:val="0"/>
          <w:numId w:val="21"/>
        </w:numPr>
        <w:rPr>
          <w:color w:val="000000" w:themeColor="text1"/>
        </w:rPr>
      </w:pPr>
      <w:r w:rsidRPr="00107C19">
        <w:rPr>
          <w:color w:val="000000" w:themeColor="text1"/>
        </w:rPr>
        <w:t xml:space="preserve">Auto-population of an estimated 1,173 noncompliance letters annually leading to increased FDLD reviewers’ productivity.  </w:t>
      </w:r>
    </w:p>
    <w:p w14:paraId="11EC5E9F" w14:textId="77777777" w:rsidR="006E4997" w:rsidRPr="00107C19" w:rsidRDefault="006E4997" w:rsidP="00695E0D">
      <w:pPr>
        <w:pStyle w:val="ListParagraph"/>
        <w:numPr>
          <w:ilvl w:val="0"/>
          <w:numId w:val="21"/>
        </w:numPr>
        <w:rPr>
          <w:color w:val="000000" w:themeColor="text1"/>
        </w:rPr>
      </w:pPr>
      <w:r w:rsidRPr="00107C19">
        <w:rPr>
          <w:color w:val="000000" w:themeColor="text1"/>
        </w:rPr>
        <w:t xml:space="preserve">Successful completion of work on multiple photo uploads that began in FY 2022, including some production issues that were not apparent during testing.  </w:t>
      </w:r>
    </w:p>
    <w:p w14:paraId="33F6B6C1" w14:textId="77777777" w:rsidR="006E4997" w:rsidRPr="00107C19" w:rsidRDefault="006E4997" w:rsidP="00695E0D">
      <w:pPr>
        <w:pStyle w:val="ListParagraph"/>
        <w:numPr>
          <w:ilvl w:val="0"/>
          <w:numId w:val="21"/>
        </w:numPr>
        <w:rPr>
          <w:color w:val="000000" w:themeColor="text1"/>
        </w:rPr>
      </w:pPr>
      <w:r w:rsidRPr="00107C19">
        <w:rPr>
          <w:color w:val="000000" w:themeColor="text1"/>
        </w:rPr>
        <w:t>Ability of FDLD Evaluators to revert the status of a review without the intervention of salesforce copilot digital service center (DSC).</w:t>
      </w:r>
    </w:p>
    <w:p w14:paraId="1ACDDE69" w14:textId="77777777" w:rsidR="006E4997" w:rsidRPr="00107C19" w:rsidRDefault="006E4997" w:rsidP="00695E0D">
      <w:pPr>
        <w:pStyle w:val="ListParagraph"/>
        <w:numPr>
          <w:ilvl w:val="0"/>
          <w:numId w:val="21"/>
        </w:numPr>
        <w:rPr>
          <w:color w:val="000000" w:themeColor="text1"/>
        </w:rPr>
      </w:pPr>
      <w:r w:rsidRPr="00107C19">
        <w:rPr>
          <w:color w:val="000000" w:themeColor="text1"/>
        </w:rPr>
        <w:t xml:space="preserve">Continuation of work to eliminate duplicates begun in FY2022.  Nearly 1,400 duplicates have been identified and will be deleted in Eary FY 2024 through a repeatable mass duplication process.   </w:t>
      </w:r>
    </w:p>
    <w:p w14:paraId="66DA22E1" w14:textId="2C88B819" w:rsidR="006E4997" w:rsidRPr="00107C19" w:rsidRDefault="006E4997" w:rsidP="00695E0D">
      <w:pPr>
        <w:pStyle w:val="ListParagraph"/>
        <w:numPr>
          <w:ilvl w:val="0"/>
          <w:numId w:val="21"/>
        </w:numPr>
        <w:rPr>
          <w:color w:val="000000" w:themeColor="text1"/>
        </w:rPr>
      </w:pPr>
      <w:r w:rsidRPr="00107C19">
        <w:rPr>
          <w:color w:val="000000" w:themeColor="text1"/>
        </w:rPr>
        <w:t xml:space="preserve">Identification of Nielsen as the source data for COOL BE moving </w:t>
      </w:r>
      <w:r w:rsidR="00BC061F" w:rsidRPr="00107C19">
        <w:rPr>
          <w:color w:val="000000" w:themeColor="text1"/>
        </w:rPr>
        <w:t>forward and</w:t>
      </w:r>
      <w:r w:rsidRPr="00107C19">
        <w:rPr>
          <w:color w:val="000000" w:themeColor="text1"/>
        </w:rPr>
        <w:t xml:space="preserve"> drafting of an interagency agreement to allow FDLD to use the NielsenIQ TDLinx data that the Economic Research Service was already in the process of purchasing.  The partnership between ERS and FDLD allows FDLD to pay only part of the costs for data that USDA was already purchasing for the agency and in future years FDLD hopes to be able to feed some of its </w:t>
      </w:r>
      <w:r w:rsidR="009E073D" w:rsidRPr="00107C19">
        <w:rPr>
          <w:color w:val="000000" w:themeColor="text1"/>
        </w:rPr>
        <w:t>value-added</w:t>
      </w:r>
      <w:r w:rsidRPr="00107C19">
        <w:rPr>
          <w:color w:val="000000" w:themeColor="text1"/>
        </w:rPr>
        <w:t xml:space="preserve"> data into the central data ERS makes available to all of USDA.  </w:t>
      </w:r>
    </w:p>
    <w:p w14:paraId="59790F8B" w14:textId="77777777" w:rsidR="006E4997" w:rsidRPr="00107C19" w:rsidRDefault="006E4997" w:rsidP="00695E0D">
      <w:pPr>
        <w:pStyle w:val="ListParagraph"/>
        <w:numPr>
          <w:ilvl w:val="0"/>
          <w:numId w:val="21"/>
        </w:numPr>
        <w:rPr>
          <w:color w:val="000000" w:themeColor="text1"/>
        </w:rPr>
      </w:pPr>
      <w:r w:rsidRPr="00107C19">
        <w:rPr>
          <w:color w:val="000000" w:themeColor="text1"/>
        </w:rPr>
        <w:t xml:space="preserve">Implementation of data entry restrictions for outside stakeholders to prevent the increase of duplicates within the COOL CRM. </w:t>
      </w:r>
    </w:p>
    <w:p w14:paraId="1456205D" w14:textId="77777777" w:rsidR="006E4997" w:rsidRPr="00107C19" w:rsidRDefault="006E4997" w:rsidP="00695E0D">
      <w:pPr>
        <w:pStyle w:val="ListParagraph"/>
        <w:numPr>
          <w:ilvl w:val="0"/>
          <w:numId w:val="21"/>
        </w:numPr>
        <w:rPr>
          <w:color w:val="000000" w:themeColor="text1"/>
        </w:rPr>
      </w:pPr>
      <w:r w:rsidRPr="00107C19">
        <w:rPr>
          <w:color w:val="000000" w:themeColor="text1"/>
        </w:rPr>
        <w:t>A refresh of the complaint portal to better communicate information needs to stakeholders.  The updates which will be completed in early FY 2024.  The updates should result in faster processing of complainants since FDLD will not have to contact complainants for additional information.</w:t>
      </w:r>
    </w:p>
    <w:p w14:paraId="47245398" w14:textId="77777777" w:rsidR="006E4997" w:rsidRPr="00107C19" w:rsidRDefault="006E4997" w:rsidP="00695E0D">
      <w:pPr>
        <w:pStyle w:val="ListParagraph"/>
        <w:numPr>
          <w:ilvl w:val="0"/>
          <w:numId w:val="21"/>
        </w:numPr>
        <w:rPr>
          <w:color w:val="000000" w:themeColor="text1"/>
        </w:rPr>
      </w:pPr>
      <w:r w:rsidRPr="00107C19">
        <w:rPr>
          <w:color w:val="000000" w:themeColor="text1"/>
        </w:rPr>
        <w:t>A complete end-to-end 508 compliance testing review revealed that the COOL BE CRM is 508 compliant.  No changes to be made on USDA’s side, although some changes in the Salesforce Platform would further increase compliance.</w:t>
      </w:r>
    </w:p>
    <w:p w14:paraId="57A7D6D1" w14:textId="77777777" w:rsidR="006E4997" w:rsidRPr="00107C19" w:rsidRDefault="006E4997" w:rsidP="00695E0D">
      <w:pPr>
        <w:pStyle w:val="ListParagraph"/>
        <w:numPr>
          <w:ilvl w:val="0"/>
          <w:numId w:val="21"/>
        </w:numPr>
        <w:rPr>
          <w:color w:val="000000" w:themeColor="text1"/>
        </w:rPr>
      </w:pPr>
      <w:r w:rsidRPr="00107C19">
        <w:rPr>
          <w:color w:val="000000" w:themeColor="text1"/>
        </w:rPr>
        <w:t>Updating of all the user guides and one-page SOPs for outside users to incorporate updates to the COOL BE CRM in the last two years.</w:t>
      </w:r>
    </w:p>
    <w:p w14:paraId="5CE8FFA4" w14:textId="77777777" w:rsidR="006E4997" w:rsidRPr="00107C19" w:rsidRDefault="006E4997" w:rsidP="00695E0D">
      <w:pPr>
        <w:pStyle w:val="ListParagraph"/>
        <w:numPr>
          <w:ilvl w:val="0"/>
          <w:numId w:val="21"/>
        </w:numPr>
        <w:rPr>
          <w:color w:val="000000" w:themeColor="text1"/>
        </w:rPr>
      </w:pPr>
      <w:r w:rsidRPr="00107C19">
        <w:rPr>
          <w:color w:val="000000" w:themeColor="text1"/>
        </w:rPr>
        <w:t xml:space="preserve">Bolstered training tools on Proprofs by making a new virtual training resource on multiple photo uploads available 24 hours a day to state and federal reviewers. </w:t>
      </w:r>
    </w:p>
    <w:p w14:paraId="71A4301C" w14:textId="77777777" w:rsidR="006E4997" w:rsidRPr="00107C19" w:rsidRDefault="006E4997" w:rsidP="006E4997">
      <w:pPr>
        <w:pStyle w:val="BodyText3"/>
        <w:rPr>
          <w:color w:val="000000" w:themeColor="text1"/>
        </w:rPr>
      </w:pPr>
      <w:r w:rsidRPr="00107C19">
        <w:rPr>
          <w:color w:val="000000" w:themeColor="text1"/>
        </w:rPr>
        <w:t>In FY 2022, FDLD implemented a consumer complaint portal that can receive, process, and track complaints in a timely manner prior to the mandatory compliance date for the Standard. FDLD also created BE disclosure online decision tools for regulated entities to determine whether a food requires disclosure or processed foods containing bioengineered components are subject to the Standard. In addition, FDLD used data functions to track stakeholder usage to make BE disclosure decisions.</w:t>
      </w:r>
    </w:p>
    <w:p w14:paraId="42D693D7" w14:textId="77777777" w:rsidR="006E4997" w:rsidRPr="00107C19" w:rsidRDefault="006E4997" w:rsidP="006E4997">
      <w:pPr>
        <w:pStyle w:val="Heading3"/>
      </w:pPr>
      <w:bookmarkStart w:id="79" w:name="_Toc157423690"/>
      <w:bookmarkStart w:id="80" w:name="_Toc157423691"/>
      <w:bookmarkStart w:id="81" w:name="_Toc157423692"/>
      <w:bookmarkStart w:id="82" w:name="_Toc157423693"/>
      <w:bookmarkStart w:id="83" w:name="_Toc157423694"/>
      <w:bookmarkStart w:id="84" w:name="_Toc119484023"/>
      <w:bookmarkStart w:id="85" w:name="_Toc120685166"/>
      <w:bookmarkStart w:id="86" w:name="_Toc123025319"/>
      <w:bookmarkStart w:id="87" w:name="_Toc157423695"/>
      <w:bookmarkStart w:id="88" w:name="_Toc160185951"/>
      <w:bookmarkEnd w:id="79"/>
      <w:bookmarkEnd w:id="80"/>
      <w:bookmarkEnd w:id="81"/>
      <w:bookmarkEnd w:id="82"/>
      <w:bookmarkEnd w:id="83"/>
      <w:r w:rsidRPr="00107C19">
        <w:lastRenderedPageBreak/>
        <w:t>Pesticide Data Program</w:t>
      </w:r>
      <w:bookmarkEnd w:id="84"/>
      <w:bookmarkEnd w:id="85"/>
      <w:bookmarkEnd w:id="86"/>
      <w:bookmarkEnd w:id="87"/>
      <w:bookmarkEnd w:id="88"/>
    </w:p>
    <w:p w14:paraId="3CF267B6"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AMS’ Pesticide Data Program (PDP) is a national pesticide residue monitoring program and produces the most comprehensive pesticide residue database for food in the United States. Since 1991, PDP has tested 127 different commodities and 779 different pesticide residues. In FY 2023, PDP tested over 10,400 food samples and generated over 2.8 million new data points. All data are available to the public electronically by way of the PDP website and customized reports are generated when requested. The Environmental Protection Agency uses the data to assess dietary risks from pesticide exposure and determine which pesticides can continue to be used in domestic agricultural production. It also uses the data to harmonize U.S. pesticide tolerance levels with international levels. The Food and Drug Administration (FDA) uses the data to inform its surveillance of imported foods. State public health and environmental agencies use the data to fulfill their consumer protection commitments. Growers and distributors use the data to resolve trade issues. PDP data has also been submitted to the Codex Alimentarius Committee to assist in benchmarking international Maximum Residue Levels (MRLs) as real-life data (in place of theoretical data), contributing to more refined MRL estimates.</w:t>
      </w:r>
    </w:p>
    <w:p w14:paraId="3A818B55"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PDP collects high quality, nationally representative pesticide residue data for foods in the U.S. Public-domain databases containing analytical results data for each sample tested are posted on the PDP website, and PDP’s web-based data search application makes PDP data readily available to public. </w:t>
      </w:r>
    </w:p>
    <w:p w14:paraId="16CB0A08"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Additionally, the PDP Annual Summary reports have been posted to the AMS website and published in hard copy. AMS responded to 58 data and informational requests from government and private organizations and citizens, typically within three or less days, exemplifying AMS’ commitment to outstanding customer service.</w:t>
      </w:r>
    </w:p>
    <w:p w14:paraId="064C99B2" w14:textId="77777777" w:rsidR="006E4997" w:rsidRPr="00107C19" w:rsidRDefault="006E4997" w:rsidP="006E4997">
      <w:pPr>
        <w:pStyle w:val="Heading3"/>
      </w:pPr>
      <w:bookmarkStart w:id="89" w:name="_Toc157423696"/>
      <w:bookmarkStart w:id="90" w:name="_Toc157423697"/>
      <w:bookmarkStart w:id="91" w:name="_Toc157423698"/>
      <w:bookmarkEnd w:id="89"/>
      <w:bookmarkEnd w:id="90"/>
      <w:bookmarkEnd w:id="91"/>
      <w:r w:rsidRPr="00107C19">
        <w:t xml:space="preserve"> </w:t>
      </w:r>
      <w:bookmarkStart w:id="92" w:name="_Toc157423699"/>
      <w:bookmarkStart w:id="93" w:name="_Toc160185952"/>
      <w:bookmarkStart w:id="94" w:name="_Toc119484024"/>
      <w:bookmarkStart w:id="95" w:name="_Toc120685167"/>
      <w:bookmarkStart w:id="96" w:name="_Toc123025320"/>
      <w:r w:rsidRPr="00107C19">
        <w:t>National Organic Program</w:t>
      </w:r>
      <w:bookmarkEnd w:id="92"/>
      <w:bookmarkEnd w:id="93"/>
    </w:p>
    <w:p w14:paraId="43B0EB66"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USDA oversees organic agricultural products through the AMS National Organic Program (NOP). NOP develops the national standards for organically produced agricultural products sold in the United States. The program accredits and provides oversight of third-party organizations, called certifiers, who certify organic farms and businesses to the USDA organic regulations. USDA and accredited certifiers also enforce the organic standards, protecting farmer and consumer confidence in the integrity of the USDA organic seal.</w:t>
      </w:r>
    </w:p>
    <w:p w14:paraId="7543888F"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The number of certified organic farms and businesses continues to steadily grow. Rapid growth across the global organic market has increased the complexity of supply chains that carry organic products from farm to table. To oversee this complex and growing market, NOP leverages a wide range of technology products. Regulatory changes included in the recent Strengthening Organic Enforcement (SOE) final rule require NOP to make significant updates to some of its current technologies.</w:t>
      </w:r>
    </w:p>
    <w:p w14:paraId="3ADAD45B" w14:textId="77777777" w:rsidR="006E4997" w:rsidRPr="00107C19" w:rsidRDefault="006E4997" w:rsidP="006E4997">
      <w:pPr>
        <w:pStyle w:val="Heading4"/>
      </w:pPr>
      <w:bookmarkStart w:id="97" w:name="_Toc157423700"/>
      <w:bookmarkStart w:id="98" w:name="_Toc160185953"/>
      <w:r w:rsidRPr="00107C19">
        <w:lastRenderedPageBreak/>
        <w:t>Organic Integrity Database</w:t>
      </w:r>
      <w:bookmarkEnd w:id="97"/>
      <w:bookmarkEnd w:id="98"/>
    </w:p>
    <w:p w14:paraId="78116B04" w14:textId="77777777" w:rsidR="006E4997" w:rsidRPr="00107C19" w:rsidRDefault="006E4997" w:rsidP="006E4997">
      <w:pPr>
        <w:pStyle w:val="BodyText4"/>
        <w:rPr>
          <w:rFonts w:cstheme="minorHAnsi"/>
          <w:color w:val="000000" w:themeColor="text1"/>
        </w:rPr>
      </w:pPr>
      <w:r w:rsidRPr="00107C19" w:rsidDel="0093683B">
        <w:rPr>
          <w:rFonts w:cstheme="minorHAnsi"/>
          <w:color w:val="000000" w:themeColor="text1"/>
        </w:rPr>
        <w:t xml:space="preserve">The Organic Integrity Database (OID) has significantly increased the transparency and availability of data for those involved in organic trade, increased the visibility of organic businesses, and directly advances NOP compliance and enforcement work. </w:t>
      </w:r>
      <w:r w:rsidRPr="00107C19">
        <w:rPr>
          <w:rFonts w:cstheme="minorHAnsi"/>
          <w:color w:val="000000" w:themeColor="text1"/>
        </w:rPr>
        <w:t>The Federal organic regulations currently require certifiers to annually submit a set of basic facts regarding all certified operations to the database. The database lists certified products for each farm and business, providing a resource for other companies looking for certified organic ingredients or needing to bolster their supplies. OID includes many optional fields, like acreage, that can aid in oversight and enforcement. With implementation of the SOE final rule, many of these optional fields will become required after March 19, 2024.</w:t>
      </w:r>
    </w:p>
    <w:p w14:paraId="4F436EFD"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NOP has completed other key steps in implementing SOE requirements by expanding OID functionality with the launch of new trade partner and import certificate modules in OID. The two new modules increase access to quality data in organic supply chains worldwide and enhance NOP’s ability to protect the integrity of imported and domestic organic products sold in the United States. The trade partner module allows international certifiers to report on farms and businesses certified under NOP organic trade arrangements. The import certificate module allows USDA-accredited certifiers and certifiers working with other government partners under organic trade arrangements to generate electronic import certificates for international organic agricultural products being exported to the United States, including a unique certificate number that will enable traceability throughout the supply chain. Import certificates will become mandatory when SOE becomes effective on March 19, 2024, but because the import certificate module is live now, certifiers can work out any issues associated with generating import certificates before they become mandatory.</w:t>
      </w:r>
    </w:p>
    <w:p w14:paraId="6905C789"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This more comprehensive system allows Government oversight bodies to audit across supply chains, fulfilling the goal of tracing products from farm to market and back. The system now provides an inter-connected network, where data can be exchanged between different Government oversight systems and existing corporate supply chain systems. These recent technology investments are key to protecting organic integrity and facilitating access to international organic markets as this market sector continues to grow worldwide.</w:t>
      </w:r>
    </w:p>
    <w:p w14:paraId="1DC4B4A1" w14:textId="77777777" w:rsidR="006E4997" w:rsidRPr="00107C19" w:rsidRDefault="006E4997" w:rsidP="006E4997">
      <w:pPr>
        <w:pStyle w:val="Heading4"/>
      </w:pPr>
      <w:bookmarkStart w:id="99" w:name="_Toc157423701"/>
      <w:bookmarkStart w:id="100" w:name="_Toc160185954"/>
      <w:r w:rsidRPr="00107C19">
        <w:t>Compliance Database</w:t>
      </w:r>
      <w:bookmarkEnd w:id="99"/>
      <w:bookmarkEnd w:id="100"/>
    </w:p>
    <w:p w14:paraId="1E524082"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In spring 2019, AMS launched an internal Compliance Database and has continued its improvement to date. The database captures complaint data submitted through the online complaint portal, helps to better track NOP’s progress on complaint investigations, and more quickly identifies patterns and relationships across complaints.</w:t>
      </w:r>
    </w:p>
    <w:p w14:paraId="548181A9" w14:textId="77777777" w:rsidR="006E4997" w:rsidRPr="00107C19" w:rsidRDefault="006E4997" w:rsidP="006E4997">
      <w:pPr>
        <w:pStyle w:val="Heading4"/>
      </w:pPr>
      <w:bookmarkStart w:id="101" w:name="_Toc157423702"/>
      <w:bookmarkStart w:id="102" w:name="_Toc160185955"/>
      <w:r w:rsidRPr="00107C19">
        <w:t>ACCREDIT Database</w:t>
      </w:r>
      <w:bookmarkEnd w:id="101"/>
      <w:bookmarkEnd w:id="102"/>
    </w:p>
    <w:p w14:paraId="07580059"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NOP accredits and oversees about 75 certifiers, who play a critical role in maintaining the integrity of USDA certified organic products worldwide. As part of its risk-based certifier </w:t>
      </w:r>
      <w:r w:rsidRPr="00107C19">
        <w:rPr>
          <w:rFonts w:cstheme="minorHAnsi"/>
          <w:color w:val="000000" w:themeColor="text1"/>
        </w:rPr>
        <w:lastRenderedPageBreak/>
        <w:t>oversight, NOP manages the certifier accreditation lifecycle, audit communications, and non-compliances through its ACCREDIT Database. In 2020, NOP launched improved system capabilities to expand farm to market traceability and facilitate increased supply chain integrity.</w:t>
      </w:r>
    </w:p>
    <w:p w14:paraId="5612028A" w14:textId="77777777" w:rsidR="006E4997" w:rsidRPr="00107C19" w:rsidRDefault="006E4997" w:rsidP="006E4997">
      <w:pPr>
        <w:pStyle w:val="Heading4"/>
      </w:pPr>
      <w:bookmarkStart w:id="103" w:name="_Toc157423703"/>
      <w:bookmarkStart w:id="104" w:name="_Toc160185956"/>
      <w:r w:rsidRPr="00107C19">
        <w:t>Organic Integrity Learning Center</w:t>
      </w:r>
      <w:bookmarkEnd w:id="103"/>
      <w:bookmarkEnd w:id="104"/>
    </w:p>
    <w:p w14:paraId="0BF8486B"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Since its launch in 2019, the Organic Integrity Learning Center (OILC) has grown into a robust community of more than 10,000 registered users around the world. The OILC continues to provide free, on-demand, online training to support the professional development and continuing education of certifier staff, inspectors, and compliance specialists working to protect organic integrity. Farmers, ranchers, and businesses also benefit from the availability of courses that explain what the regulations require.</w:t>
      </w:r>
    </w:p>
    <w:p w14:paraId="4EFEF402" w14:textId="242A3CBA"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As of December 2023, there are 171 lessons across 39 courses and 29 </w:t>
      </w:r>
      <w:proofErr w:type="spellStart"/>
      <w:r w:rsidRPr="00107C19">
        <w:rPr>
          <w:rFonts w:cstheme="minorHAnsi"/>
          <w:color w:val="000000" w:themeColor="text1"/>
        </w:rPr>
        <w:t>microlearnings</w:t>
      </w:r>
      <w:proofErr w:type="spellEnd"/>
      <w:r w:rsidRPr="00107C19">
        <w:rPr>
          <w:rFonts w:cstheme="minorHAnsi"/>
          <w:color w:val="000000" w:themeColor="text1"/>
        </w:rPr>
        <w:t xml:space="preserve"> (short trainings) in the OILC. Recent course additions </w:t>
      </w:r>
      <w:r w:rsidR="001943EB" w:rsidRPr="00107C19">
        <w:rPr>
          <w:rFonts w:cstheme="minorHAnsi"/>
          <w:color w:val="000000" w:themeColor="text1"/>
        </w:rPr>
        <w:t>include</w:t>
      </w:r>
      <w:r w:rsidRPr="00107C19">
        <w:rPr>
          <w:rFonts w:cstheme="minorHAnsi"/>
          <w:color w:val="000000" w:themeColor="text1"/>
        </w:rPr>
        <w:t xml:space="preserve"> Strengthening Organic Enforcement (SOE) Final Rule, Origin of Livestock, Livestock Traceability, Advanced Traceability and Mass Balance Techniques, Scenario-Based Inspector Training, and Keep it Organic When Handling and Processing.</w:t>
      </w:r>
    </w:p>
    <w:p w14:paraId="25E3C0FA"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The SOE final rule requires uniform qualification and training standards for organic inspectors and certifying agent personnel. To help certifiers and organic professionals implement the rule, Continuing Education Units (CEUs) are now recorded on learners’ OILC transcripts. CEUs are a commonly used tool for verifying the successful completion of training that is relevant to a learners’ professional experience. Learners can now earn CEUs for completing OILC courses and demonstrate compliance with training required in the SOE final rule, which will be fully implemented on March 19, 2024.</w:t>
      </w:r>
    </w:p>
    <w:p w14:paraId="2D6EFEE7"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NOP also launched a new OILC course on Growing the Organic Workforce that supports SOE requirements for organic inspector and certifying agent personnel. This course, developed as part of the NOP Human Capital Initiative, provides resources that help organic professionals promote organic market development, protect organic integrity, and enhance diversity, equity, and inclusion. Current course topics include: 1) Experiential Organic Agriculture Education Programs; 2) Organic Internship Best Practices; and 3) Organic Field Crop Practices.</w:t>
      </w:r>
    </w:p>
    <w:p w14:paraId="1635B3B8" w14:textId="77777777" w:rsidR="006E4997" w:rsidRPr="00107C19" w:rsidRDefault="006E4997" w:rsidP="006E4997">
      <w:pPr>
        <w:pStyle w:val="Heading4"/>
      </w:pPr>
      <w:bookmarkStart w:id="105" w:name="_Toc157423704"/>
      <w:bookmarkStart w:id="106" w:name="_Toc160185957"/>
      <w:r w:rsidRPr="00107C19">
        <w:t>U.S. Customs and Border Protection’s Automated Commercial Environment</w:t>
      </w:r>
      <w:bookmarkEnd w:id="105"/>
      <w:bookmarkEnd w:id="106"/>
    </w:p>
    <w:p w14:paraId="253C5E7B"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AMS facilitates international trade for U.S. organic farms and businesses and makes sure USDA-certified organic products produced domestically and around the world comply with the organic standards. Import and export systems are important tools for tracking products coming into and out of different countries. USDA is currently working with the U.S. Customs and Border Protection (CBP) to identify organic products coming into the United States using the Automated Commercial Environment (ACE) system. The ACE system facilitates the real-time collection, sharing and processing of import trade data with CBP.</w:t>
      </w:r>
    </w:p>
    <w:p w14:paraId="180156D9"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The 2018 Farm Bill called for technological enhancements to improve the ability of the NOP and </w:t>
      </w:r>
      <w:r w:rsidRPr="00107C19">
        <w:rPr>
          <w:rFonts w:cstheme="minorHAnsi"/>
          <w:color w:val="000000" w:themeColor="text1"/>
        </w:rPr>
        <w:lastRenderedPageBreak/>
        <w:t>CBP to oversee imported organic products, which prompted the development of electronic import certificates. In April 2020, AMS, working collaboratively with CBP, completed programming and launched the organic import certificate message set into the CBP ACE System. This enables U.S. importers to voluntarily request NOP Organic Import Certificates from suppliers to improve supply chain transparency.</w:t>
      </w:r>
    </w:p>
    <w:p w14:paraId="066D8539" w14:textId="77777777" w:rsidR="006E4997" w:rsidRPr="00107C19" w:rsidRDefault="006E4997" w:rsidP="006E4997">
      <w:pPr>
        <w:pStyle w:val="Heading4"/>
      </w:pPr>
      <w:bookmarkStart w:id="107" w:name="_Toc157423705"/>
      <w:bookmarkStart w:id="108" w:name="_Toc160185958"/>
      <w:r w:rsidRPr="00107C19">
        <w:t>Technology Modernization</w:t>
      </w:r>
      <w:bookmarkEnd w:id="107"/>
      <w:bookmarkEnd w:id="108"/>
    </w:p>
    <w:p w14:paraId="329C8CA3"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The Tableau Dashboard, launched in September 2021 by the NOP, connects data from the Organic Integrity Database, Compliance database, ACCREDIT database and ACE system. Tableau is a visual analytic platform that allows users to analyze and report data from multiple sources, creating visualizations that reveal milestones and help identify organic industry trends. Tableau Dashboard users have access to a wide range of features including supplementary data on organic imports into the United States, harmonized data for Accreditation and Compliance activities, streamlined views of organic products data life cycles, and stronger controls over organic data.</w:t>
      </w:r>
    </w:p>
    <w:p w14:paraId="3ACC1425" w14:textId="77777777" w:rsidR="006E4997" w:rsidRPr="00107C19" w:rsidRDefault="006E4997" w:rsidP="006E4997">
      <w:pPr>
        <w:pStyle w:val="Heading3"/>
      </w:pPr>
      <w:bookmarkStart w:id="109" w:name="_Toc157423706"/>
      <w:bookmarkStart w:id="110" w:name="_Toc157423707"/>
      <w:bookmarkStart w:id="111" w:name="_Toc157423708"/>
      <w:bookmarkStart w:id="112" w:name="_Toc157423709"/>
      <w:bookmarkStart w:id="113" w:name="_Toc157423710"/>
      <w:bookmarkStart w:id="114" w:name="_Toc157423711"/>
      <w:bookmarkStart w:id="115" w:name="_Toc157423712"/>
      <w:bookmarkStart w:id="116" w:name="_Toc157423713"/>
      <w:bookmarkStart w:id="117" w:name="_Toc157423714"/>
      <w:bookmarkStart w:id="118" w:name="_Toc157423715"/>
      <w:bookmarkStart w:id="119" w:name="_Toc157423716"/>
      <w:bookmarkStart w:id="120" w:name="_Toc157423717"/>
      <w:bookmarkStart w:id="121" w:name="_Toc157423718"/>
      <w:bookmarkStart w:id="122" w:name="_Toc157423719"/>
      <w:bookmarkStart w:id="123" w:name="_Toc157423720"/>
      <w:bookmarkStart w:id="124" w:name="_Toc157423721"/>
      <w:bookmarkStart w:id="125" w:name="_Toc157423722"/>
      <w:bookmarkStart w:id="126" w:name="_Toc157423723"/>
      <w:bookmarkStart w:id="127" w:name="_Toc157423724"/>
      <w:bookmarkStart w:id="128" w:name="_Toc157423725"/>
      <w:bookmarkStart w:id="129" w:name="_Toc157423726"/>
      <w:bookmarkStart w:id="130" w:name="_Toc157423727"/>
      <w:bookmarkStart w:id="131" w:name="_Toc157423728"/>
      <w:bookmarkStart w:id="132" w:name="_Toc157423729"/>
      <w:bookmarkStart w:id="133" w:name="_Toc119484031"/>
      <w:bookmarkStart w:id="134" w:name="_Toc120685175"/>
      <w:bookmarkStart w:id="135" w:name="_Toc123025328"/>
      <w:bookmarkStart w:id="136" w:name="_Toc157423730"/>
      <w:bookmarkStart w:id="137" w:name="_Toc160185959"/>
      <w:bookmarkEnd w:id="94"/>
      <w:bookmarkEnd w:id="95"/>
      <w:bookmarkEnd w:id="96"/>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107C19">
        <w:t>Transportation and Marketing Development</w:t>
      </w:r>
      <w:bookmarkEnd w:id="133"/>
      <w:bookmarkEnd w:id="134"/>
      <w:bookmarkEnd w:id="135"/>
      <w:bookmarkEnd w:id="136"/>
      <w:bookmarkEnd w:id="137"/>
    </w:p>
    <w:p w14:paraId="422D9B7E" w14:textId="77777777" w:rsidR="006E4997" w:rsidRPr="00107C19" w:rsidRDefault="006E4997" w:rsidP="006E4997">
      <w:pPr>
        <w:pStyle w:val="BodyText3"/>
        <w:rPr>
          <w:rFonts w:cstheme="minorHAnsi"/>
          <w:color w:val="000000" w:themeColor="text1"/>
        </w:rPr>
      </w:pPr>
      <w:r w:rsidRPr="00107C19">
        <w:rPr>
          <w:rStyle w:val="title-text"/>
          <w:b/>
          <w:bCs/>
          <w:color w:val="000000" w:themeColor="text1"/>
        </w:rPr>
        <w:t>Agricultural Transportation Open Data Platform:</w:t>
      </w:r>
      <w:r w:rsidRPr="00107C19">
        <w:rPr>
          <w:rFonts w:cstheme="minorHAnsi"/>
          <w:color w:val="000000" w:themeColor="text1"/>
        </w:rPr>
        <w:t xml:space="preserve"> AMS’ Transportation and Marketing Program (TM) launched the first iteration of this platform (“AgTransport”) in June 2019, followed by an upgrade in June 2020 (“AgTransport 2.0”) and another upgrade in June 2021 (“AgTransport 3.0”). The platform assists 30,000 subscribers, including farmers, commodity analysts, elevator operators, shippers, and other stakeholders, in making data-driven decisions about transporting agricultural goods domestically and internationally. AgTransport 3.0 consists of several upgrades, including a new Grain Transportation Cost Indicators and Global Competitiveness Dashboard, with data on Brazil, Mexico, and Japan; a new interactive report and datasets on the Importance of Highways to U.S. Agriculture; a new Agricultural Rail Service Metrics Dashboard; new Port Profile Dashboards with additional, more granular data; an updated Barge Dashboard, with additional river and lock data; and a new Agricultural Transportation Research Compendium page. In FY 2022, TM presented the platform in several avenues, such as USDA National Agricultural Statistics Service’s Fall Data Users’ Meeting (October 2021), USDA’s 98</w:t>
      </w:r>
      <w:r w:rsidRPr="00107C19">
        <w:rPr>
          <w:rFonts w:cstheme="minorHAnsi"/>
          <w:color w:val="000000" w:themeColor="text1"/>
          <w:vertAlign w:val="superscript"/>
        </w:rPr>
        <w:t>th</w:t>
      </w:r>
      <w:r w:rsidRPr="00107C19">
        <w:rPr>
          <w:rFonts w:cstheme="minorHAnsi"/>
          <w:color w:val="000000" w:themeColor="text1"/>
        </w:rPr>
        <w:t xml:space="preserve"> Agricultural Outlook Forum (February 2022), and the 63</w:t>
      </w:r>
      <w:r w:rsidRPr="00107C19">
        <w:rPr>
          <w:rFonts w:cstheme="minorHAnsi"/>
          <w:color w:val="000000" w:themeColor="text1"/>
          <w:vertAlign w:val="superscript"/>
        </w:rPr>
        <w:t>rd</w:t>
      </w:r>
      <w:r w:rsidRPr="00107C19">
        <w:rPr>
          <w:rFonts w:cstheme="minorHAnsi"/>
          <w:color w:val="000000" w:themeColor="text1"/>
        </w:rPr>
        <w:t xml:space="preserve"> Transportation Research Forum’s annual meeting (April 2022).</w:t>
      </w:r>
    </w:p>
    <w:p w14:paraId="6AB3189F" w14:textId="77777777" w:rsidR="006E4997" w:rsidRPr="00107C19" w:rsidRDefault="006E4997" w:rsidP="006E4997">
      <w:pPr>
        <w:pStyle w:val="Heading3"/>
      </w:pPr>
      <w:r w:rsidRPr="00107C19">
        <w:t xml:space="preserve"> </w:t>
      </w:r>
      <w:bookmarkStart w:id="138" w:name="_Toc119484032"/>
      <w:bookmarkStart w:id="139" w:name="_Toc120685176"/>
      <w:bookmarkStart w:id="140" w:name="_Toc123025329"/>
      <w:bookmarkStart w:id="141" w:name="_Toc157423731"/>
      <w:bookmarkStart w:id="142" w:name="_Toc160185960"/>
      <w:r w:rsidRPr="00107C19">
        <w:t>Acer Access and Development Program</w:t>
      </w:r>
      <w:bookmarkEnd w:id="138"/>
      <w:bookmarkEnd w:id="139"/>
      <w:bookmarkEnd w:id="140"/>
      <w:bookmarkEnd w:id="141"/>
      <w:bookmarkEnd w:id="142"/>
    </w:p>
    <w:p w14:paraId="73C48285"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The Acer Access and Development Program was authorized by section 12306 of the Agricultural Act of 2014 (Public Law 113—79) and amended under section 12501 of the Agriculture Improvement Act of 2018 (Public Law 115—334) (7 U.S.C. §1632c) (Act). The Act authorizes grants to States, Tribal governments, and research institutions to promote the domestic maple syrup industry. Supported activities include: promotion of research and education related to maple syrup production, promotion of natural resource sustainability in the maple syrup industry, </w:t>
      </w:r>
      <w:r w:rsidRPr="00107C19">
        <w:rPr>
          <w:rFonts w:cstheme="minorHAnsi"/>
          <w:color w:val="000000" w:themeColor="text1"/>
        </w:rPr>
        <w:lastRenderedPageBreak/>
        <w:t xml:space="preserve">market promotion for maple syrup and maple-sap products, encouragement of owners and operators of privately held land containing species of trees in the genus Acer to initiate or expand maple-sugaring activities on the land, or to voluntarily make the land available, including by lease or other means, for access by the public for maple-sugaring activities. </w:t>
      </w:r>
    </w:p>
    <w:p w14:paraId="54D024B2" w14:textId="77777777" w:rsidR="006E4997" w:rsidRPr="00107C19" w:rsidRDefault="006E4997" w:rsidP="006E4997">
      <w:pPr>
        <w:autoSpaceDE w:val="0"/>
        <w:autoSpaceDN w:val="0"/>
        <w:adjustRightInd w:val="0"/>
        <w:spacing w:before="0" w:after="0"/>
        <w:ind w:left="540"/>
        <w:rPr>
          <w:rFonts w:eastAsia="Times New Roman" w:cstheme="minorHAnsi"/>
          <w:color w:val="000000" w:themeColor="text1"/>
          <w:szCs w:val="24"/>
        </w:rPr>
      </w:pPr>
      <w:r w:rsidRPr="00107C19">
        <w:rPr>
          <w:rFonts w:eastAsia="Times New Roman" w:cstheme="minorHAnsi"/>
          <w:color w:val="000000" w:themeColor="text1"/>
          <w:szCs w:val="24"/>
        </w:rPr>
        <w:t>The University of Vermont will conduct the research and education necessary to increase producer knowledge, awareness, and understanding of practices to maximize crop value by promoting the production of good-flavored syrup and preventing the production of off-flavored syrup.</w:t>
      </w:r>
      <w:r w:rsidRPr="00107C19" w:rsidDel="00EE670D">
        <w:rPr>
          <w:rFonts w:eastAsia="Times New Roman" w:cstheme="minorHAnsi"/>
          <w:color w:val="000000" w:themeColor="text1"/>
          <w:szCs w:val="24"/>
        </w:rPr>
        <w:t xml:space="preserve"> </w:t>
      </w:r>
      <w:r w:rsidRPr="00107C19">
        <w:rPr>
          <w:rFonts w:eastAsia="Times New Roman" w:cstheme="minorHAnsi"/>
          <w:color w:val="000000" w:themeColor="text1"/>
          <w:szCs w:val="24"/>
        </w:rPr>
        <w:t>U.S. will use this knowledge to increase their total annual production of Grade A maple syrup, maximize the value of their syrup crops annually, and increase their annual incomes. Ultimately this will increase the total production of Grade A maple syrup in the U.S. maple industry, helping to improve the sustainability of domestic maple production and increase the competitiveness of domestically produced syrup in the global marketplace.</w:t>
      </w:r>
    </w:p>
    <w:p w14:paraId="776275DF" w14:textId="77777777" w:rsidR="006E4997" w:rsidRPr="00107C19" w:rsidRDefault="006E4997" w:rsidP="006E4997">
      <w:pPr>
        <w:pStyle w:val="Heading4"/>
      </w:pPr>
      <w:bookmarkStart w:id="143" w:name="_Toc157423732"/>
      <w:bookmarkStart w:id="144" w:name="_Toc160185961"/>
      <w:r w:rsidRPr="00107C19">
        <w:t>Recent progress</w:t>
      </w:r>
      <w:bookmarkEnd w:id="143"/>
      <w:bookmarkEnd w:id="144"/>
    </w:p>
    <w:p w14:paraId="1750F3DC" w14:textId="77777777" w:rsidR="006E4997" w:rsidRPr="00107C19" w:rsidRDefault="006E4997" w:rsidP="006E4997">
      <w:pPr>
        <w:pStyle w:val="BodyText4"/>
        <w:rPr>
          <w:color w:val="000000" w:themeColor="text1"/>
        </w:rPr>
      </w:pPr>
      <w:r w:rsidRPr="00107C19">
        <w:rPr>
          <w:color w:val="000000" w:themeColor="text1"/>
        </w:rPr>
        <w:t>• A Utah State University project has a goal to spark the development of a robust maple syrup industry in the Intermountain West. The University will expand current efforts to educate landowners and homeowners in Idaho, Utah, and Wyoming on maple sap collection and syrup production through targeted Extension programs and to develop an annual Maple Festival for the region. They will determine sap yields using traditional buckets/bags and natural gravity-based 3/16" tubing systems for tapping bigtooth maple, boxelder maple, and other maples in Idaho, Utah, and Wyoming. Expanding maple syrup production to western states could help supply the ever-increasing demand for syrup in the U.S. and could also provide additional income for landowners in locations where maple resources have not traditionally been developed. Bigtooth maple (Acer grandidentatum) and boxelder maple (Acer negundo) are native to the Intermountain West and other non-native maple species are common in the urban and suburban areas of the region.</w:t>
      </w:r>
      <w:r w:rsidRPr="00107C19" w:rsidDel="00EE670D">
        <w:rPr>
          <w:color w:val="000000" w:themeColor="text1"/>
        </w:rPr>
        <w:t xml:space="preserve"> </w:t>
      </w:r>
      <w:bookmarkStart w:id="145" w:name="_Toc119484033"/>
      <w:bookmarkStart w:id="146" w:name="_Toc120685177"/>
      <w:bookmarkStart w:id="147" w:name="_Toc123025330"/>
      <w:r w:rsidRPr="00107C19">
        <w:rPr>
          <w:color w:val="000000" w:themeColor="text1"/>
        </w:rPr>
        <w:t>Dairy Business Innovation Initiatives</w:t>
      </w:r>
      <w:bookmarkEnd w:id="145"/>
      <w:bookmarkEnd w:id="146"/>
      <w:bookmarkEnd w:id="147"/>
    </w:p>
    <w:p w14:paraId="17A7FE8A" w14:textId="77777777" w:rsidR="006E4997" w:rsidRPr="00107C19" w:rsidRDefault="006E4997" w:rsidP="006E4997">
      <w:pPr>
        <w:pStyle w:val="Heading3"/>
      </w:pPr>
      <w:bookmarkStart w:id="148" w:name="_Toc157423746"/>
      <w:bookmarkStart w:id="149" w:name="_Toc160185962"/>
      <w:r w:rsidRPr="00107C19">
        <w:t>Dairy Business Innovation Initiatives (DBI) Current Activities</w:t>
      </w:r>
      <w:bookmarkEnd w:id="148"/>
      <w:bookmarkEnd w:id="149"/>
      <w:r w:rsidRPr="00107C19">
        <w:t xml:space="preserve"> </w:t>
      </w:r>
    </w:p>
    <w:p w14:paraId="22DCAFC7"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The Dairy Business Innovation (DBI) Initiatives support dairy businesses in the development, production, marketing and distribution of dairy products. DBI Initiatives provide direct technical assistance and grants to dairy businesses, including niche dairy products, such as specialty cheese, or dairy products derived from the milk of a dairy animal, including cow, sheep and goat milk.</w:t>
      </w:r>
    </w:p>
    <w:p w14:paraId="07502F40"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The Southeast Dairy Business Innovation Initiative (SDBII) will continue to provide support to value-added dairy producers across 12 Southeast states: Alabama, Arkansas, Florida, Georgia, Kentucky, Louisiana, Mississippi, North Carolina, South Carolina, Tennessee, Virginia, and West Virginia. Outcomes will include:</w:t>
      </w:r>
    </w:p>
    <w:p w14:paraId="2A316871"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In-depth surveys of consumers, producers, and processors.</w:t>
      </w:r>
    </w:p>
    <w:p w14:paraId="448087C0"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Developing innovative brand communication strategies.</w:t>
      </w:r>
    </w:p>
    <w:p w14:paraId="11E49C48"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Providing a marketing/branding tool kit for value-added dairy producers.</w:t>
      </w:r>
    </w:p>
    <w:p w14:paraId="0A4C2D3B"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lastRenderedPageBreak/>
        <w:t>• Implementing guides for brand development and direct-to-consumer marketing.</w:t>
      </w:r>
    </w:p>
    <w:p w14:paraId="276FF751"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Expanding raw milk and finished product quality testing laboratory to support research and outreach initiatives.</w:t>
      </w:r>
    </w:p>
    <w:p w14:paraId="0D6FB1D3"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Deriving dairy protein ingredients from bovine milk for alternative uses.</w:t>
      </w:r>
    </w:p>
    <w:p w14:paraId="1105A580"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Identifying potential technology to determine total acidity in cream and predict the freezing point of dairy products.</w:t>
      </w:r>
    </w:p>
    <w:p w14:paraId="20AADBAB"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Determining potential for reverse osmosis of defatted milk to yield ice cream base.</w:t>
      </w:r>
    </w:p>
    <w:p w14:paraId="55BA037D"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Providing HAACP, Food Safety, and IMS training and resources.</w:t>
      </w:r>
    </w:p>
    <w:p w14:paraId="5C24C07A"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Providing a competitive subaward program for Southeast dairy businesses.</w:t>
      </w:r>
    </w:p>
    <w:p w14:paraId="08F90202" w14:textId="77777777" w:rsidR="006E4997" w:rsidRPr="00107C19" w:rsidRDefault="006E4997" w:rsidP="006E4997">
      <w:pPr>
        <w:pStyle w:val="BodyText3"/>
        <w:ind w:left="360"/>
        <w:rPr>
          <w:rFonts w:cstheme="minorHAnsi"/>
          <w:color w:val="000000" w:themeColor="text1"/>
        </w:rPr>
      </w:pPr>
      <w:r w:rsidRPr="00107C19">
        <w:rPr>
          <w:rFonts w:cstheme="minorHAnsi"/>
          <w:color w:val="000000" w:themeColor="text1"/>
        </w:rPr>
        <w:t>• Creating Extension fact sheets, publications, decision tools, and video resources to aid value-added dairy producers in their decision-making.</w:t>
      </w:r>
      <w:r w:rsidRPr="00107C19" w:rsidDel="00D872AD">
        <w:rPr>
          <w:rFonts w:cstheme="minorHAnsi"/>
          <w:color w:val="000000" w:themeColor="text1"/>
        </w:rPr>
        <w:t xml:space="preserve"> </w:t>
      </w:r>
    </w:p>
    <w:p w14:paraId="53CEB99A" w14:textId="77777777" w:rsidR="006E4997" w:rsidRPr="00107C19" w:rsidRDefault="006E4997" w:rsidP="006E4997">
      <w:pPr>
        <w:pStyle w:val="BodyText3"/>
        <w:ind w:left="360"/>
        <w:rPr>
          <w:color w:val="000000" w:themeColor="text1"/>
        </w:rPr>
      </w:pPr>
      <w:r w:rsidRPr="00107C19">
        <w:rPr>
          <w:color w:val="000000" w:themeColor="text1"/>
        </w:rPr>
        <w:t>The Dairy Business Innovation Alliance (DBIA) serves the Midwest region through a partnership between the University of Wisconsin’s Center for Dairy Research, the Wisconsin Cheese Makers Association, and state departments of agriculture.</w:t>
      </w:r>
      <w:r w:rsidRPr="00107C19" w:rsidDel="00D872AD">
        <w:rPr>
          <w:color w:val="000000" w:themeColor="text1"/>
        </w:rPr>
        <w:t xml:space="preserve"> </w:t>
      </w:r>
      <w:r w:rsidRPr="00107C19">
        <w:rPr>
          <w:color w:val="000000" w:themeColor="text1"/>
        </w:rPr>
        <w:t xml:space="preserve"> This initiative will expand its grant program and provide significant and practical technical assistance to the commercialization of innovative dairy products.</w:t>
      </w:r>
      <w:r w:rsidRPr="00107C19" w:rsidDel="00D872AD">
        <w:rPr>
          <w:color w:val="000000" w:themeColor="text1"/>
        </w:rPr>
        <w:t xml:space="preserve"> </w:t>
      </w:r>
    </w:p>
    <w:p w14:paraId="3CB32F99" w14:textId="77777777" w:rsidR="006E4997" w:rsidRPr="00107C19" w:rsidRDefault="006E4997" w:rsidP="006E4997">
      <w:pPr>
        <w:pStyle w:val="Heading3"/>
      </w:pPr>
      <w:r w:rsidRPr="00107C19">
        <w:t xml:space="preserve"> </w:t>
      </w:r>
      <w:bookmarkStart w:id="150" w:name="_Toc157423747"/>
      <w:bookmarkStart w:id="151" w:name="_Toc160185963"/>
      <w:r w:rsidRPr="00107C19">
        <w:t>Packers and Stockyards Program</w:t>
      </w:r>
      <w:bookmarkEnd w:id="150"/>
      <w:bookmarkEnd w:id="151"/>
    </w:p>
    <w:p w14:paraId="4135D494" w14:textId="77777777" w:rsidR="006E4997" w:rsidRPr="00107C19" w:rsidRDefault="006E4997" w:rsidP="006E4997">
      <w:pPr>
        <w:pStyle w:val="BodyText3"/>
        <w:rPr>
          <w:color w:val="000000" w:themeColor="text1"/>
        </w:rPr>
      </w:pPr>
      <w:r w:rsidRPr="00107C19">
        <w:rPr>
          <w:color w:val="000000" w:themeColor="text1"/>
        </w:rPr>
        <w:t>AMS provides impartial third-party regulatory overview of electronic grading evaluation systems being used in the sale of livestock, meat, and poultry. In 2001, FTPP’s Packers and Stockyards Division (PSD) began working with the livestock and poultry industries through ASTM International by developing voluntary consensus standards for livestock, meat, and poultry grading devices. Acting within its regulatory framework, PSD amended regulations promulgated under the Packers and Stockyards (P&amp;S) Act by referencing three standards developed by ASTM International. To ensure fair business practices, PSD continually conducts trade practice investigations of packers’ electronic grading evaluation practices to determine compliance with the P&amp;S Act and regulations. PSD is committed to working with our ASTM partners in the industry to not only meet challenges but to succeed in creating an industry that provides quality meat and poultry products to consumers and increased producer returns. The P&amp;S Act promotes fair business practices and competitive market environments and prohibits unfair, deceptive, and fraudulent practices by market agencies, livestock dealers, packers, swine contractors, and live poultry dealers in the livestock, poultry, and certain meatpacking industries.</w:t>
      </w:r>
      <w:bookmarkStart w:id="152" w:name="_Toc119484035"/>
      <w:bookmarkStart w:id="153" w:name="_Toc120685179"/>
      <w:bookmarkStart w:id="154" w:name="_Toc123025332"/>
    </w:p>
    <w:p w14:paraId="4928FCFE" w14:textId="56BD803E" w:rsidR="006E4997" w:rsidRPr="00107C19" w:rsidRDefault="006E4997" w:rsidP="006E4997">
      <w:pPr>
        <w:pStyle w:val="Heading3"/>
      </w:pPr>
      <w:bookmarkStart w:id="155" w:name="_Toc157423748"/>
      <w:r w:rsidRPr="00107C19">
        <w:t xml:space="preserve"> </w:t>
      </w:r>
      <w:bookmarkStart w:id="156" w:name="_Toc160185964"/>
      <w:r w:rsidRPr="00107C19">
        <w:t>Hemp Production Program</w:t>
      </w:r>
      <w:bookmarkEnd w:id="152"/>
      <w:bookmarkEnd w:id="153"/>
      <w:bookmarkEnd w:id="154"/>
      <w:bookmarkEnd w:id="155"/>
      <w:bookmarkEnd w:id="156"/>
    </w:p>
    <w:p w14:paraId="447E8433" w14:textId="77777777" w:rsidR="006E4997" w:rsidRPr="00107C19" w:rsidRDefault="006E4997" w:rsidP="006E4997">
      <w:pPr>
        <w:pStyle w:val="BodyText3"/>
        <w:rPr>
          <w:rFonts w:cstheme="minorHAnsi"/>
          <w:color w:val="000000" w:themeColor="text1"/>
        </w:rPr>
      </w:pPr>
      <w:bookmarkStart w:id="157" w:name="_Hlk119317745"/>
      <w:r w:rsidRPr="00107C19">
        <w:rPr>
          <w:rFonts w:cstheme="minorHAnsi"/>
          <w:color w:val="000000" w:themeColor="text1"/>
        </w:rPr>
        <w:t xml:space="preserve">The AMS Specialty Crops Program supports the implementation of the U.S. Domestic Hemp Production Program (DHPP), which oversees State and Tribal governments who administer local hemp programs, along with individual hemp producers in States and Tribal Territories where a </w:t>
      </w:r>
      <w:r w:rsidRPr="00107C19">
        <w:rPr>
          <w:rFonts w:cstheme="minorHAnsi"/>
          <w:color w:val="000000" w:themeColor="text1"/>
        </w:rPr>
        <w:lastRenderedPageBreak/>
        <w:t xml:space="preserve">local hemp program does not exist. As required by the 2018 Farm Bill, DHPP developed the </w:t>
      </w:r>
      <w:bookmarkEnd w:id="157"/>
      <w:r w:rsidRPr="00107C19">
        <w:rPr>
          <w:rFonts w:cstheme="minorHAnsi"/>
          <w:color w:val="000000" w:themeColor="text1"/>
        </w:rPr>
        <w:t xml:space="preserve">Hemp eManagement Platform (HeMP), a modernized information technology application for collecting and maintaining certain information collected by the program. HeMP, launched in September 2021, provides a secure platform for hemp producers to apply for growing licenses and manage data about hemp growing facilities including laboratory test results. HeMP also provides State and Tribal governments a portal to provide certain information to USDA as required. Law enforcement may access HeMP to search for licensed hemp producers and hemp growing locations throughout the United States as well.  </w:t>
      </w:r>
    </w:p>
    <w:p w14:paraId="44A26FE5" w14:textId="4184A91A"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DHPP allowed States to regulate hemp growth and production based on State/Tribal </w:t>
      </w:r>
      <w:r w:rsidR="0079416D" w:rsidRPr="00107C19">
        <w:rPr>
          <w:rFonts w:cstheme="minorHAnsi"/>
          <w:color w:val="000000" w:themeColor="text1"/>
        </w:rPr>
        <w:t>plans and</w:t>
      </w:r>
      <w:r w:rsidRPr="00107C19">
        <w:rPr>
          <w:rFonts w:cstheme="minorHAnsi"/>
          <w:color w:val="000000" w:themeColor="text1"/>
        </w:rPr>
        <w:t xml:space="preserve"> required USDA to promulgate Federal laws and regulations for States/Tribes without approved plans.</w:t>
      </w:r>
    </w:p>
    <w:p w14:paraId="26AB7617" w14:textId="77777777" w:rsidR="006E4997" w:rsidRPr="00107C19" w:rsidRDefault="006E4997" w:rsidP="006E4997">
      <w:pPr>
        <w:pStyle w:val="BodyText3"/>
        <w:rPr>
          <w:rFonts w:ascii="Calibri" w:hAnsi="Calibri" w:cs="Calibri"/>
          <w:color w:val="000000" w:themeColor="text1"/>
          <w:sz w:val="22"/>
        </w:rPr>
      </w:pPr>
      <w:r w:rsidRPr="00107C19">
        <w:rPr>
          <w:rFonts w:ascii="Calibri" w:eastAsia="Calibri" w:hAnsi="Calibri" w:cs="Calibri"/>
          <w:color w:val="000000" w:themeColor="text1"/>
          <w:sz w:val="22"/>
          <w:szCs w:val="22"/>
        </w:rPr>
        <w:t>In an effort to build transparency into the hemp program, SCP launched the Hemp Public Search Tool that allows for the public to see the license status of all hemp producers across the country; initiated a Market News-like weekly National Hemp Report on pricing and availability; partnered with the Farm Service Agency to improve the accuracy of hemp acreage reporting; and coordinated with the National Agricultural Statistics Service to disseminate the first-ever Hemp Production Disposition and Income Survey, leading to expanded availability of data in published results on the U.S. hemp industry.  In all, to support the burgeoning hemp industry, SCP reviewed and approved 106 State and Tribal Hemp Plans in 2023. The work throughout the year brought the number of USDA-managed producers to over 1,700.</w:t>
      </w:r>
    </w:p>
    <w:p w14:paraId="555690BE" w14:textId="77777777" w:rsidR="006E4997" w:rsidRPr="00107C19" w:rsidRDefault="006E4997" w:rsidP="006E4997">
      <w:pPr>
        <w:pStyle w:val="Heading3"/>
      </w:pPr>
      <w:bookmarkStart w:id="158" w:name="_Toc119484037"/>
      <w:bookmarkStart w:id="159" w:name="_Toc120685180"/>
      <w:r w:rsidRPr="00107C19">
        <w:t xml:space="preserve"> </w:t>
      </w:r>
      <w:bookmarkStart w:id="160" w:name="_Toc123025333"/>
      <w:bookmarkStart w:id="161" w:name="_Toc157423749"/>
      <w:bookmarkStart w:id="162" w:name="_Toc160185965"/>
      <w:r w:rsidRPr="00107C19">
        <w:t>Warehouse and Commodity Management</w:t>
      </w:r>
      <w:bookmarkEnd w:id="158"/>
      <w:bookmarkEnd w:id="159"/>
      <w:bookmarkEnd w:id="160"/>
      <w:bookmarkEnd w:id="161"/>
      <w:bookmarkEnd w:id="162"/>
    </w:p>
    <w:p w14:paraId="74FBBC43" w14:textId="3EED9C62" w:rsidR="006E4997" w:rsidRPr="00107C19" w:rsidRDefault="006E4997" w:rsidP="006E4997">
      <w:pPr>
        <w:pStyle w:val="BodyText3"/>
        <w:rPr>
          <w:rFonts w:cstheme="minorBidi"/>
          <w:color w:val="000000" w:themeColor="text1"/>
        </w:rPr>
      </w:pPr>
      <w:r w:rsidRPr="00107C19">
        <w:rPr>
          <w:rFonts w:cstheme="minorBidi"/>
          <w:color w:val="000000" w:themeColor="text1"/>
        </w:rPr>
        <w:t xml:space="preserve">The Fair Trade Practices Program’s Warehouse and Commodity Management Division (WCMD) entered into a Memorandum of Understanding with the Missouri Department of Agriculture’s Grain Warehouse Division to utilize software developed by WCMD to improve the licensing and management of agricultural commodity warehouses. The Source Code for eWCMD, the Electronic Warehouse and Commodity Management Data application, was transferred to MDA as a custom-scoped Service Now application. The transfer of this technology allows MDA to minimize development efforts on common processes and focus on meeting their unique needs. WCMD has received interest from other States in executing a similar MOU. WCMD, in return for this transfer, will receive capacity information from the States automatically, reducing burden for warehouse operators, States, and WCMD.  </w:t>
      </w:r>
    </w:p>
    <w:p w14:paraId="78723E1D" w14:textId="77777777" w:rsidR="006E4997" w:rsidRPr="00107C19" w:rsidRDefault="006E4997" w:rsidP="006E4997">
      <w:pPr>
        <w:pStyle w:val="BodyText3"/>
        <w:rPr>
          <w:rFonts w:cstheme="minorHAnsi"/>
          <w:color w:val="000000" w:themeColor="text1"/>
        </w:rPr>
      </w:pPr>
      <w:r w:rsidRPr="00107C19">
        <w:rPr>
          <w:rFonts w:cstheme="minorBidi"/>
          <w:color w:val="000000" w:themeColor="text1"/>
        </w:rPr>
        <w:t>Information Technology: During 2022, continued enhancements were made to support a major information technology modernization project in which seven legacy IT systems were successfully decommissioned and consolidated into a new streamlined system, eWCMD (ServiceNow), in support of USDA’s IT Modernization Initiatives and USDA cyber security requirements. In collaboration with FPAC, for CCC support functionality, the team continued enhancements of the PCP II (Posted County Price II) system integrating current Price Discovery Spreadsheets. This included importing DTN closing information into PCPII, which automated daily price discovery processes. Incorporation of recording price quotes by vendor/contact and utilizing commodity board of trade closing information to formulate daily commodity market prices is also underway, which will replace complex spreadsheets currently used to gather price discovery information.</w:t>
      </w:r>
      <w:r w:rsidRPr="00107C19" w:rsidDel="000560C8">
        <w:rPr>
          <w:rFonts w:cstheme="minorBidi"/>
          <w:color w:val="000000" w:themeColor="text1"/>
        </w:rPr>
        <w:t xml:space="preserve"> </w:t>
      </w:r>
      <w:r w:rsidRPr="00107C19">
        <w:rPr>
          <w:rFonts w:cstheme="minorHAnsi"/>
          <w:color w:val="000000" w:themeColor="text1"/>
        </w:rPr>
        <w:t xml:space="preserve"> </w:t>
      </w:r>
    </w:p>
    <w:p w14:paraId="51C5CE67" w14:textId="77777777" w:rsidR="006E4997" w:rsidRPr="00107C19" w:rsidRDefault="006E4997" w:rsidP="006E4997">
      <w:pPr>
        <w:pStyle w:val="Heading3"/>
      </w:pPr>
      <w:r w:rsidRPr="00107C19">
        <w:lastRenderedPageBreak/>
        <w:t xml:space="preserve"> </w:t>
      </w:r>
      <w:bookmarkStart w:id="163" w:name="_Toc119484038"/>
      <w:bookmarkStart w:id="164" w:name="_Toc120685181"/>
      <w:bookmarkStart w:id="165" w:name="_Toc123025334"/>
      <w:bookmarkStart w:id="166" w:name="_Toc157423750"/>
      <w:bookmarkStart w:id="167" w:name="_Toc160185966"/>
      <w:r w:rsidRPr="00107C19">
        <w:t>International Food Procurement</w:t>
      </w:r>
      <w:bookmarkEnd w:id="163"/>
      <w:bookmarkEnd w:id="164"/>
      <w:bookmarkEnd w:id="165"/>
      <w:bookmarkEnd w:id="166"/>
      <w:bookmarkEnd w:id="167"/>
    </w:p>
    <w:p w14:paraId="2C8C269A" w14:textId="77777777" w:rsidR="006E4997" w:rsidRPr="00107C19" w:rsidRDefault="006E4997" w:rsidP="006E4997">
      <w:pPr>
        <w:pStyle w:val="BodyText3"/>
        <w:rPr>
          <w:rFonts w:cstheme="minorHAnsi"/>
          <w:color w:val="000000" w:themeColor="text1"/>
          <w:szCs w:val="23"/>
        </w:rPr>
      </w:pPr>
      <w:r w:rsidRPr="00107C19">
        <w:rPr>
          <w:rFonts w:cstheme="minorHAnsi"/>
          <w:color w:val="000000" w:themeColor="text1"/>
        </w:rPr>
        <w:t>AMS’ Commodity Procurement Program (CPP) is responsible for coordinating the procurement of domestic agricultural products and services for distribution through international food aid programs.</w:t>
      </w:r>
      <w:r w:rsidRPr="00107C19">
        <w:rPr>
          <w:rFonts w:cstheme="minorHAnsi"/>
          <w:color w:val="000000" w:themeColor="text1"/>
          <w:szCs w:val="23"/>
        </w:rPr>
        <w:t xml:space="preserve"> CPP utilizes the Web-Based Supply Chain Management (WBSCM) system as the designated acquisition management system for all food commodity contracts and supporting services. WBSCM is a modernized, integrated Internet-based commodity ordering, acquisition, distribution, and tracking system, built on System Application and Products (SAP) commercial Enterprise Resource Planning software</w:t>
      </w:r>
      <w:r w:rsidRPr="00107C19">
        <w:rPr>
          <w:rFonts w:cstheme="minorHAnsi"/>
          <w:color w:val="000000" w:themeColor="text1"/>
          <w:sz w:val="22"/>
        </w:rPr>
        <w:t>.</w:t>
      </w:r>
      <w:r w:rsidRPr="00107C19">
        <w:rPr>
          <w:rFonts w:cstheme="minorHAnsi"/>
          <w:color w:val="000000" w:themeColor="text1"/>
        </w:rPr>
        <w:t xml:space="preserve"> </w:t>
      </w:r>
      <w:r w:rsidRPr="00107C19">
        <w:rPr>
          <w:rFonts w:cstheme="minorHAnsi"/>
          <w:color w:val="000000" w:themeColor="text1"/>
          <w:szCs w:val="23"/>
        </w:rPr>
        <w:t xml:space="preserve">WBSCM is used for procuring agricultural commodities for various foreign assistance programs (i.e., Food for progress, Title II, Food for Education etc. of United States Agency for International Development (USAID) and FAS). </w:t>
      </w:r>
    </w:p>
    <w:p w14:paraId="17B1ABFA" w14:textId="77777777" w:rsidR="006E4997" w:rsidRPr="00107C19" w:rsidRDefault="006E4997" w:rsidP="006E4997">
      <w:pPr>
        <w:pStyle w:val="BodyText3"/>
        <w:rPr>
          <w:rFonts w:cstheme="minorHAnsi"/>
          <w:color w:val="000000" w:themeColor="text1"/>
          <w:szCs w:val="23"/>
        </w:rPr>
      </w:pPr>
      <w:r w:rsidRPr="00107C19">
        <w:rPr>
          <w:rStyle w:val="title-text"/>
          <w:b/>
          <w:bCs/>
          <w:color w:val="000000" w:themeColor="text1"/>
        </w:rPr>
        <w:t>Technology Modernization:</w:t>
      </w:r>
      <w:r w:rsidRPr="00107C19">
        <w:rPr>
          <w:rFonts w:cstheme="minorHAnsi"/>
          <w:color w:val="000000" w:themeColor="text1"/>
          <w:szCs w:val="23"/>
        </w:rPr>
        <w:t xml:space="preserve"> In FY 2022, the WBSCM management team implemented several innovations to further improve WBSCM operational efficiencies, business processes, and the user experience. Many of these innovations leveraged existing WBSCM toolsets and technologies, where the framework had been previously established but not yet fully operationalized.  </w:t>
      </w:r>
    </w:p>
    <w:p w14:paraId="161F5AFB" w14:textId="77777777" w:rsidR="006E4997" w:rsidRPr="00107C19" w:rsidRDefault="006E4997" w:rsidP="006E4997">
      <w:pPr>
        <w:pStyle w:val="BodyText3"/>
        <w:numPr>
          <w:ilvl w:val="0"/>
          <w:numId w:val="15"/>
        </w:numPr>
        <w:rPr>
          <w:rFonts w:cstheme="minorHAnsi"/>
          <w:color w:val="000000" w:themeColor="text1"/>
          <w:sz w:val="22"/>
          <w:szCs w:val="22"/>
        </w:rPr>
      </w:pPr>
      <w:r w:rsidRPr="00107C19">
        <w:rPr>
          <w:rFonts w:cstheme="minorHAnsi"/>
          <w:color w:val="000000" w:themeColor="text1"/>
          <w:sz w:val="22"/>
          <w:szCs w:val="22"/>
        </w:rPr>
        <w:t>Implemented a new WBSCM analytics capability to support analytical and data visualization services for WBSCM users</w:t>
      </w:r>
    </w:p>
    <w:p w14:paraId="4BF21BC3" w14:textId="77777777" w:rsidR="006E4997" w:rsidRPr="00107C19" w:rsidRDefault="006E4997" w:rsidP="006E4997">
      <w:pPr>
        <w:pStyle w:val="BodyText3"/>
        <w:numPr>
          <w:ilvl w:val="0"/>
          <w:numId w:val="15"/>
        </w:numPr>
        <w:rPr>
          <w:rFonts w:cstheme="minorHAnsi"/>
          <w:color w:val="000000" w:themeColor="text1"/>
          <w:sz w:val="22"/>
          <w:szCs w:val="22"/>
        </w:rPr>
      </w:pPr>
      <w:r w:rsidRPr="00107C19">
        <w:rPr>
          <w:rFonts w:cstheme="minorHAnsi"/>
          <w:color w:val="000000" w:themeColor="text1"/>
          <w:sz w:val="22"/>
          <w:szCs w:val="22"/>
        </w:rPr>
        <w:t>Approved and initiated the migration of a project to move WBSCM to the USDA AgCloud, implement the latest vendor patches, and migrate application databases from Oracle to SAP HANA, which is a modernized in-memory database.</w:t>
      </w:r>
    </w:p>
    <w:p w14:paraId="221FD3BF" w14:textId="77777777" w:rsidR="006E4997" w:rsidRPr="00107C19" w:rsidRDefault="006E4997" w:rsidP="006E4997">
      <w:pPr>
        <w:pStyle w:val="Heading3"/>
      </w:pPr>
      <w:bookmarkStart w:id="168" w:name="_Toc157423751"/>
      <w:bookmarkStart w:id="169" w:name="_Toc157423752"/>
      <w:bookmarkStart w:id="170" w:name="_Toc157423753"/>
      <w:bookmarkStart w:id="171" w:name="_Toc119484039"/>
      <w:bookmarkStart w:id="172" w:name="_Toc120685182"/>
      <w:bookmarkStart w:id="173" w:name="_Toc123025335"/>
      <w:bookmarkStart w:id="174" w:name="_Toc157423754"/>
      <w:bookmarkStart w:id="175" w:name="_Toc160185967"/>
      <w:bookmarkEnd w:id="168"/>
      <w:bookmarkEnd w:id="169"/>
      <w:bookmarkEnd w:id="170"/>
      <w:r w:rsidRPr="00107C19">
        <w:t>Research and Promotion Program</w:t>
      </w:r>
      <w:bookmarkEnd w:id="171"/>
      <w:bookmarkEnd w:id="172"/>
      <w:bookmarkEnd w:id="173"/>
      <w:bookmarkEnd w:id="174"/>
      <w:bookmarkEnd w:id="175"/>
    </w:p>
    <w:p w14:paraId="3A0AF9F0" w14:textId="77777777" w:rsidR="006E4997" w:rsidRPr="00107C19" w:rsidRDefault="006E4997" w:rsidP="006E4997">
      <w:pPr>
        <w:pStyle w:val="BodyText3"/>
        <w:ind w:left="720"/>
        <w:rPr>
          <w:rFonts w:cstheme="minorHAnsi"/>
          <w:color w:val="000000" w:themeColor="text1"/>
        </w:rPr>
      </w:pPr>
      <w:r w:rsidRPr="00107C19">
        <w:rPr>
          <w:rFonts w:cstheme="minorHAnsi"/>
          <w:color w:val="000000" w:themeColor="text1"/>
        </w:rPr>
        <w:t xml:space="preserve">AMS provides administrative oversight to 22 industry-funded commodity research and promotion (checkoff) programs, with $1 billion in industry assessments in 2023. Industry research and promotion (R&amp;P) boards collect assessments from producers, feeders, seed stock producers, exporters, packers, importers, processors, manufacturers, and handlers. </w:t>
      </w:r>
    </w:p>
    <w:p w14:paraId="522344D4" w14:textId="77777777" w:rsidR="006E4997" w:rsidRPr="00107C19" w:rsidRDefault="006E4997" w:rsidP="006E4997">
      <w:pPr>
        <w:pStyle w:val="Heading4"/>
      </w:pPr>
      <w:bookmarkStart w:id="176" w:name="_Toc157423755"/>
      <w:bookmarkStart w:id="177" w:name="_Toc123025336"/>
      <w:bookmarkStart w:id="178" w:name="_Toc157423756"/>
      <w:bookmarkStart w:id="179" w:name="_Toc160185968"/>
      <w:bookmarkEnd w:id="176"/>
      <w:r w:rsidRPr="00107C19">
        <w:t>Dairy and Fluid Milk Research and Promotion Programs</w:t>
      </w:r>
      <w:bookmarkEnd w:id="177"/>
      <w:bookmarkEnd w:id="178"/>
      <w:bookmarkEnd w:id="179"/>
    </w:p>
    <w:p w14:paraId="2E144E49"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The National Dairy Promotion and Research Board and the National Fluid Milk Processor Promotion Board will continue to incorporate virtual meetings into their 2024 schedule.  The virtual meetings allow for increased participation for those who are not able to leave their farms/organizations for extended periods of time and results in less travel and lodging expenses for the board. </w:t>
      </w:r>
    </w:p>
    <w:p w14:paraId="5C0C151E" w14:textId="77777777" w:rsidR="006E4997" w:rsidRPr="00107C19" w:rsidRDefault="006E4997" w:rsidP="006E4997">
      <w:pPr>
        <w:pStyle w:val="Heading4"/>
      </w:pPr>
      <w:bookmarkStart w:id="180" w:name="_Toc157423757"/>
      <w:bookmarkStart w:id="181" w:name="_Toc119484040"/>
      <w:bookmarkStart w:id="182" w:name="_Toc120685183"/>
      <w:bookmarkStart w:id="183" w:name="_Toc123025337"/>
      <w:bookmarkStart w:id="184" w:name="_Toc157423758"/>
      <w:bookmarkStart w:id="185" w:name="_Toc160185969"/>
      <w:bookmarkEnd w:id="180"/>
      <w:r w:rsidRPr="00107C19">
        <w:t>Specialty Crops Research and Promotion Programs</w:t>
      </w:r>
      <w:bookmarkEnd w:id="181"/>
      <w:bookmarkEnd w:id="182"/>
      <w:bookmarkEnd w:id="183"/>
      <w:bookmarkEnd w:id="184"/>
      <w:bookmarkEnd w:id="185"/>
    </w:p>
    <w:p w14:paraId="56930E7E" w14:textId="17BC989B"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The AMS Specialty Crops Program (SCP) provides administrative oversight to 13 industry-funded commodity research and promotion (checkoff) programs. Every program’s mission is to maintain and expand the markets for its commodity. AMS provides oversight and ensures fiscal responsibility, program efficiency, and fair treatment of participating stakeholders. In order to </w:t>
      </w:r>
      <w:r w:rsidRPr="00107C19">
        <w:rPr>
          <w:rFonts w:cstheme="minorHAnsi"/>
          <w:color w:val="000000" w:themeColor="text1"/>
        </w:rPr>
        <w:lastRenderedPageBreak/>
        <w:t xml:space="preserve">apply and enforce the legislative and regulatory provisions of checkoff acts and </w:t>
      </w:r>
      <w:r w:rsidR="00800B51" w:rsidRPr="00107C19">
        <w:rPr>
          <w:rFonts w:cstheme="minorHAnsi"/>
          <w:color w:val="000000" w:themeColor="text1"/>
        </w:rPr>
        <w:t>orders and</w:t>
      </w:r>
      <w:r w:rsidRPr="00107C19">
        <w:rPr>
          <w:rFonts w:cstheme="minorHAnsi"/>
          <w:color w:val="000000" w:themeColor="text1"/>
        </w:rPr>
        <w:t xml:space="preserve"> promote consistency in oversight of all commodity promotion and research programs, AMS and the boards follow written and approved guidelines.</w:t>
      </w:r>
    </w:p>
    <w:p w14:paraId="629FD582"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SCP developed and launched e-balloting as a method for industry stakeholders to vote in referenda via an online platform on R&amp;P programs. The e-ballot software allows stakeholders to register online, receive their ballot, and return it electronically. An evaluation of Specialty Crop checkoff programs referenda, production costs indicated electronic voting could provide substantial industry cost savings.</w:t>
      </w:r>
    </w:p>
    <w:p w14:paraId="28CEBEFC" w14:textId="77777777" w:rsidR="006E4997" w:rsidRPr="00107C19" w:rsidRDefault="006E4997" w:rsidP="006E4997">
      <w:pPr>
        <w:pStyle w:val="Heading3"/>
      </w:pPr>
      <w:r w:rsidRPr="00107C19">
        <w:t xml:space="preserve"> </w:t>
      </w:r>
      <w:bookmarkStart w:id="186" w:name="_Toc119484041"/>
      <w:bookmarkStart w:id="187" w:name="_Toc120685184"/>
      <w:bookmarkStart w:id="188" w:name="_Toc123025338"/>
      <w:bookmarkStart w:id="189" w:name="_Toc157423759"/>
      <w:bookmarkStart w:id="190" w:name="_Toc160185970"/>
      <w:r w:rsidRPr="00107C19">
        <w:t>Auditing, Certification, Grading, Testing and Verification Services</w:t>
      </w:r>
      <w:bookmarkEnd w:id="186"/>
      <w:bookmarkEnd w:id="187"/>
      <w:bookmarkEnd w:id="188"/>
      <w:bookmarkEnd w:id="189"/>
      <w:bookmarkEnd w:id="190"/>
    </w:p>
    <w:p w14:paraId="1E818C76"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AMS provides impartial services verifying that agricultural products meet specified grades and requirements. These services, which are voluntary and fee-for-service, include the grading program, the USDA Process Verified Program (PVP), and the Quality Monitoring Program (QMP). The grading program confirms that products meet USDA grade standards. The audit and verification based PVP is a voluntary testing and process verification program modeled on the International Organization for Standardization (ISO) 9001. PVP allows companies to develop their own standards and marketing claims regarding products and production practices. It is a flexible, cost-effective, quality assurance service that provides third-party monitoring of product quality and quality systems for fresh, frozen, and processed fruits and vegetables as they are received, handled, and/or produced. The Quality Management Systems Standard program supports brand and product quality, monitors quality systems, measures supplier performance and meets any unique quality assurance needs of the customer. Technology use by AMS in meat grading improved accuracy and efficiency of grading services by evaluating and expanding the use of instrument technology, including assessing current beef camera validation procedures. AMS also approved a camera for use in one lamb production plant.</w:t>
      </w:r>
    </w:p>
    <w:p w14:paraId="6AF64635" w14:textId="77777777" w:rsidR="006E4997" w:rsidRPr="00107C19" w:rsidRDefault="006E4997" w:rsidP="006E4997">
      <w:pPr>
        <w:pStyle w:val="Heading4"/>
      </w:pPr>
      <w:bookmarkStart w:id="191" w:name="_Toc119484042"/>
      <w:bookmarkStart w:id="192" w:name="_Toc120685185"/>
      <w:bookmarkStart w:id="193" w:name="_Toc123025339"/>
      <w:bookmarkStart w:id="194" w:name="_Toc157423760"/>
      <w:bookmarkStart w:id="195" w:name="_Toc160185971"/>
      <w:r w:rsidRPr="00107C19">
        <w:t>Dairy Grading</w:t>
      </w:r>
      <w:bookmarkEnd w:id="191"/>
      <w:bookmarkEnd w:id="192"/>
      <w:bookmarkEnd w:id="193"/>
      <w:bookmarkEnd w:id="194"/>
      <w:bookmarkEnd w:id="195"/>
    </w:p>
    <w:p w14:paraId="04F05A11" w14:textId="77777777" w:rsidR="006E4997" w:rsidRPr="00107C19" w:rsidRDefault="006E4997" w:rsidP="006E4997">
      <w:pPr>
        <w:pStyle w:val="BodyText4"/>
        <w:rPr>
          <w:rFonts w:cstheme="minorHAnsi"/>
          <w:color w:val="000000" w:themeColor="text1"/>
          <w:szCs w:val="24"/>
          <w:lang w:val="en"/>
        </w:rPr>
      </w:pPr>
      <w:r w:rsidRPr="00107C19">
        <w:rPr>
          <w:rFonts w:cstheme="minorHAnsi"/>
          <w:color w:val="000000" w:themeColor="text1"/>
          <w:szCs w:val="24"/>
        </w:rPr>
        <w:t xml:space="preserve">In FY 2023, AMS </w:t>
      </w:r>
      <w:r w:rsidRPr="00107C19">
        <w:rPr>
          <w:rFonts w:cstheme="minorHAnsi"/>
          <w:color w:val="000000" w:themeColor="text1"/>
          <w:szCs w:val="24"/>
          <w:lang w:val="en"/>
        </w:rPr>
        <w:t xml:space="preserve">launched multiple versions of the export certificates for dairy products in less than five weeks to meet trade deadlines including a complex composite certificate for any exported product containing a combination of dairy, egg, fishery and less than 2% meat products. These export certificates required extensive coordination across AMS, FSIS, FDA, and the National Oceanic and Atmospheric Administration, resulting in the issuance of more than 4,100 certificates representing the more than 105 million pounds of dairy and composite product exports in fiscal year 2023. </w:t>
      </w:r>
    </w:p>
    <w:p w14:paraId="13BBE691" w14:textId="77777777" w:rsidR="006E4997" w:rsidRPr="00107C19" w:rsidRDefault="006E4997" w:rsidP="006E4997">
      <w:pPr>
        <w:pStyle w:val="BodyText4"/>
        <w:rPr>
          <w:rFonts w:cstheme="minorHAnsi"/>
          <w:color w:val="000000" w:themeColor="text1"/>
          <w:szCs w:val="24"/>
        </w:rPr>
      </w:pPr>
      <w:r w:rsidRPr="00107C19">
        <w:rPr>
          <w:rFonts w:cstheme="minorHAnsi"/>
          <w:color w:val="000000" w:themeColor="text1"/>
          <w:szCs w:val="24"/>
          <w:lang w:val="en"/>
        </w:rPr>
        <w:t>AMS launched the Agricultural Trade Licensing &amp; Attestation Solution (ATLAS) platform in May 2021 to allow exporters to request dairy export certificates for South Korea, Brazil, Great Britain, and the EU.  The ATLAS system facilitates the request process and issuance of export certificates for dairy products and some composite products. Additional countries and features will be added in 2023.</w:t>
      </w:r>
    </w:p>
    <w:p w14:paraId="2A88F87B" w14:textId="77777777" w:rsidR="006E4997" w:rsidRPr="00107C19" w:rsidRDefault="006E4997" w:rsidP="006E4997">
      <w:pPr>
        <w:pStyle w:val="Heading4"/>
      </w:pPr>
      <w:bookmarkStart w:id="196" w:name="_Toc157423761"/>
      <w:bookmarkStart w:id="197" w:name="_Toc157423762"/>
      <w:bookmarkStart w:id="198" w:name="_Toc120685186"/>
      <w:bookmarkStart w:id="199" w:name="_Toc123025340"/>
      <w:bookmarkStart w:id="200" w:name="_Toc157423763"/>
      <w:bookmarkStart w:id="201" w:name="_Toc160185972"/>
      <w:bookmarkStart w:id="202" w:name="_Toc119484043"/>
      <w:bookmarkEnd w:id="196"/>
      <w:bookmarkEnd w:id="197"/>
      <w:r w:rsidRPr="00107C19">
        <w:lastRenderedPageBreak/>
        <w:t>Specialty Crops Program - Inspection/Grading/Audits</w:t>
      </w:r>
      <w:bookmarkEnd w:id="198"/>
      <w:bookmarkEnd w:id="199"/>
      <w:bookmarkEnd w:id="200"/>
      <w:bookmarkEnd w:id="201"/>
    </w:p>
    <w:bookmarkEnd w:id="202"/>
    <w:p w14:paraId="63B15C2D"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AMS’ SCP provides grading, inspection, certification, auditing, and quality assurance services for fresh and processed fruits and vegetables, and related products. SCP also develops and maintains the U.S. grade standards; official inspection instructions, inspection aids, and color guides for these products; and commercial item descriptions for all commodities. Specialty Crops Shipping Point and Specialty Crops Movement are currently in development in the Market Analysis and Reporting Services (MARS) system  and timelines have been updated to show current project status.  </w:t>
      </w:r>
    </w:p>
    <w:p w14:paraId="262A0DDB" w14:textId="77777777" w:rsidR="006E4997" w:rsidRPr="00107C19" w:rsidRDefault="006E4997" w:rsidP="006E4997">
      <w:pPr>
        <w:pStyle w:val="BodyText4"/>
        <w:rPr>
          <w:rFonts w:ascii="Calibri" w:eastAsia="Calibri" w:hAnsi="Calibri" w:cs="Calibri"/>
          <w:color w:val="000000" w:themeColor="text1"/>
          <w:sz w:val="22"/>
        </w:rPr>
      </w:pPr>
      <w:r w:rsidRPr="00107C19">
        <w:rPr>
          <w:rFonts w:ascii="Calibri" w:eastAsia="Calibri" w:hAnsi="Calibri" w:cs="Calibri"/>
          <w:b/>
          <w:bCs/>
          <w:color w:val="000000" w:themeColor="text1"/>
          <w:szCs w:val="24"/>
        </w:rPr>
        <w:t xml:space="preserve">Use of Technology in Grading Services: </w:t>
      </w:r>
      <w:r w:rsidRPr="00107C19">
        <w:rPr>
          <w:rFonts w:ascii="Calibri" w:eastAsia="Calibri" w:hAnsi="Calibri" w:cs="Calibri"/>
          <w:color w:val="000000" w:themeColor="text1"/>
          <w:szCs w:val="24"/>
        </w:rPr>
        <w:t xml:space="preserve">SCI Division continues to review analytical devices and procedures to modernize specialized equipment and processes across the Division. Following the successful completion of a </w:t>
      </w:r>
      <w:r w:rsidRPr="00107C19">
        <w:rPr>
          <w:rFonts w:ascii="Calibri" w:eastAsia="Calibri" w:hAnsi="Calibri" w:cs="Calibri"/>
          <w:color w:val="000000" w:themeColor="text1"/>
          <w:sz w:val="22"/>
        </w:rPr>
        <w:t xml:space="preserve">Salimeter/Salt meter Equivalency Comparison which resulted in the approval of equivalent methods and equipment for measuring sodium chloride in olive brine, a highly sought-after change in procedures from industry stakeholders, SCI is expanding its equivalency reviews. SCI will begin testing other new, digital analytical devices such as refractometers and Brix to acid ratio meters to modernize inspection equipment and processes. New, modern testing devises can be more efficient, reduce the potential for errors, and have the potential to greatly reduce operational efficiency when performing analytical testing. If found to be comparable, SCI will begin to implement the new devices in FY24 and FY25. </w:t>
      </w:r>
    </w:p>
    <w:p w14:paraId="3662466D" w14:textId="77777777" w:rsidR="006E4997" w:rsidRPr="00107C19" w:rsidRDefault="006E4997" w:rsidP="006E4997">
      <w:pPr>
        <w:pStyle w:val="BodyText4"/>
        <w:rPr>
          <w:rFonts w:ascii="Calibri" w:eastAsia="Calibri" w:hAnsi="Calibri" w:cs="Calibri"/>
          <w:color w:val="000000" w:themeColor="text1"/>
          <w:sz w:val="22"/>
        </w:rPr>
      </w:pPr>
      <w:r w:rsidRPr="00107C19">
        <w:rPr>
          <w:rFonts w:ascii="Calibri" w:eastAsia="Calibri" w:hAnsi="Calibri" w:cs="Calibri"/>
          <w:b/>
          <w:bCs/>
          <w:color w:val="000000" w:themeColor="text1"/>
          <w:szCs w:val="24"/>
        </w:rPr>
        <w:t>Lighting Modernization:</w:t>
      </w:r>
      <w:r w:rsidRPr="00107C19">
        <w:rPr>
          <w:rFonts w:ascii="Calibri" w:eastAsia="Calibri" w:hAnsi="Calibri" w:cs="Calibri"/>
          <w:color w:val="000000" w:themeColor="text1"/>
          <w:sz w:val="22"/>
        </w:rPr>
        <w:t xml:space="preserve"> Assessing color and quality attributes are a critical element of grading fresh and processed fruits, vegetables, nuts and specialty products. SCI Division is proactively evaluating all grading and office space lighting nationwide to retrofit with light emitting diode (LED) lamps which will safely and efficiently serve the needs of the Division.  In FY22, the Federal Grain and Inspection Service (FGIS) concluded an LED vs florescent lighting study which demonstrated no statistically significant difference between the LED lamps used and their currently approved florescent lamps.  Acknowledging</w:t>
      </w:r>
      <w:r w:rsidRPr="00107C19">
        <w:rPr>
          <w:rFonts w:ascii="Calibri" w:eastAsia="Calibri" w:hAnsi="Calibri" w:cs="Calibri"/>
          <w:b/>
          <w:bCs/>
          <w:color w:val="000000" w:themeColor="text1"/>
          <w:sz w:val="22"/>
        </w:rPr>
        <w:t xml:space="preserve"> </w:t>
      </w:r>
      <w:r w:rsidRPr="00107C19">
        <w:rPr>
          <w:rFonts w:ascii="Calibri" w:eastAsia="Calibri" w:hAnsi="Calibri" w:cs="Calibri"/>
          <w:color w:val="000000" w:themeColor="text1"/>
          <w:sz w:val="22"/>
        </w:rPr>
        <w:t xml:space="preserve">the success of this study, SCI Division in conducting a comparison study utilizing SCI grading fixtures, inspection staff and commonly graded processed commodities. Pending the results, SCI hopes to approve the alternative LED lighting.  LED lamps are more cost efficient and sustainable for long term use, lasting up to three to five times longer and reduce energy costs. By requiring less energy and fewer replacements, LED lights cut carbon emissions and landfill clutter.  LED lights contain no mercury and are shatterproof. Conversely, mercury found in fluorescent lights is toxic; fluorescents lights can easily break, which is hazardous to the environment and the people around them and many state and local laws require that fluorescent lamps be recycled rather than sent to landfills.   </w:t>
      </w:r>
    </w:p>
    <w:p w14:paraId="7334A274" w14:textId="77777777" w:rsidR="006E4997" w:rsidRPr="00107C19" w:rsidRDefault="006E4997" w:rsidP="006E4997">
      <w:pPr>
        <w:pStyle w:val="BodyText4"/>
        <w:rPr>
          <w:rFonts w:cstheme="minorBidi"/>
          <w:color w:val="000000" w:themeColor="text1"/>
        </w:rPr>
      </w:pPr>
      <w:r w:rsidRPr="00107C19">
        <w:rPr>
          <w:rFonts w:cstheme="minorBidi"/>
          <w:color w:val="000000" w:themeColor="text1"/>
        </w:rPr>
        <w:t xml:space="preserve">SCP developed the Specialty Crops Integrated Operating Network (SCION) system, which will transform the Specialty Crops Inspection (SCI) Division’s inspection and audit services by providing a modern user experience for customers and internal users, and enabling the retirement of aging, legacy systems. SCP completed major development under the contract in September 2022 with extended O&amp;M contract support through June of 2023.  SCION is in production and continued O&amp;M support is now provided by MRP-IT.  SCION includes processed lot inspection and audit functionality and allows for state departments to transmit inspection data from their IT systems to SCP.  SCP is working to balance use of the new system with continuity and efficiency of operations while addressing system improvements and fixes as SCP legacy systems are retired. </w:t>
      </w:r>
    </w:p>
    <w:p w14:paraId="45493AB2" w14:textId="77777777" w:rsidR="006E4997" w:rsidRPr="00107C19" w:rsidRDefault="006E4997" w:rsidP="006E4997">
      <w:pPr>
        <w:pStyle w:val="BodyText4"/>
        <w:ind w:left="0"/>
        <w:rPr>
          <w:rFonts w:cstheme="minorHAnsi"/>
          <w:color w:val="000000" w:themeColor="text1"/>
        </w:rPr>
      </w:pPr>
    </w:p>
    <w:p w14:paraId="255D9090" w14:textId="77777777" w:rsidR="006E4997" w:rsidRPr="00107C19" w:rsidRDefault="006E4997" w:rsidP="006E4997">
      <w:pPr>
        <w:pStyle w:val="Heading4"/>
      </w:pPr>
      <w:bookmarkStart w:id="203" w:name="_Toc157423764"/>
      <w:bookmarkStart w:id="204" w:name="_Toc157423765"/>
      <w:bookmarkStart w:id="205" w:name="_Toc119484056"/>
      <w:bookmarkStart w:id="206" w:name="_Toc120685187"/>
      <w:bookmarkStart w:id="207" w:name="_Toc123025341"/>
      <w:bookmarkStart w:id="208" w:name="_Toc157423766"/>
      <w:bookmarkStart w:id="209" w:name="_Toc160185973"/>
      <w:bookmarkEnd w:id="203"/>
      <w:bookmarkEnd w:id="204"/>
      <w:r w:rsidRPr="00107C19">
        <w:t>USDA Process Verified Program</w:t>
      </w:r>
      <w:bookmarkEnd w:id="205"/>
      <w:bookmarkEnd w:id="206"/>
      <w:bookmarkEnd w:id="207"/>
      <w:bookmarkEnd w:id="208"/>
      <w:bookmarkEnd w:id="209"/>
    </w:p>
    <w:p w14:paraId="117FAC3F"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Built upon the ISO 9001 Quality Management Systems Standard, the USDA Process Verified Program (PVP) allows companies to develop their own standards and marketing claims regarding products and production practices that are then meticulously verified by USDA auditors.</w:t>
      </w:r>
    </w:p>
    <w:p w14:paraId="69FFAEBF" w14:textId="77777777" w:rsidR="006E4997" w:rsidRPr="00107C19" w:rsidRDefault="006E4997" w:rsidP="006E4997">
      <w:pPr>
        <w:pStyle w:val="Heading4"/>
      </w:pPr>
      <w:bookmarkStart w:id="210" w:name="_Toc119484057"/>
      <w:bookmarkStart w:id="211" w:name="_Toc120685188"/>
      <w:bookmarkStart w:id="212" w:name="_Toc123025342"/>
      <w:bookmarkStart w:id="213" w:name="_Toc157423767"/>
      <w:bookmarkStart w:id="214" w:name="_Toc160185974"/>
      <w:r w:rsidRPr="00107C19">
        <w:t>Export Verification</w:t>
      </w:r>
      <w:bookmarkEnd w:id="210"/>
      <w:bookmarkEnd w:id="211"/>
      <w:bookmarkEnd w:id="212"/>
      <w:bookmarkEnd w:id="213"/>
      <w:bookmarkEnd w:id="214"/>
    </w:p>
    <w:p w14:paraId="10DFC8A1"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AMS facilitates the international marketing of domestic livestock products through its audit-based Export Verification (EV) Program, which bridges the gap between what FSIS can attest to (wholesomeness, safety) and what an importing country may require (e.g., production practices, age, or source requirements).</w:t>
      </w:r>
    </w:p>
    <w:p w14:paraId="742089E6" w14:textId="77777777" w:rsidR="006E4997" w:rsidRPr="00107C19" w:rsidRDefault="006E4997" w:rsidP="006E4997">
      <w:pPr>
        <w:pStyle w:val="Heading4"/>
      </w:pPr>
      <w:bookmarkStart w:id="215" w:name="_Toc119484058"/>
      <w:bookmarkStart w:id="216" w:name="_Toc120685189"/>
      <w:bookmarkStart w:id="217" w:name="_Toc123025343"/>
      <w:bookmarkStart w:id="218" w:name="_Toc157423768"/>
      <w:bookmarkStart w:id="219" w:name="_Toc160185975"/>
      <w:r w:rsidRPr="00107C19">
        <w:t>USDA Commodity Purchasing</w:t>
      </w:r>
      <w:bookmarkEnd w:id="215"/>
      <w:bookmarkEnd w:id="216"/>
      <w:bookmarkEnd w:id="217"/>
      <w:bookmarkEnd w:id="218"/>
      <w:bookmarkEnd w:id="219"/>
      <w:r w:rsidRPr="00107C19">
        <w:t xml:space="preserve"> </w:t>
      </w:r>
    </w:p>
    <w:p w14:paraId="1F572C5A"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AMS audit services support USDA’s purchases for domestic nutrition assistance programs in several ways, from determination of technical eligibility of potential suppliers to post-award contract compliance verification through routine audits.</w:t>
      </w:r>
    </w:p>
    <w:p w14:paraId="6E4D2C78" w14:textId="77777777" w:rsidR="006E4997" w:rsidRPr="00107C19" w:rsidRDefault="006E4997" w:rsidP="006E4997">
      <w:pPr>
        <w:pStyle w:val="Heading4"/>
      </w:pPr>
      <w:bookmarkStart w:id="220" w:name="_Toc119484059"/>
      <w:bookmarkStart w:id="221" w:name="_Toc120685190"/>
      <w:bookmarkStart w:id="222" w:name="_Toc123025344"/>
      <w:bookmarkStart w:id="223" w:name="_Toc157423769"/>
      <w:bookmarkStart w:id="224" w:name="_Toc160185976"/>
      <w:r w:rsidRPr="00107C19">
        <w:t>Livestock and Poultry Meat Grading Program</w:t>
      </w:r>
      <w:bookmarkEnd w:id="220"/>
      <w:bookmarkEnd w:id="221"/>
      <w:bookmarkEnd w:id="222"/>
      <w:bookmarkEnd w:id="223"/>
      <w:bookmarkEnd w:id="224"/>
    </w:p>
    <w:p w14:paraId="21AFE524"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AMS provides grading services to meat packing and processing plants. </w:t>
      </w:r>
    </w:p>
    <w:p w14:paraId="73F65F21" w14:textId="77777777" w:rsidR="006E4997" w:rsidRPr="00107C19" w:rsidRDefault="006E4997" w:rsidP="006E4997">
      <w:pPr>
        <w:pStyle w:val="BodyText4"/>
        <w:rPr>
          <w:rFonts w:cstheme="minorHAnsi"/>
          <w:color w:val="000000" w:themeColor="text1"/>
        </w:rPr>
      </w:pPr>
      <w:r w:rsidRPr="00107C19">
        <w:rPr>
          <w:rFonts w:cstheme="minorHAnsi"/>
          <w:b/>
          <w:bCs/>
          <w:color w:val="000000" w:themeColor="text1"/>
        </w:rPr>
        <w:t>Use of Technology in Grading Services:</w:t>
      </w:r>
      <w:r w:rsidRPr="00107C19">
        <w:rPr>
          <w:rFonts w:cstheme="minorHAnsi"/>
          <w:b/>
          <w:bCs/>
          <w:i/>
          <w:iCs/>
          <w:color w:val="000000" w:themeColor="text1"/>
        </w:rPr>
        <w:t xml:space="preserve"> </w:t>
      </w:r>
      <w:r w:rsidRPr="00107C19">
        <w:rPr>
          <w:rFonts w:cstheme="minorHAnsi"/>
          <w:color w:val="000000" w:themeColor="text1"/>
        </w:rPr>
        <w:t xml:space="preserve">AMS updated procedures for instrument grading to provide clarity and flexibility in the testing requirements for firms that want to use plant employees to apply beef grade standards using instrument technology. </w:t>
      </w:r>
    </w:p>
    <w:p w14:paraId="4DAC7903"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AMS conducts independent, third-party verification audits throughout the supply distribution chain for primary producers, food service and retail organizations, processors, and State and Federal government agencies. </w:t>
      </w:r>
    </w:p>
    <w:p w14:paraId="6CAB4406" w14:textId="77777777" w:rsidR="006E4997" w:rsidRPr="00107C19" w:rsidRDefault="006E4997" w:rsidP="006E4997">
      <w:pPr>
        <w:pStyle w:val="Heading4"/>
      </w:pPr>
      <w:bookmarkStart w:id="225" w:name="_Toc119484044"/>
      <w:bookmarkStart w:id="226" w:name="_Toc120624562"/>
      <w:bookmarkStart w:id="227" w:name="_Toc119484045"/>
      <w:bookmarkStart w:id="228" w:name="_Toc119484055"/>
      <w:bookmarkStart w:id="229" w:name="_Toc120685191"/>
      <w:bookmarkStart w:id="230" w:name="_Toc123025345"/>
      <w:bookmarkStart w:id="231" w:name="_Toc157423770"/>
      <w:bookmarkStart w:id="232" w:name="_Toc160185977"/>
      <w:bookmarkEnd w:id="225"/>
      <w:bookmarkEnd w:id="226"/>
      <w:bookmarkEnd w:id="227"/>
      <w:r w:rsidRPr="00107C19">
        <w:t>Livestock and Poultry Program Audit Services</w:t>
      </w:r>
      <w:bookmarkEnd w:id="228"/>
      <w:bookmarkEnd w:id="229"/>
      <w:bookmarkEnd w:id="230"/>
      <w:bookmarkEnd w:id="231"/>
      <w:bookmarkEnd w:id="232"/>
    </w:p>
    <w:p w14:paraId="015D9584"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AMS provides a variety of audit-based verification services for livestock, meat, poultry, and other agricultural industries, utilizing a team of 18 highly qualified auditors.</w:t>
      </w:r>
    </w:p>
    <w:p w14:paraId="7E3D9BD3" w14:textId="77777777" w:rsidR="006E4997" w:rsidRPr="00107C19" w:rsidRDefault="006E4997" w:rsidP="006E4997">
      <w:pPr>
        <w:pStyle w:val="Heading4"/>
      </w:pPr>
      <w:bookmarkStart w:id="233" w:name="_Toc119484061"/>
      <w:bookmarkStart w:id="234" w:name="_Toc120685192"/>
      <w:bookmarkStart w:id="235" w:name="_Toc123025346"/>
      <w:bookmarkStart w:id="236" w:name="_Toc157423771"/>
      <w:bookmarkStart w:id="237" w:name="_Toc160185978"/>
      <w:r w:rsidRPr="00107C19">
        <w:t>Poultry and Shell Egg Grading Services</w:t>
      </w:r>
      <w:bookmarkEnd w:id="233"/>
      <w:bookmarkEnd w:id="234"/>
      <w:bookmarkEnd w:id="235"/>
      <w:bookmarkEnd w:id="236"/>
      <w:bookmarkEnd w:id="237"/>
    </w:p>
    <w:p w14:paraId="1C8FFAAC"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AMS continued to implement improvements to its new billing system through the adoption of an innovative technology solution to reduce the amount of time to process payroll for 600+ graders, thus eliminating redundant data entry with a savings of approximately 8,450 hours, or </w:t>
      </w:r>
      <w:r w:rsidRPr="00107C19">
        <w:rPr>
          <w:rFonts w:cstheme="minorHAnsi"/>
          <w:color w:val="000000" w:themeColor="text1"/>
        </w:rPr>
        <w:lastRenderedPageBreak/>
        <w:t>$256,035 annually.</w:t>
      </w:r>
    </w:p>
    <w:p w14:paraId="5A9051A7" w14:textId="77777777" w:rsidR="006E4997" w:rsidRPr="00107C19" w:rsidRDefault="006E4997" w:rsidP="006E4997">
      <w:pPr>
        <w:pStyle w:val="Heading4"/>
      </w:pPr>
      <w:bookmarkStart w:id="238" w:name="_Toc119484062"/>
      <w:bookmarkStart w:id="239" w:name="_Toc120685193"/>
      <w:bookmarkStart w:id="240" w:name="_Toc123025347"/>
      <w:bookmarkStart w:id="241" w:name="_Toc157423772"/>
      <w:bookmarkStart w:id="242" w:name="_Toc160185979"/>
      <w:r w:rsidRPr="00107C19">
        <w:t>Voluntary Seed Testing</w:t>
      </w:r>
      <w:bookmarkEnd w:id="238"/>
      <w:bookmarkEnd w:id="239"/>
      <w:bookmarkEnd w:id="240"/>
      <w:bookmarkEnd w:id="241"/>
      <w:bookmarkEnd w:id="242"/>
    </w:p>
    <w:p w14:paraId="6D996435"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AMS offers seed inspection and certification services to users for a fee.</w:t>
      </w:r>
    </w:p>
    <w:p w14:paraId="30A63EB7" w14:textId="77777777" w:rsidR="006E4997" w:rsidRPr="00107C19" w:rsidRDefault="006E4997" w:rsidP="006E4997">
      <w:pPr>
        <w:pStyle w:val="Heading4"/>
      </w:pPr>
      <w:bookmarkStart w:id="243" w:name="_Toc119484063"/>
      <w:bookmarkStart w:id="244" w:name="_Toc120685194"/>
      <w:bookmarkStart w:id="245" w:name="_Toc123025348"/>
      <w:bookmarkStart w:id="246" w:name="_Toc157423773"/>
      <w:bookmarkStart w:id="247" w:name="_Toc160185980"/>
      <w:r w:rsidRPr="00107C19">
        <w:t>Cotton Grading</w:t>
      </w:r>
      <w:bookmarkEnd w:id="243"/>
      <w:bookmarkEnd w:id="244"/>
      <w:bookmarkEnd w:id="245"/>
      <w:bookmarkEnd w:id="246"/>
      <w:bookmarkEnd w:id="247"/>
    </w:p>
    <w:p w14:paraId="74C0B6E3" w14:textId="150A522D" w:rsidR="006E4997" w:rsidRPr="00107C19" w:rsidRDefault="006E4997" w:rsidP="006E4997">
      <w:pPr>
        <w:pStyle w:val="BodyText4"/>
        <w:rPr>
          <w:rFonts w:cstheme="minorHAnsi"/>
          <w:color w:val="000000" w:themeColor="text1"/>
          <w:szCs w:val="24"/>
        </w:rPr>
      </w:pPr>
      <w:r w:rsidRPr="00107C19">
        <w:rPr>
          <w:rFonts w:cstheme="minorHAnsi"/>
          <w:color w:val="000000" w:themeColor="text1"/>
          <w:szCs w:val="24"/>
        </w:rPr>
        <w:t xml:space="preserve">AMS classed 19.2 million bales of cotton under the grower-classing program in FY 2020, with all cotton classed by the </w:t>
      </w:r>
      <w:r w:rsidR="00800B51" w:rsidRPr="00107C19">
        <w:rPr>
          <w:rFonts w:cstheme="minorHAnsi"/>
          <w:color w:val="000000" w:themeColor="text1"/>
          <w:szCs w:val="24"/>
        </w:rPr>
        <w:t>High-Volume</w:t>
      </w:r>
      <w:r w:rsidRPr="00107C19">
        <w:rPr>
          <w:rFonts w:cstheme="minorHAnsi"/>
          <w:color w:val="000000" w:themeColor="text1"/>
          <w:szCs w:val="24"/>
        </w:rPr>
        <w:t xml:space="preserve"> Instrument (HVI) method. This represents a 7.96% increase from the FY 2019 level of 17.8 million samples submitted. Classing information is provided electronically to owners of the cotton.</w:t>
      </w:r>
    </w:p>
    <w:p w14:paraId="20351C73" w14:textId="77777777" w:rsidR="006E4997" w:rsidRPr="00107C19" w:rsidRDefault="006E4997" w:rsidP="006E4997">
      <w:pPr>
        <w:pStyle w:val="Heading4"/>
      </w:pPr>
      <w:bookmarkStart w:id="248" w:name="_Toc119484064"/>
      <w:bookmarkStart w:id="249" w:name="_Toc120685195"/>
      <w:bookmarkStart w:id="250" w:name="_Toc123025349"/>
      <w:bookmarkStart w:id="251" w:name="_Toc157423774"/>
      <w:bookmarkStart w:id="252" w:name="_Toc160185981"/>
      <w:r w:rsidRPr="00107C19">
        <w:t>Tobacco Grading</w:t>
      </w:r>
      <w:bookmarkEnd w:id="248"/>
      <w:bookmarkEnd w:id="249"/>
      <w:bookmarkEnd w:id="250"/>
      <w:bookmarkEnd w:id="251"/>
      <w:bookmarkEnd w:id="252"/>
    </w:p>
    <w:p w14:paraId="30913687" w14:textId="77777777" w:rsidR="006E4997" w:rsidRPr="00107C19" w:rsidRDefault="006E4997" w:rsidP="006E4997">
      <w:pPr>
        <w:pStyle w:val="BodyText4"/>
        <w:rPr>
          <w:rFonts w:cstheme="minorHAnsi"/>
          <w:color w:val="000000" w:themeColor="text1"/>
          <w:szCs w:val="24"/>
        </w:rPr>
      </w:pPr>
      <w:r w:rsidRPr="00107C19">
        <w:rPr>
          <w:rFonts w:cstheme="minorHAnsi"/>
          <w:color w:val="000000" w:themeColor="text1"/>
          <w:szCs w:val="24"/>
        </w:rPr>
        <w:t>AMS graded 4.3 million kilograms of imported tobacco and 2.6 million pounds of domestic tobacco for exporting in FY 2020.</w:t>
      </w:r>
    </w:p>
    <w:p w14:paraId="4DE5AF36" w14:textId="77777777" w:rsidR="006E4997" w:rsidRPr="00107C19" w:rsidRDefault="006E4997" w:rsidP="006E4997">
      <w:pPr>
        <w:pStyle w:val="Heading4"/>
      </w:pPr>
      <w:bookmarkStart w:id="253" w:name="_Toc119484065"/>
      <w:bookmarkStart w:id="254" w:name="_Toc120685196"/>
      <w:bookmarkStart w:id="255" w:name="_Toc123025350"/>
      <w:bookmarkStart w:id="256" w:name="_Toc157423775"/>
      <w:bookmarkStart w:id="257" w:name="_Toc160185982"/>
      <w:r w:rsidRPr="00107C19">
        <w:t>AMS Laboratory Approval and Testing Division</w:t>
      </w:r>
      <w:bookmarkEnd w:id="253"/>
      <w:bookmarkEnd w:id="254"/>
      <w:bookmarkEnd w:id="255"/>
      <w:bookmarkEnd w:id="256"/>
      <w:bookmarkEnd w:id="257"/>
    </w:p>
    <w:p w14:paraId="7F7F801B"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Through S&amp;T’s Laboratory Approval and Testing Division, AMS provides lab testing and approval services to facilitate domestic and international marketing of food and agricultural commodities. </w:t>
      </w:r>
    </w:p>
    <w:p w14:paraId="596295AD"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 xml:space="preserve">The National Science Laboratories (NSL) provide analytical testing services for a fee. Analytical services include microbiological, chemical, physical, and bio-molecular analyses on a wide variety of food products and agricultural commodities. NSL supports the vast missions of AMS by testing for quality and safety parameters of commodities procured for the USDA Foods Program; pesticide residues in organic commodities for compliance to organic standards; pesticide residues in specialty products for the Pesticide Data Program which helps to monitor pesticide residue levels in U.S. food; and quality and safety parameters of commodities in support of AMS voluntary grading, commodity purchases, and export certification programs. NSL also serves other USDA and Federal Government agencies, including microbiological and nutritional testing of operational rations purchased by the Department of Defense; commercial enterprises; academic and research institutions; and private individuals. </w:t>
      </w:r>
    </w:p>
    <w:p w14:paraId="3614F014" w14:textId="77777777" w:rsidR="006E4997" w:rsidRPr="00107C19" w:rsidRDefault="006E4997" w:rsidP="006E4997">
      <w:pPr>
        <w:pStyle w:val="BodyText4"/>
        <w:rPr>
          <w:rFonts w:cstheme="minorHAnsi"/>
          <w:color w:val="000000" w:themeColor="text1"/>
        </w:rPr>
      </w:pPr>
      <w:bookmarkStart w:id="258" w:name="_Hlk152147104"/>
      <w:r w:rsidRPr="00107C19">
        <w:rPr>
          <w:rFonts w:cstheme="minorHAnsi"/>
          <w:color w:val="000000" w:themeColor="text1"/>
        </w:rPr>
        <w:t xml:space="preserve">In FY 2023, LATD implemented a new procurement process for NSL. Production laboratories require volumes of materials and supplies so the procurement process can impact day-to-day activities. The team created a shared solution that made better use of technology (SharePoint) and drastically improved transparency and communication, reducing internal email chatter, and streamlining the ordering process by 75%. Additionally, NSL is better equipped to proactively seek alternative vendors and advise customers when critical materials are experiencing supply chain disruptions. The SharePoint procurement process has been such an overwhelming improvement, LATD will roll out the process to the entire S&amp;T Program in FY 2024. Also, LATD </w:t>
      </w:r>
      <w:r w:rsidRPr="00107C19">
        <w:rPr>
          <w:rFonts w:cstheme="minorHAnsi"/>
          <w:color w:val="000000" w:themeColor="text1"/>
        </w:rPr>
        <w:lastRenderedPageBreak/>
        <w:t>has been working to semi-automate Status of Funds documents using data analytics tools. This has reduced the number of man-hours required to create the financial documents.</w:t>
      </w:r>
    </w:p>
    <w:p w14:paraId="5C4B0E20" w14:textId="77777777" w:rsidR="006E4997" w:rsidRPr="00107C19" w:rsidRDefault="006E4997" w:rsidP="006E4997">
      <w:pPr>
        <w:pStyle w:val="BodyText4"/>
        <w:rPr>
          <w:color w:val="000000" w:themeColor="text1"/>
        </w:rPr>
      </w:pPr>
      <w:r w:rsidRPr="00107C19">
        <w:rPr>
          <w:color w:val="000000" w:themeColor="text1"/>
        </w:rPr>
        <w:t>In FY2023, NSL managed a muti-layered networking initiative that included rewiring the network and improving network configuration and bandwidth, installing uninterruptable power supply, reconfiguring Wi-Fi, transitioning the VoIP phone system from a locally supported to MRP-supported, procuring much needed backup servers, and bringing the Scientific Lab (intranet) online. These long-needed improvements provided S&amp;T laboratories with foundational IT capabilities that will enable the laboratories with long-desired improvements such as catastrophic (e.g., fire) instrument backup and improved data capture, transfer, and accessibility via the intranet.</w:t>
      </w:r>
      <w:bookmarkEnd w:id="258"/>
    </w:p>
    <w:p w14:paraId="4669B9D1" w14:textId="77777777" w:rsidR="006E4997" w:rsidRPr="00107C19" w:rsidRDefault="006E4997" w:rsidP="006E4997">
      <w:pPr>
        <w:pStyle w:val="BodyText4"/>
        <w:rPr>
          <w:rFonts w:cstheme="minorHAnsi"/>
          <w:color w:val="000000" w:themeColor="text1"/>
        </w:rPr>
      </w:pPr>
      <w:r w:rsidRPr="00107C19">
        <w:rPr>
          <w:rFonts w:cstheme="minorHAnsi"/>
          <w:color w:val="000000" w:themeColor="text1"/>
        </w:rPr>
        <w:t>NSL continued to develop its Laboratory Information Management System exchange portal in FY2023 to better facilitate the exchange of information with customers and access to laboratory records.  After adjustments to system security parameters, the exchange portal is expected to be implemented in FY 2024.</w:t>
      </w:r>
    </w:p>
    <w:p w14:paraId="610A58BF" w14:textId="77777777" w:rsidR="006E4997" w:rsidRPr="00107C19" w:rsidRDefault="006E4997" w:rsidP="006E4997">
      <w:pPr>
        <w:pStyle w:val="Heading3"/>
      </w:pPr>
      <w:bookmarkStart w:id="259" w:name="_Toc157423776"/>
      <w:bookmarkStart w:id="260" w:name="_Toc157423777"/>
      <w:bookmarkStart w:id="261" w:name="_Toc157423778"/>
      <w:bookmarkStart w:id="262" w:name="_Toc157423779"/>
      <w:bookmarkStart w:id="263" w:name="_Toc157423780"/>
      <w:bookmarkStart w:id="264" w:name="_Toc157423781"/>
      <w:bookmarkStart w:id="265" w:name="_Toc157423782"/>
      <w:bookmarkStart w:id="266" w:name="_Toc119484066"/>
      <w:bookmarkStart w:id="267" w:name="_Toc120685197"/>
      <w:bookmarkEnd w:id="259"/>
      <w:bookmarkEnd w:id="260"/>
      <w:bookmarkEnd w:id="261"/>
      <w:bookmarkEnd w:id="262"/>
      <w:bookmarkEnd w:id="263"/>
      <w:bookmarkEnd w:id="264"/>
      <w:bookmarkEnd w:id="265"/>
      <w:r w:rsidRPr="00107C19">
        <w:t xml:space="preserve">  </w:t>
      </w:r>
      <w:bookmarkStart w:id="268" w:name="_Toc123025351"/>
      <w:bookmarkStart w:id="269" w:name="_Toc157423783"/>
      <w:bookmarkStart w:id="270" w:name="_Toc160185983"/>
      <w:r w:rsidRPr="00107C19">
        <w:t>Plant Variety Protection Act</w:t>
      </w:r>
      <w:bookmarkEnd w:id="266"/>
      <w:bookmarkEnd w:id="267"/>
      <w:bookmarkEnd w:id="268"/>
      <w:bookmarkEnd w:id="269"/>
      <w:bookmarkEnd w:id="270"/>
    </w:p>
    <w:p w14:paraId="64FB7EB6" w14:textId="77777777" w:rsidR="006E4997" w:rsidRPr="00107C19" w:rsidRDefault="006E4997" w:rsidP="006E4997">
      <w:pPr>
        <w:pStyle w:val="BodyText3"/>
        <w:rPr>
          <w:color w:val="000000" w:themeColor="text1"/>
        </w:rPr>
      </w:pPr>
      <w:bookmarkStart w:id="271" w:name="_Hlk152153660"/>
      <w:r w:rsidRPr="00107C19">
        <w:rPr>
          <w:color w:val="000000" w:themeColor="text1"/>
        </w:rPr>
        <w:t xml:space="preserve">The Plant Variety Protection (PVP) Act provides legal and intellectual property rights protection to developers of new varieties of plants that are sexually reproduced, tuber-propagated, or asexually reproduced. This voluntary program is funded through application fees for certificates of protection. Currently, more than 400 species of plants are protected under the PVP Act, and more than 8,800 certificates of protection are in force. </w:t>
      </w:r>
    </w:p>
    <w:p w14:paraId="1F38F877" w14:textId="77777777" w:rsidR="006E4997" w:rsidRPr="00107C19" w:rsidRDefault="006E4997" w:rsidP="006E4997">
      <w:pPr>
        <w:pStyle w:val="BodyText3"/>
        <w:rPr>
          <w:color w:val="000000" w:themeColor="text1"/>
        </w:rPr>
      </w:pPr>
      <w:r w:rsidRPr="00107C19">
        <w:rPr>
          <w:color w:val="000000" w:themeColor="text1"/>
        </w:rPr>
        <w:t>The Science and Technology Program’s (S&amp;T) Plant Variety Protection Office (PVPO) implemented the 6th release to update its electronic application system, ePVP, to provide new application search tools, formatted reports, and allow for additional attachment of files to a record before submission from the customer-facing portal. The Microsoft (MS) Customer Relationship Management (CRM) software was also upgraded from MS CRM 2015 to MS CRM Dynamics 365 to ensure compatibility with the latest desktop and cloud server software platforms.</w:t>
      </w:r>
    </w:p>
    <w:p w14:paraId="67A0B9BB" w14:textId="77777777" w:rsidR="006E4997" w:rsidRPr="00107C19" w:rsidRDefault="006E4997" w:rsidP="006E4997">
      <w:pPr>
        <w:pStyle w:val="BodyText3"/>
        <w:rPr>
          <w:color w:val="000000" w:themeColor="text1"/>
        </w:rPr>
      </w:pPr>
      <w:r w:rsidRPr="00107C19">
        <w:rPr>
          <w:color w:val="000000" w:themeColor="text1"/>
        </w:rPr>
        <w:t>In FY 2023, S&amp;T’s PVPO received 459 applications of new seed, vegetative, and tuber propagated agricultural and ornamental plant varieties, conducted examinations on 475 applications to determine if plants were a new variety, issued 425 certificates of protection, and maintain an inventory of pending applications that is less than 400. PVPO is a member of the International UPOV and received 19 applications from the UPOV PRISMA electronic application form from international customers. PVPO also participated in all UPOV meetings and follow the UPOV Table of Characteristics for more than 350 species, which supports international standardization of plant variety protection.</w:t>
      </w:r>
      <w:bookmarkEnd w:id="271"/>
    </w:p>
    <w:p w14:paraId="1C02263C" w14:textId="77777777" w:rsidR="006E4997" w:rsidRPr="00107C19" w:rsidRDefault="006E4997" w:rsidP="006E4997">
      <w:pPr>
        <w:pStyle w:val="Heading3"/>
      </w:pPr>
      <w:bookmarkStart w:id="272" w:name="_Toc157423784"/>
      <w:bookmarkStart w:id="273" w:name="_Toc119484067"/>
      <w:bookmarkStart w:id="274" w:name="_Toc120685198"/>
      <w:bookmarkEnd w:id="272"/>
      <w:r w:rsidRPr="00107C19">
        <w:t xml:space="preserve"> </w:t>
      </w:r>
      <w:bookmarkStart w:id="275" w:name="_Toc123025352"/>
      <w:bookmarkStart w:id="276" w:name="_Toc157423785"/>
      <w:bookmarkStart w:id="277" w:name="_Toc160185984"/>
      <w:r w:rsidRPr="00107C19">
        <w:t>Federal-State Marketing Improvement Program</w:t>
      </w:r>
      <w:bookmarkEnd w:id="273"/>
      <w:bookmarkEnd w:id="274"/>
      <w:bookmarkEnd w:id="275"/>
      <w:bookmarkEnd w:id="276"/>
      <w:bookmarkEnd w:id="277"/>
    </w:p>
    <w:p w14:paraId="19818379"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The Federal-State Marketing Improvement Program was authorized by the Agricultural Marketing Act of 1946 (7 U.S.C. 1623(b)). It provides dollar-for-dollar matching funds to state departments </w:t>
      </w:r>
      <w:r w:rsidRPr="00107C19">
        <w:rPr>
          <w:rFonts w:cstheme="minorHAnsi"/>
          <w:color w:val="000000" w:themeColor="text1"/>
        </w:rPr>
        <w:lastRenderedPageBreak/>
        <w:t>of agriculture, state agricultural experiment stations, and other appropriate state agencies to help them explore new market opportunities for U.S. food and agricultural products, and to encourage research and innovation aimed at improving the efficiency and performance of the marketing system.</w:t>
      </w:r>
    </w:p>
    <w:p w14:paraId="189D6ADD" w14:textId="77777777" w:rsidR="006E4997" w:rsidRPr="00107C19" w:rsidRDefault="006E4997" w:rsidP="006E4997">
      <w:pPr>
        <w:ind w:left="540"/>
        <w:rPr>
          <w:rFonts w:cstheme="minorHAnsi"/>
          <w:color w:val="000000" w:themeColor="text1"/>
        </w:rPr>
      </w:pPr>
      <w:r w:rsidRPr="00107C19">
        <w:rPr>
          <w:rFonts w:cstheme="minorHAnsi"/>
          <w:color w:val="000000" w:themeColor="text1"/>
        </w:rPr>
        <w:t>Virginia Polytechnic Institute and State University’s goal is to support the transition from methyl bromide (MB) fumigation to non-chemical phytosanitary treatment methods for the treatment of export logs and other agricultural products. Over the last 10 years, the U.S. has started to focus on the gradual elimination of ozone-depleting chemicals like MB for phytosanitary treatment. A Virginia Tech team developed an effective alternative to MB using vacuum and steam technology. Today, the solution has been brought to the market and is available for commercial use. The research team will conduct a study to identify the most feasible location for a vacuum and steam treatment facility in Virginia. This location will also serve West Virginia, Pennsylvania, Maryland, North Carolina, and South Carolina. The team will visit log importers and phytosanitary authorities in China and Japan to capture barriers and drivers of this new technology from their perspective. These countries represent 86% of the U.S. export log market. The output of this project will be highly beneficial not only to the export log industry but to other agricultural commodities that can be treated using steam and vacuum such as fruits, vegetables, cotton, rice, straw, and seeds. The project is expected to be completed in FY 2024.</w:t>
      </w:r>
    </w:p>
    <w:p w14:paraId="6A1952B6" w14:textId="263698DC" w:rsidR="006E4997" w:rsidRPr="00107C19" w:rsidRDefault="006E4997" w:rsidP="006E4997">
      <w:pPr>
        <w:spacing w:before="0" w:after="160" w:line="259" w:lineRule="auto"/>
        <w:ind w:left="540"/>
        <w:rPr>
          <w:rFonts w:cstheme="minorHAnsi"/>
          <w:color w:val="000000" w:themeColor="text1"/>
        </w:rPr>
      </w:pPr>
      <w:r w:rsidRPr="00107C19">
        <w:rPr>
          <w:rFonts w:cstheme="minorHAnsi"/>
          <w:color w:val="000000" w:themeColor="text1"/>
        </w:rPr>
        <w:t xml:space="preserve">A more recent project from Washington State University (WSU) will develop virtual reality (VR) marketing materials for wine products. A research team was formed, consisting of social scientists with expertise in marketing and VR, and wine specialists, aiming to utilize VR technology as a means to initiate effective e-marketing content. The fundamental purpose of the project is to assist Washington-based small and medium scale wineries, which are restricted in resources, to find effective e-marketing strategies by utilizing VR technology. This research is designed to use multiple methodologies including focus groups, individual interviews, experimental design, survey methods, and physiology research to create innovative curated VR marketing content. The final e-marketing materials will be disseminated to Washington-based wineries and wine experts. WSU will also use multiple methodologies including consumer surveys to investigate user experience of an immersive VR-infused wine experience, lab-based and </w:t>
      </w:r>
      <w:r w:rsidR="00800B51" w:rsidRPr="00107C19">
        <w:rPr>
          <w:rFonts w:cstheme="minorHAnsi"/>
          <w:color w:val="000000" w:themeColor="text1"/>
        </w:rPr>
        <w:t>field-based</w:t>
      </w:r>
      <w:r w:rsidRPr="00107C19">
        <w:rPr>
          <w:rFonts w:cstheme="minorHAnsi"/>
          <w:color w:val="000000" w:themeColor="text1"/>
        </w:rPr>
        <w:t xml:space="preserve"> experiments to capture the effective stimulus in three consecutive years, pilot testing of the potential audiences’ reactions, development of appropriate e-marketing content, and collaborative sponsored relationship with local wine venues (Port of Benton and Clore Center) for outcome demonstration. The VR marketing materials are expected to enhance consumers’ sensory experience of Washington-based wine products and in turn, generate a larger economic impact. </w:t>
      </w:r>
    </w:p>
    <w:p w14:paraId="6886F352" w14:textId="77777777" w:rsidR="006E4997" w:rsidRPr="00107C19" w:rsidRDefault="006E4997" w:rsidP="006E4997">
      <w:pPr>
        <w:pStyle w:val="Heading3"/>
      </w:pPr>
      <w:r w:rsidRPr="00107C19">
        <w:t xml:space="preserve"> </w:t>
      </w:r>
      <w:bookmarkStart w:id="278" w:name="_Toc119484068"/>
      <w:bookmarkStart w:id="279" w:name="_Toc120685199"/>
      <w:bookmarkStart w:id="280" w:name="_Toc123025353"/>
      <w:bookmarkStart w:id="281" w:name="_Toc157423786"/>
      <w:bookmarkStart w:id="282" w:name="_Toc160185985"/>
      <w:r w:rsidRPr="00107C19">
        <w:t>Specialty Crop Block Grant Program</w:t>
      </w:r>
      <w:bookmarkEnd w:id="278"/>
      <w:bookmarkEnd w:id="279"/>
      <w:bookmarkEnd w:id="280"/>
      <w:bookmarkEnd w:id="281"/>
      <w:bookmarkEnd w:id="282"/>
    </w:p>
    <w:p w14:paraId="1C317D83"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The purpose of the Specialty Crop Block Grant Program (SCBGP) is to enhance the competitiveness of specialty crops. Specialty crops are defined as “fruits, vegetables, tree nuts, dried fruits, horticulture, and nursery crops (including floriculture).” </w:t>
      </w:r>
    </w:p>
    <w:p w14:paraId="31A8D392"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lastRenderedPageBreak/>
        <w:t>One project that was completed in FY 2020 came from the Florida Department of Agriculture and Consumer Services, which awarded funding to the University of Central Florida to develop a project that is currently engineering a mechanical arm. This gripper mimics human hands and fingers as it picks strawberries—without damaging the fruit. The technology aims to be universal for different strawberry varieties. The project will also evaluate the economic impact of the gripper creation. The project team finalized their design and manufactured two prototypes. Both prototypes have gone through laboratory and field tests, and one has been integrated with a robotic arm-like platform for harvesting. The team measures project success by the number of strawberry varieties to which the picking mechanism can be applied and the number of harvesting platforms that decide to adopt the technology.</w:t>
      </w:r>
    </w:p>
    <w:p w14:paraId="34C95EBB"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Another example is a project concluded in FY 2020, where the North Dakota State Department of Agriculture distributed SCBGP funds to North Dakota State University to tackle water management issues. The project’s goal was to improve fruit and vegetable yields by creating a drip irrigation system that can be automatically controlled by soil moisture sensors. The project involved experiments to see how different mulch types and amounts impact weed control with the system. The team designed, built and implemented the drip irrigation system and conducted comparisons on tomato and watermelon yield and quality. Based on the results, the team then educated local growers on the new drip irrigation technology. With its projected ability to conserve water, improve soil temperature and extend growing seasons, the team sees this system as the future of North Dakota specialty crops.</w:t>
      </w:r>
    </w:p>
    <w:p w14:paraId="2C440BD8" w14:textId="77777777" w:rsidR="006E4997" w:rsidRPr="00107C19" w:rsidRDefault="006E4997" w:rsidP="006E4997">
      <w:pPr>
        <w:pStyle w:val="Heading3"/>
      </w:pPr>
      <w:bookmarkStart w:id="283" w:name="_Toc119484069"/>
      <w:bookmarkStart w:id="284" w:name="_Toc120685200"/>
      <w:r w:rsidRPr="00107C19">
        <w:t xml:space="preserve"> </w:t>
      </w:r>
      <w:bookmarkStart w:id="285" w:name="_Toc123025354"/>
      <w:bookmarkStart w:id="286" w:name="_Toc157423787"/>
      <w:bookmarkStart w:id="287" w:name="_Toc160185986"/>
      <w:r w:rsidRPr="00107C19">
        <w:t>Specialty Crop Multi-State Program</w:t>
      </w:r>
      <w:bookmarkEnd w:id="283"/>
      <w:bookmarkEnd w:id="284"/>
      <w:bookmarkEnd w:id="285"/>
      <w:bookmarkEnd w:id="286"/>
      <w:bookmarkEnd w:id="287"/>
    </w:p>
    <w:p w14:paraId="49872420"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The Specialty Crop Multi-State Program (SCMP) was authorized by the Specialty Crop Competitiveness Act of 2004 (7 U.S.C. 1621 note), as amended by the Agriculture Improvement Act of 2018 (Public Law 115—334). It provides funds to State departments of agriculture and entities in non-participating states to enhance the competitiveness of specialty crops by funding collaborative, multi-state projects that address regional or national level specialty crop issues. </w:t>
      </w:r>
    </w:p>
    <w:p w14:paraId="6081C47A" w14:textId="77777777" w:rsidR="006E4997" w:rsidRPr="00107C19" w:rsidRDefault="006E4997" w:rsidP="006E4997">
      <w:pPr>
        <w:pStyle w:val="BodyText3"/>
        <w:ind w:left="540"/>
        <w:rPr>
          <w:rFonts w:cstheme="minorHAnsi"/>
          <w:color w:val="000000" w:themeColor="text1"/>
        </w:rPr>
      </w:pPr>
      <w:r w:rsidRPr="00107C19">
        <w:rPr>
          <w:rFonts w:cstheme="minorHAnsi"/>
          <w:color w:val="000000" w:themeColor="text1"/>
        </w:rPr>
        <w:t>One project example that closed in FY 2022 comes from the Texas Department of Agriculture, which partnered with Texas A&amp;M University and the University of California to develop spinach varieties that more efficiently use nitrogen. They are also investigating natural variation in the antimicrobial compounds and microbiota of spinach germplasm against foodborne pathogens. This research developed a novel selection methodology using machine learning and genetic correlations to select root architecture traits. The manuscript was published in Scientific Reports. The results from this study suggest that some epiphytic spinach bacteria can be used as potential biocontrol agents, reducing the proliferation of common outbreak foodborne pathogens.</w:t>
      </w:r>
    </w:p>
    <w:p w14:paraId="6D5B68E4" w14:textId="77777777" w:rsidR="006E4997" w:rsidRPr="00107C19" w:rsidRDefault="006E4997" w:rsidP="006E4997">
      <w:pPr>
        <w:pStyle w:val="BodyText3"/>
        <w:ind w:left="540"/>
        <w:rPr>
          <w:rFonts w:cstheme="minorHAnsi"/>
          <w:color w:val="000000" w:themeColor="text1"/>
        </w:rPr>
      </w:pPr>
      <w:r w:rsidRPr="00107C19">
        <w:rPr>
          <w:rFonts w:cstheme="minorHAnsi"/>
          <w:color w:val="000000" w:themeColor="text1"/>
        </w:rPr>
        <w:t xml:space="preserve">Another project is a 2019 project from the University of Rhode Island in partnership with Cornell University and USDA‐APHIS’s National Wildlife Research Center. The team is studying the ability of laser scarecrows to reduce bird damage to sweet corn and develop the best management practices for using laser scarecrows in sweet corn. The project will educate sweet corn growers and agricultural service providers about the benefit of adopting laser scarecrows while providing </w:t>
      </w:r>
      <w:r w:rsidRPr="00107C19">
        <w:rPr>
          <w:rFonts w:cstheme="minorHAnsi"/>
          <w:color w:val="000000" w:themeColor="text1"/>
        </w:rPr>
        <w:lastRenderedPageBreak/>
        <w:t xml:space="preserve">technical support through the process. The purpose of the project is to support sweet corn growers in adopting laser scarecrows, alone or in combination with bird distress calls, as a tool to protect fresh market sweet corn from pest birds. In addition, the research team will disseminate the project results through Cooperative Extension and USDA‐APHIS‐Wildlife Services channels and peer‐reviewed journals, grower meeting, and conference. The project is expected to be completed in early FY 2023. </w:t>
      </w:r>
    </w:p>
    <w:p w14:paraId="66D3D43C" w14:textId="77777777" w:rsidR="006E4997" w:rsidRPr="00107C19" w:rsidRDefault="006E4997" w:rsidP="006E4997">
      <w:pPr>
        <w:pStyle w:val="Heading3"/>
      </w:pPr>
      <w:r w:rsidRPr="00107C19">
        <w:t xml:space="preserve"> </w:t>
      </w:r>
      <w:bookmarkStart w:id="288" w:name="_Toc119484070"/>
      <w:bookmarkStart w:id="289" w:name="_Toc120685201"/>
      <w:bookmarkStart w:id="290" w:name="_Toc123025355"/>
      <w:bookmarkStart w:id="291" w:name="_Toc157423788"/>
      <w:bookmarkStart w:id="292" w:name="_Toc160185987"/>
      <w:r w:rsidRPr="00107C19">
        <w:t>Federal Grain Inspection Service</w:t>
      </w:r>
      <w:bookmarkEnd w:id="288"/>
      <w:bookmarkEnd w:id="289"/>
      <w:bookmarkEnd w:id="290"/>
      <w:bookmarkEnd w:id="291"/>
      <w:bookmarkEnd w:id="292"/>
    </w:p>
    <w:p w14:paraId="6781E0BB"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The Federal Grain Inspection Service (FGIS) facilitates the marketing of grains, oilseeds, and related product by establishing quality standards; providing impartial inspection and weighing services through a network of Federal, State, and private entities; and monitoring/enforcing compliance with the U.S. Grain Standards Act (USGSA), as amended. FGIS administers uniform national grain inspection and weighing programs established by the USGSA. Services under the USGSA are performed on a fee basis for both export and domestic grain shipments. The USGSA requires that export grain be inspected and weighed, prohibits deceptive practices with respect to the inspection and weighing of grain, and provides penalties for violations. The USGSA also requires that all corn exported from the United States be tested for aflatoxin prior to shipment, unless the contract stipulates that testing is not required. </w:t>
      </w:r>
    </w:p>
    <w:p w14:paraId="7C974517"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FGIS’s primary mission is twofold: (1) promote the marketing of high-quality grain to domestic and international buyers, and (2) maintain objective standards to certify as accurately as practicable. These standards define uniform and descriptive terms to facilitate the grain trade, help determine grain storability, offer users the best possible information to determine end-product yield and quality, provide market incentive frameworks, reflect the economic value-based characteristics to end-users, and accommodate scientific advances in testing.</w:t>
      </w:r>
    </w:p>
    <w:p w14:paraId="5242776B" w14:textId="497F6EAA"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FGIS maintains a strong presence both domestically and internationally in the development, evaluation, and implementation of practical grain quality assessment and inspection methods. Its laboratories work with the latest technologies, and through these technologies and ongoing efforts, FGIS is helping to improve the quality of U.S. grain available to the global market. To enhance marketing of grain into the future, FGIS is also conducting internal research and participating in development and collaborative efforts with other governmental entities, laboratories, and private businesses. The research and analysis it conducts </w:t>
      </w:r>
      <w:r w:rsidR="00631694">
        <w:rPr>
          <w:rFonts w:cstheme="minorHAnsi"/>
          <w:color w:val="000000" w:themeColor="text1"/>
        </w:rPr>
        <w:t>are</w:t>
      </w:r>
      <w:r w:rsidRPr="00107C19">
        <w:rPr>
          <w:rFonts w:cstheme="minorHAnsi"/>
          <w:color w:val="000000" w:themeColor="text1"/>
        </w:rPr>
        <w:t xml:space="preserve"> in response to clear and widespread market needs. In general, FGIS research is highly “applied,” in that FGIS’s successful projects result in direct and immediate use by the U.S. grain industry. FGIS also develops written information for customers and stakeholders, including scientific publications, publications in trade journals, and reports to stakeholders.</w:t>
      </w:r>
    </w:p>
    <w:p w14:paraId="5AEC2BA5" w14:textId="77777777" w:rsidR="006E4997" w:rsidRPr="00107C19" w:rsidRDefault="006E4997" w:rsidP="006E4997">
      <w:pPr>
        <w:pStyle w:val="Heading4"/>
      </w:pPr>
      <w:bookmarkStart w:id="293" w:name="_Toc119484071"/>
      <w:bookmarkStart w:id="294" w:name="_Toc120685202"/>
      <w:bookmarkStart w:id="295" w:name="_Toc123025356"/>
      <w:bookmarkStart w:id="296" w:name="_Toc157423789"/>
      <w:bookmarkStart w:id="297" w:name="_Toc160185988"/>
      <w:r w:rsidRPr="00107C19">
        <w:t>Current Technology Transfer Initiatives</w:t>
      </w:r>
      <w:bookmarkEnd w:id="293"/>
      <w:bookmarkEnd w:id="294"/>
      <w:bookmarkEnd w:id="295"/>
      <w:bookmarkEnd w:id="296"/>
      <w:bookmarkEnd w:id="297"/>
    </w:p>
    <w:p w14:paraId="315348BC" w14:textId="77777777" w:rsidR="006E4997" w:rsidRPr="00107C19" w:rsidRDefault="006E4997" w:rsidP="006E4997">
      <w:pPr>
        <w:pStyle w:val="Heading5"/>
      </w:pPr>
      <w:bookmarkStart w:id="298" w:name="_Toc119484072"/>
      <w:bookmarkStart w:id="299" w:name="_Toc120685203"/>
      <w:bookmarkStart w:id="300" w:name="_Toc123025357"/>
      <w:bookmarkStart w:id="301" w:name="_Toc157423790"/>
      <w:bookmarkStart w:id="302" w:name="_Toc160185989"/>
      <w:r w:rsidRPr="00107C19">
        <w:t>Inspection Technology Evaluation</w:t>
      </w:r>
      <w:bookmarkEnd w:id="298"/>
      <w:bookmarkEnd w:id="299"/>
      <w:bookmarkEnd w:id="300"/>
      <w:bookmarkEnd w:id="301"/>
      <w:bookmarkEnd w:id="302"/>
    </w:p>
    <w:p w14:paraId="631A2E6F" w14:textId="77777777" w:rsidR="006E4997" w:rsidRPr="00107C19" w:rsidRDefault="006E4997" w:rsidP="006E4997">
      <w:pPr>
        <w:pStyle w:val="BodyText5"/>
        <w:rPr>
          <w:rFonts w:cstheme="minorHAnsi"/>
          <w:color w:val="000000" w:themeColor="text1"/>
        </w:rPr>
      </w:pPr>
      <w:r w:rsidRPr="00107C19">
        <w:rPr>
          <w:rFonts w:cstheme="minorHAnsi"/>
          <w:color w:val="000000" w:themeColor="text1"/>
        </w:rPr>
        <w:t xml:space="preserve">Inspection Technology Evaluation (ITE), a new process to evaluate and approve technology for </w:t>
      </w:r>
      <w:r w:rsidRPr="00107C19">
        <w:rPr>
          <w:rFonts w:cstheme="minorHAnsi"/>
          <w:color w:val="000000" w:themeColor="text1"/>
        </w:rPr>
        <w:lastRenderedPageBreak/>
        <w:t>official grain inspection, was developed in fiscal years 2021 and 2022 and published in the Federal Register for public comment near the end of FY 2022.  To finalize the new ITE process, FGIS needed to respond to the public comments, finalize the process documentation, develop webpage content, and announce the process to stakeholders.  FGIS responded to the public comments by revising the User Guide document and presented the final ITE process to the Grain Inspection Advisory Committee in December of 2022.  The ITE webpage content, including the User Guide, was published in early January and a Notice to Trade on February 14, 2023.</w:t>
      </w:r>
    </w:p>
    <w:p w14:paraId="7E7445DE" w14:textId="77777777" w:rsidR="006E4997" w:rsidRPr="00107C19" w:rsidRDefault="006E4997" w:rsidP="006E4997">
      <w:pPr>
        <w:pStyle w:val="Heading5"/>
      </w:pPr>
      <w:bookmarkStart w:id="303" w:name="_Toc157423791"/>
      <w:bookmarkStart w:id="304" w:name="_Toc157423792"/>
      <w:bookmarkStart w:id="305" w:name="_Toc157423793"/>
      <w:bookmarkStart w:id="306" w:name="_Toc119484074"/>
      <w:bookmarkStart w:id="307" w:name="_Toc120685205"/>
      <w:bookmarkStart w:id="308" w:name="_Toc123025359"/>
      <w:bookmarkStart w:id="309" w:name="_Toc157423794"/>
      <w:bookmarkStart w:id="310" w:name="_Toc160185990"/>
      <w:bookmarkEnd w:id="303"/>
      <w:bookmarkEnd w:id="304"/>
      <w:bookmarkEnd w:id="305"/>
      <w:r w:rsidRPr="00107C19">
        <w:t>Rapid Mycotoxin Test Kits</w:t>
      </w:r>
      <w:bookmarkEnd w:id="306"/>
      <w:bookmarkEnd w:id="307"/>
      <w:bookmarkEnd w:id="308"/>
      <w:bookmarkEnd w:id="309"/>
      <w:bookmarkEnd w:id="310"/>
    </w:p>
    <w:p w14:paraId="4DA944EB" w14:textId="77777777" w:rsidR="006E4997" w:rsidRPr="00107C19" w:rsidRDefault="006E4997" w:rsidP="006E4997">
      <w:pPr>
        <w:pStyle w:val="BodyText5"/>
        <w:rPr>
          <w:rFonts w:cstheme="minorHAnsi"/>
          <w:color w:val="000000" w:themeColor="text1"/>
        </w:rPr>
      </w:pPr>
      <w:r w:rsidRPr="00107C19">
        <w:rPr>
          <w:rFonts w:cstheme="minorHAnsi"/>
          <w:color w:val="000000" w:themeColor="text1"/>
        </w:rPr>
        <w:t>Mycotoxins are toxic chemicals produced by certain fungal species under favorable environmental conditions. Many countries have set maximum allowable concentration levels for specific mycotoxins in food and feed to ensure the safety of consumers. Mycotoxin levels are a critical factor in the trade of grain and quantitative mycotoxin testing is an integral part of buyer-seller contract specifications. Under the authority of the United States Grains Standards Act (7 U.S.C. 71-87k), as amended, and the Agricultural Marketing Act of 1946 (7 U.S.C. 1621-1627), as amended, AMS provides official mycotoxin testing services throughout the United States for domestic and export grains, oilseeds, and processed-grain commodities. Official testing services are provided for aflatoxins, deoxynivalenol, fumonisins, ochratoxin A, and zearalenone. Testing at field locations requires rapid, inexpensive, and accurate methods to effectively assess US grain quality. An essential part of ensuring the quality of official mycotoxin testing is the AMS test kit evaluation program, through which test kits are evaluated and certified for conformance to specific criteria. Only test kits having AMS certification are approved for official mycotoxin testing. AMS establishes the test kit performance criteria and periodically updates them to improve testing accuracy and to meet the official mycotoxin testing program's operational needs.</w:t>
      </w:r>
    </w:p>
    <w:p w14:paraId="71C5BB2B" w14:textId="77777777" w:rsidR="006E4997" w:rsidRPr="00107C19" w:rsidRDefault="006E4997" w:rsidP="006E4997">
      <w:pPr>
        <w:pStyle w:val="Heading5"/>
      </w:pPr>
      <w:bookmarkStart w:id="311" w:name="_Toc157423795"/>
      <w:bookmarkStart w:id="312" w:name="_Toc160185991"/>
      <w:r w:rsidRPr="00107C19">
        <w:t>Test Kit Evaluation and Instruments</w:t>
      </w:r>
      <w:bookmarkEnd w:id="311"/>
      <w:bookmarkEnd w:id="312"/>
    </w:p>
    <w:p w14:paraId="49AA4B9E" w14:textId="2D03DCE4" w:rsidR="006E4997" w:rsidRPr="00107C19" w:rsidRDefault="006E4997" w:rsidP="006E4997">
      <w:pPr>
        <w:pStyle w:val="BodyText5"/>
        <w:rPr>
          <w:color w:val="000000" w:themeColor="text1"/>
        </w:rPr>
      </w:pPr>
      <w:r w:rsidRPr="00107C19">
        <w:rPr>
          <w:color w:val="000000" w:themeColor="text1"/>
        </w:rPr>
        <w:t xml:space="preserve">In Fiscal Year 2023, AMS evaluated sixteen test kits, and fifteen of these were approved for use in the official inspection system. AMS also incorporated two improvements to its test kit evaluation program. To promote transparency in the verification process, AMS announced the option for representatives from the test kit manufacturer to participate in the verification studies alongside AMS personnel at the AMS laboratory. To improve the robustness of test kit evaluations, AMS now requires the verification study to use three separate instruments to account for variation between instruments of the same </w:t>
      </w:r>
      <w:bookmarkStart w:id="313" w:name="_Toc120685206"/>
      <w:bookmarkStart w:id="314" w:name="_Toc123025360"/>
      <w:r w:rsidR="003E78B0" w:rsidRPr="00107C19">
        <w:rPr>
          <w:color w:val="000000" w:themeColor="text1"/>
        </w:rPr>
        <w:t>model. Imaging</w:t>
      </w:r>
      <w:r w:rsidRPr="00107C19">
        <w:rPr>
          <w:color w:val="000000" w:themeColor="text1"/>
        </w:rPr>
        <w:t xml:space="preserve"> Technology for Inspection of Milled Rice</w:t>
      </w:r>
      <w:bookmarkEnd w:id="313"/>
      <w:bookmarkEnd w:id="314"/>
      <w:r w:rsidRPr="00107C19">
        <w:rPr>
          <w:color w:val="000000" w:themeColor="text1"/>
        </w:rPr>
        <w:t xml:space="preserve"> </w:t>
      </w:r>
    </w:p>
    <w:p w14:paraId="2523D4ED" w14:textId="77777777" w:rsidR="006E4997" w:rsidRPr="00107C19" w:rsidRDefault="006E4997" w:rsidP="006E4997">
      <w:pPr>
        <w:pStyle w:val="BodyText5"/>
        <w:rPr>
          <w:rFonts w:cstheme="minorHAnsi"/>
          <w:color w:val="000000" w:themeColor="text1"/>
        </w:rPr>
      </w:pPr>
      <w:r w:rsidRPr="00107C19">
        <w:rPr>
          <w:rFonts w:cstheme="minorHAnsi"/>
          <w:color w:val="000000" w:themeColor="text1"/>
        </w:rPr>
        <w:t xml:space="preserve">In FY 2023, FGIS entered a cooperative research and development (CRADA) with a private manufacturer to explore the feasibility of utilizing a commercially available instrument to support the California rice industry. FGIS and the manufacturer collaborated to develop an artificial neural network (ANN) calibration for use in determining milling yield in medium grain </w:t>
      </w:r>
      <w:r w:rsidRPr="00107C19">
        <w:rPr>
          <w:rFonts w:cstheme="minorHAnsi"/>
          <w:color w:val="000000" w:themeColor="text1"/>
        </w:rPr>
        <w:lastRenderedPageBreak/>
        <w:t xml:space="preserve">rice. A series of experiments to evaluate repeatability and reproducibility of results was conducted to compare the output of the instrument against milling yield determined by the Board of Appeals and Review. </w:t>
      </w:r>
    </w:p>
    <w:p w14:paraId="6AAC4A7B" w14:textId="77777777" w:rsidR="006E4997" w:rsidRPr="00107C19" w:rsidRDefault="006E4997" w:rsidP="006E4997">
      <w:pPr>
        <w:pStyle w:val="BodyText5"/>
        <w:rPr>
          <w:color w:val="000000" w:themeColor="text1"/>
        </w:rPr>
      </w:pPr>
      <w:r w:rsidRPr="00107C19">
        <w:rPr>
          <w:color w:val="000000" w:themeColor="text1"/>
        </w:rPr>
        <w:t>At the end of FY 2023, FGIS granted conditional approval of this instrument to support the California rice industry for the upcoming fall harvest. Ongoing monitoring and data collection to assess the performance of the instrument will be a priority for FY 2024. FGIS hopes to learn from this effort and identify possible technology to augment grain grading processes for the future</w:t>
      </w:r>
      <w:r w:rsidRPr="00107C19">
        <w:rPr>
          <w:color w:val="000000" w:themeColor="text1"/>
          <w:lang w:val="en"/>
        </w:rPr>
        <w:t>.</w:t>
      </w:r>
      <w:r w:rsidRPr="00107C19">
        <w:rPr>
          <w:color w:val="000000" w:themeColor="text1"/>
        </w:rPr>
        <w:t xml:space="preserve"> </w:t>
      </w:r>
      <w:bookmarkStart w:id="315" w:name="_Toc119484077"/>
      <w:bookmarkStart w:id="316" w:name="_Toc120685207"/>
      <w:bookmarkStart w:id="317" w:name="_Toc123025361"/>
    </w:p>
    <w:p w14:paraId="6EB24E56" w14:textId="42DCA579" w:rsidR="006E4997" w:rsidRPr="00107C19" w:rsidRDefault="006E4997" w:rsidP="006E4997">
      <w:pPr>
        <w:pStyle w:val="Heading3"/>
      </w:pPr>
      <w:bookmarkStart w:id="318" w:name="_Toc157423796"/>
      <w:r w:rsidRPr="00107C19">
        <w:t xml:space="preserve">  </w:t>
      </w:r>
      <w:bookmarkStart w:id="319" w:name="_Toc160185992"/>
      <w:r w:rsidRPr="00107C19">
        <w:t>Perishable Agricultural Commodities Act</w:t>
      </w:r>
      <w:bookmarkEnd w:id="315"/>
      <w:bookmarkEnd w:id="316"/>
      <w:bookmarkEnd w:id="317"/>
      <w:bookmarkEnd w:id="318"/>
      <w:bookmarkEnd w:id="319"/>
    </w:p>
    <w:p w14:paraId="49742A89" w14:textId="77777777" w:rsidR="006E4997" w:rsidRPr="00107C19" w:rsidRDefault="006E4997" w:rsidP="006E4997">
      <w:pPr>
        <w:pStyle w:val="BodyText3"/>
        <w:rPr>
          <w:color w:val="000000" w:themeColor="text1"/>
        </w:rPr>
      </w:pPr>
      <w:r w:rsidRPr="00107C19">
        <w:rPr>
          <w:color w:val="000000" w:themeColor="text1"/>
        </w:rPr>
        <w:t xml:space="preserve">The Perishable Agricultural Commodities Act Program (PACA) is designed to: (1) protect producers, shippers, distributors, and retailers from loss due to unfair and fraudulent practices in the marketing of perishable agricultural commodities; and (2) prevent the unwarranted destruction or dumping of farm products handled for others. Shippers, wholesalers, processors, commission merchants, and brokers handling fresh and frozen fruits and vegetables in interstate and foreign commerce must obtain a PACA license and abide by the fair-trading practices established by the PACA. Traders who have been found to have committed unfair trade practices face license suspension or revocation and may be required to post surety bonds before resuming operations. </w:t>
      </w:r>
    </w:p>
    <w:p w14:paraId="089095D3" w14:textId="584EB552"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AMS hosts a data management platform, ePACA, which includes an online self-service portal, that allows members of the produce industry to apply for or renew a PACA license, file complaints when they have not been paid in full by their </w:t>
      </w:r>
      <w:r w:rsidR="0067657C" w:rsidRPr="00107C19">
        <w:rPr>
          <w:rFonts w:cstheme="minorHAnsi"/>
          <w:color w:val="000000" w:themeColor="text1"/>
        </w:rPr>
        <w:t>buyers and</w:t>
      </w:r>
      <w:r w:rsidRPr="00107C19">
        <w:rPr>
          <w:rFonts w:cstheme="minorHAnsi"/>
          <w:color w:val="000000" w:themeColor="text1"/>
        </w:rPr>
        <w:t xml:space="preserve"> pay PACA fees. The ePACA system reduces the time it takes AMS to approve and issue a license, shortens the complaint process, and facilitates faster payment of outstanding debts to farmers and produce sellers. The ePACA system also provides enhanced search capabilities of PACA licensees with 24-hour access to real-time information that produce sellers can use to make informed business decisions.</w:t>
      </w:r>
    </w:p>
    <w:p w14:paraId="2DD08124" w14:textId="77777777" w:rsidR="006E4997" w:rsidRPr="00107C19" w:rsidRDefault="006E4997" w:rsidP="006E4997">
      <w:pPr>
        <w:pStyle w:val="Heading3"/>
      </w:pPr>
      <w:bookmarkStart w:id="320" w:name="_Toc119484078"/>
      <w:bookmarkStart w:id="321" w:name="_Toc120685208"/>
      <w:r w:rsidRPr="00107C19">
        <w:t xml:space="preserve"> </w:t>
      </w:r>
      <w:bookmarkStart w:id="322" w:name="_Toc123025362"/>
      <w:bookmarkStart w:id="323" w:name="_Toc157423797"/>
      <w:bookmarkStart w:id="324" w:name="_Toc160185993"/>
      <w:r w:rsidRPr="00107C19">
        <w:t>Commodity Purchasing</w:t>
      </w:r>
      <w:bookmarkEnd w:id="320"/>
      <w:bookmarkEnd w:id="321"/>
      <w:bookmarkEnd w:id="322"/>
      <w:bookmarkEnd w:id="323"/>
      <w:bookmarkEnd w:id="324"/>
    </w:p>
    <w:p w14:paraId="32F7127A" w14:textId="2B16A3F7" w:rsidR="006E4997" w:rsidRPr="00107C19" w:rsidRDefault="006E4997" w:rsidP="006E4997">
      <w:pPr>
        <w:pStyle w:val="BodyText3"/>
        <w:rPr>
          <w:rFonts w:cstheme="minorHAnsi"/>
          <w:color w:val="000000" w:themeColor="text1"/>
        </w:rPr>
      </w:pPr>
      <w:r w:rsidRPr="00107C19">
        <w:rPr>
          <w:rStyle w:val="title-text"/>
          <w:b/>
          <w:bCs/>
          <w:color w:val="000000" w:themeColor="text1"/>
        </w:rPr>
        <w:t xml:space="preserve">Federal Procurement Data System (FPDS) Automation: </w:t>
      </w:r>
      <w:r w:rsidRPr="00107C19">
        <w:rPr>
          <w:rFonts w:cstheme="minorHAnsi"/>
          <w:color w:val="000000" w:themeColor="text1"/>
        </w:rPr>
        <w:t xml:space="preserve">WBSCM automated controls between WBSCM and </w:t>
      </w:r>
      <w:r w:rsidR="0067657C" w:rsidRPr="00107C19">
        <w:rPr>
          <w:rFonts w:cstheme="minorHAnsi"/>
          <w:color w:val="000000" w:themeColor="text1"/>
        </w:rPr>
        <w:t>FPDS and</w:t>
      </w:r>
      <w:r w:rsidRPr="00107C19">
        <w:rPr>
          <w:rFonts w:cstheme="minorHAnsi"/>
          <w:color w:val="000000" w:themeColor="text1"/>
        </w:rPr>
        <w:t xml:space="preserve"> implemented processes to include the FAIN with non-procurement financial assistance obligations, strengthening DATA Act compliance and delivering innovations to streamline the process and increase data accuracy. This will benefit public consumers of federal contract award data posted to FPDS-NG.</w:t>
      </w:r>
    </w:p>
    <w:p w14:paraId="4B8CA856" w14:textId="77777777" w:rsidR="006E4997" w:rsidRPr="00107C19" w:rsidRDefault="006E4997" w:rsidP="006E4997">
      <w:pPr>
        <w:pStyle w:val="BodyText3"/>
        <w:rPr>
          <w:rStyle w:val="title-text"/>
          <w:b/>
          <w:bCs/>
          <w:color w:val="000000" w:themeColor="text1"/>
          <w:u w:val="single"/>
        </w:rPr>
      </w:pPr>
      <w:r w:rsidRPr="00107C19">
        <w:rPr>
          <w:rStyle w:val="title-text"/>
          <w:b/>
          <w:bCs/>
          <w:color w:val="000000" w:themeColor="text1"/>
          <w:u w:val="single"/>
        </w:rPr>
        <w:t>Business Management Improvement Initiatives</w:t>
      </w:r>
    </w:p>
    <w:p w14:paraId="6E22D929" w14:textId="77777777" w:rsidR="006E4997" w:rsidRPr="00107C19" w:rsidRDefault="006E4997" w:rsidP="006E4997">
      <w:pPr>
        <w:pStyle w:val="BodyText3"/>
        <w:rPr>
          <w:rFonts w:cstheme="minorHAnsi"/>
          <w:color w:val="000000" w:themeColor="text1"/>
        </w:rPr>
      </w:pPr>
      <w:r w:rsidRPr="00107C19">
        <w:rPr>
          <w:rStyle w:val="title-text"/>
          <w:b/>
          <w:bCs/>
          <w:color w:val="000000" w:themeColor="text1"/>
        </w:rPr>
        <w:t>Forecasting</w:t>
      </w:r>
      <w:r w:rsidRPr="00107C19">
        <w:rPr>
          <w:rFonts w:cstheme="minorHAnsi"/>
          <w:b/>
          <w:bCs/>
          <w:color w:val="000000" w:themeColor="text1"/>
        </w:rPr>
        <w:t>:</w:t>
      </w:r>
      <w:r w:rsidRPr="00107C19">
        <w:rPr>
          <w:rFonts w:cstheme="minorHAnsi"/>
          <w:color w:val="000000" w:themeColor="text1"/>
        </w:rPr>
        <w:t> The WBSCM team implemented new forecasting capabilities in WBSCM providing a new capability for USDA and customers to analyze historical purchases and use predictive analytics to model future order trends for use in long term procurements.</w:t>
      </w:r>
    </w:p>
    <w:p w14:paraId="49F1E5A4" w14:textId="77777777" w:rsidR="006E4997" w:rsidRPr="00107C19" w:rsidRDefault="006E4997" w:rsidP="006E4997">
      <w:pPr>
        <w:pStyle w:val="BodyText3"/>
        <w:rPr>
          <w:rFonts w:cstheme="minorHAnsi"/>
          <w:color w:val="000000" w:themeColor="text1"/>
        </w:rPr>
      </w:pPr>
      <w:r w:rsidRPr="00107C19">
        <w:rPr>
          <w:rStyle w:val="title-text"/>
          <w:b/>
          <w:bCs/>
          <w:color w:val="000000" w:themeColor="text1"/>
        </w:rPr>
        <w:t>Test Automation Project</w:t>
      </w:r>
      <w:r w:rsidRPr="00107C19">
        <w:rPr>
          <w:rFonts w:cstheme="minorHAnsi"/>
          <w:b/>
          <w:bCs/>
          <w:color w:val="000000" w:themeColor="text1"/>
        </w:rPr>
        <w:t>:</w:t>
      </w:r>
      <w:r w:rsidRPr="00107C19">
        <w:rPr>
          <w:rFonts w:cstheme="minorHAnsi"/>
          <w:color w:val="000000" w:themeColor="text1"/>
        </w:rPr>
        <w:t xml:space="preserve"> AMS expanded automated regression testing to include more testing cycles. Automation of regression test execution will result in significant benefits ranging from </w:t>
      </w:r>
      <w:r w:rsidRPr="00107C19">
        <w:rPr>
          <w:rFonts w:cstheme="minorHAnsi"/>
          <w:color w:val="000000" w:themeColor="text1"/>
        </w:rPr>
        <w:lastRenderedPageBreak/>
        <w:t>increased test coverage, reduced test cycle times, and a reduced reliance on Business Process team resources.</w:t>
      </w:r>
    </w:p>
    <w:p w14:paraId="6003A635" w14:textId="0F5578EE" w:rsidR="006E4997" w:rsidRPr="00107C19" w:rsidRDefault="006E4997" w:rsidP="006E4997">
      <w:pPr>
        <w:pStyle w:val="Heading3"/>
      </w:pPr>
      <w:bookmarkStart w:id="325" w:name="_Toc157423798"/>
      <w:bookmarkStart w:id="326" w:name="_Toc119484079"/>
      <w:bookmarkStart w:id="327" w:name="_Toc120685209"/>
      <w:bookmarkStart w:id="328" w:name="_Toc123025363"/>
      <w:bookmarkStart w:id="329" w:name="_Toc157423799"/>
      <w:bookmarkEnd w:id="325"/>
      <w:r w:rsidRPr="00107C19">
        <w:t xml:space="preserve">  </w:t>
      </w:r>
      <w:bookmarkStart w:id="330" w:name="_Toc160185994"/>
      <w:r w:rsidRPr="00107C19">
        <w:t>Marketing Agreements and Orders</w:t>
      </w:r>
      <w:bookmarkEnd w:id="326"/>
      <w:bookmarkEnd w:id="327"/>
      <w:bookmarkEnd w:id="328"/>
      <w:bookmarkEnd w:id="329"/>
      <w:bookmarkEnd w:id="330"/>
    </w:p>
    <w:p w14:paraId="070C3319"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AMS’ SCP oversees 26 marketing orders that empower farmers, ranchers, and agricultural businesses. Marketing orders and agreements are industry-driven programs that help fruit, vegetable, and specialty crop producers and handlers achieve marketing success through minimum quality requirements, </w:t>
      </w:r>
      <w:r w:rsidRPr="00107C19">
        <w:rPr>
          <w:rFonts w:cstheme="minorBidi"/>
          <w:color w:val="000000" w:themeColor="text1"/>
        </w:rPr>
        <w:t>mandatory grading services,</w:t>
      </w:r>
      <w:r w:rsidRPr="00107C19">
        <w:rPr>
          <w:rFonts w:cstheme="minorHAnsi"/>
          <w:color w:val="000000" w:themeColor="text1"/>
        </w:rPr>
        <w:t xml:space="preserve"> marketing and promotion initiatives, and other authorized efforts that foster success for industry members. By working together, industry members leverage their own funds to design and execute programs that they would not be able to do as individuals. Marketing orders and agreements are authorized by the Agricultural Marketing Agreement Act of 1937.</w:t>
      </w:r>
      <w:r w:rsidRPr="00107C19">
        <w:rPr>
          <w:color w:val="000000" w:themeColor="text1"/>
        </w:rPr>
        <w:t xml:space="preserve"> </w:t>
      </w:r>
    </w:p>
    <w:p w14:paraId="7A10F283"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 xml:space="preserve">In its role ensuring fiscal accountability and program integrity, AMS periodically conducts referenda among eligible producers to determine their level of support for either new programs under consideration, amendments to existing programs, or continuance of existing programs.  After the success of e-ballot software implementation with SCP research and promotion programs, SCP piloted the e-ballot software with marketing order programs, with expanded implementation expected in FY 2024. The e-ballot software allows industry members voting in the referendum to register online, receive their ballot, and return it electronically for AMS’s tabulation. </w:t>
      </w:r>
    </w:p>
    <w:p w14:paraId="773480C6" w14:textId="77777777" w:rsidR="006E4997" w:rsidRPr="00107C19" w:rsidRDefault="006E4997" w:rsidP="006E4997">
      <w:pPr>
        <w:pStyle w:val="BodyText3"/>
        <w:rPr>
          <w:rFonts w:cstheme="minorHAnsi"/>
          <w:color w:val="000000" w:themeColor="text1"/>
        </w:rPr>
      </w:pPr>
      <w:r w:rsidRPr="00107C19">
        <w:rPr>
          <w:rFonts w:cstheme="minorHAnsi"/>
          <w:color w:val="000000" w:themeColor="text1"/>
        </w:rPr>
        <w:t>The Section 32 funds support AMS administrative expenses to oversee Federal marketing orders and agreements and marketing orders, which are authorized help to establish orderly marketing conditions for dairy products and specialty crops that encompass fruits, vegetables, nuts, and related specialty crop commodities.</w:t>
      </w:r>
    </w:p>
    <w:p w14:paraId="343D2F6E" w14:textId="77777777" w:rsidR="006E4997" w:rsidRPr="00107C19" w:rsidRDefault="006E4997" w:rsidP="006E4997">
      <w:pPr>
        <w:pStyle w:val="BodyText3"/>
        <w:rPr>
          <w:color w:val="000000" w:themeColor="text1"/>
        </w:rPr>
      </w:pPr>
      <w:r w:rsidRPr="00107C19">
        <w:rPr>
          <w:rFonts w:cstheme="minorBidi"/>
          <w:color w:val="000000" w:themeColor="text1"/>
        </w:rPr>
        <w:t xml:space="preserve">For certain products operating under a marketing order with minimum quality requirements in the United States, imports of those same commodities need to be graded to ensure compliance with Section 8e of the Agricultural Marketing Agreement Act of 1937.  SCP’s </w:t>
      </w:r>
      <w:r w:rsidRPr="00107C19">
        <w:rPr>
          <w:rFonts w:ascii="Calibri" w:eastAsia="Calibri" w:hAnsi="Calibri" w:cs="Calibri"/>
          <w:color w:val="000000" w:themeColor="text1"/>
        </w:rPr>
        <w:t>Compliance Enforcement Management System (CEMS) serves as a single platform for commodity brokers looking to import or export covered commodities and eliminates the need for users to seek out various forms on USDA’s website.  CEMS connects to Customs and Border Protection’s Automated Commercial Environment.  CEMS has significantly increased efficiency and continues to improve digital computer-based processes and eliminates time-consuming manual processes.  AMS deployed Pay.gov earlier in the year, eliminating the need for paper-based payments.</w:t>
      </w:r>
    </w:p>
    <w:p w14:paraId="2A516069" w14:textId="77777777" w:rsidR="006E4997" w:rsidRPr="00107C19" w:rsidRDefault="006E4997" w:rsidP="006E4997">
      <w:pPr>
        <w:pStyle w:val="Heading4"/>
      </w:pPr>
      <w:bookmarkStart w:id="331" w:name="_Toc157423800"/>
      <w:bookmarkStart w:id="332" w:name="_Toc160185995"/>
      <w:r w:rsidRPr="00107C19">
        <w:t>Federal Milk Marketing Order Hearing</w:t>
      </w:r>
      <w:bookmarkEnd w:id="331"/>
      <w:bookmarkEnd w:id="332"/>
      <w:r w:rsidRPr="00107C19">
        <w:t xml:space="preserve"> </w:t>
      </w:r>
    </w:p>
    <w:p w14:paraId="0EEC60A2" w14:textId="77777777" w:rsidR="006E4997" w:rsidRPr="00107C19" w:rsidRDefault="006E4997" w:rsidP="006E4997">
      <w:pPr>
        <w:pStyle w:val="BodyText4"/>
        <w:rPr>
          <w:color w:val="000000" w:themeColor="text1"/>
        </w:rPr>
      </w:pPr>
      <w:r w:rsidRPr="00107C19">
        <w:rPr>
          <w:color w:val="000000" w:themeColor="text1"/>
        </w:rPr>
        <w:t xml:space="preserve">The U.S. Department of Agriculture (USDA) oversees the dairy Federal Milk Marketing Order (FMMO) program, which includes 11 milk marketing orders and applies to about 75 percent of total U.S. milk production. The regulatory provisions of the individual milk marketing orders apply to handlers and specify how dairy farmers supplying a marketing area will share the money from their raw milk sales. In FY23, the FMMO program held regional and national </w:t>
      </w:r>
      <w:r w:rsidRPr="00107C19">
        <w:rPr>
          <w:color w:val="000000" w:themeColor="text1"/>
        </w:rPr>
        <w:lastRenderedPageBreak/>
        <w:t>hearings, which included making nearly 400 exhibits 508-compliant for posting to the web. Additionally, and for the first time ever, the FMMO program incorporated video technology (at the national hearing) to allow farmers’ testimony virtually and for around 120 interested parties to view the hearings virtually at significant savings in time and money.  The FMMO program also posted exhibits on the web as received during the hearing. The FMMO program received much positive feedback for improved technology incorporated during the hearings.</w:t>
      </w:r>
    </w:p>
    <w:p w14:paraId="1D43DB14" w14:textId="77777777" w:rsidR="006E4997" w:rsidRPr="00107C19" w:rsidRDefault="006E4997" w:rsidP="006E4997">
      <w:pPr>
        <w:pStyle w:val="Heading3"/>
      </w:pPr>
      <w:r w:rsidRPr="00107C19">
        <w:t xml:space="preserve"> </w:t>
      </w:r>
      <w:bookmarkStart w:id="333" w:name="_Toc157423801"/>
      <w:bookmarkStart w:id="334" w:name="_Toc160185996"/>
      <w:r w:rsidRPr="00107C19">
        <w:t>Dairy Donation and Milk Donation Reimbursement Programs</w:t>
      </w:r>
      <w:bookmarkEnd w:id="333"/>
      <w:bookmarkEnd w:id="334"/>
    </w:p>
    <w:p w14:paraId="4F3858E5" w14:textId="77777777" w:rsidR="006E4997" w:rsidRPr="00107C19" w:rsidRDefault="006E4997" w:rsidP="006E4997">
      <w:pPr>
        <w:pStyle w:val="BodyText3"/>
        <w:ind w:left="720"/>
        <w:rPr>
          <w:rFonts w:cstheme="minorHAnsi"/>
          <w:color w:val="000000" w:themeColor="text1"/>
        </w:rPr>
      </w:pPr>
      <w:r w:rsidRPr="00107C19">
        <w:rPr>
          <w:rFonts w:cstheme="minorHAnsi"/>
          <w:color w:val="000000" w:themeColor="text1"/>
        </w:rPr>
        <w:t>The Dairy Donation and Milk Donation Reimbursement Programs provide limited cost reimbursement to eligible dairy organizations who partner with and mark dairy product donations to non-profit organizations that distribute food to low-income individuals.  Data is published on the program website regarding the type, volume and reimbursement value of the products donated.</w:t>
      </w:r>
    </w:p>
    <w:p w14:paraId="3FB71FBC" w14:textId="77777777" w:rsidR="006E4997" w:rsidRPr="00107C19" w:rsidRDefault="006E4997" w:rsidP="006E4997">
      <w:pPr>
        <w:pStyle w:val="BodyText2"/>
        <w:ind w:left="0"/>
        <w:rPr>
          <w:color w:val="000000" w:themeColor="text1"/>
        </w:rPr>
      </w:pPr>
    </w:p>
    <w:p w14:paraId="4C56B8CA" w14:textId="77777777" w:rsidR="006E4997" w:rsidRPr="00107C19" w:rsidRDefault="006E4997" w:rsidP="006E4997">
      <w:pPr>
        <w:pStyle w:val="BodyText"/>
        <w:rPr>
          <w:color w:val="000000" w:themeColor="text1"/>
        </w:rPr>
      </w:pPr>
    </w:p>
    <w:p w14:paraId="000F686D" w14:textId="77777777" w:rsidR="009B24E0" w:rsidRDefault="009B24E0" w:rsidP="00926442">
      <w:pPr>
        <w:pStyle w:val="Heading1"/>
        <w:rPr>
          <w:rFonts w:asciiTheme="minorHAnsi" w:hAnsiTheme="minorHAnsi" w:cstheme="minorHAnsi"/>
          <w:b/>
          <w:bCs w:val="0"/>
          <w:color w:val="000000" w:themeColor="text1"/>
        </w:rPr>
      </w:pPr>
      <w:bookmarkStart w:id="335" w:name="_Toc120622106"/>
      <w:bookmarkStart w:id="336" w:name="_Toc160185997"/>
      <w:r w:rsidRPr="00107C19">
        <w:rPr>
          <w:rFonts w:asciiTheme="minorHAnsi" w:hAnsiTheme="minorHAnsi" w:cstheme="minorHAnsi"/>
          <w:b/>
          <w:bCs w:val="0"/>
          <w:color w:val="000000" w:themeColor="text1"/>
        </w:rPr>
        <w:lastRenderedPageBreak/>
        <w:t>Animal and Plant Health Inspection Service (APHIS)</w:t>
      </w:r>
      <w:bookmarkEnd w:id="335"/>
      <w:bookmarkEnd w:id="336"/>
    </w:p>
    <w:p w14:paraId="51A0C8AD" w14:textId="77777777" w:rsidR="000500F1" w:rsidRPr="000500F1" w:rsidRDefault="000500F1" w:rsidP="000500F1">
      <w:pPr>
        <w:pStyle w:val="Heading2"/>
        <w:rPr>
          <w:color w:val="000000" w:themeColor="text1"/>
        </w:rPr>
      </w:pPr>
      <w:bookmarkStart w:id="337" w:name="_Toc120622107"/>
      <w:bookmarkStart w:id="338" w:name="_Toc123025365"/>
      <w:bookmarkStart w:id="339" w:name="_Toc156552585"/>
      <w:bookmarkStart w:id="340" w:name="_Toc160185998"/>
      <w:r w:rsidRPr="000500F1">
        <w:rPr>
          <w:color w:val="000000" w:themeColor="text1"/>
        </w:rPr>
        <w:t>Mission Statement</w:t>
      </w:r>
      <w:bookmarkEnd w:id="337"/>
      <w:bookmarkEnd w:id="338"/>
      <w:bookmarkEnd w:id="339"/>
      <w:bookmarkEnd w:id="340"/>
    </w:p>
    <w:p w14:paraId="203F7B34" w14:textId="77777777" w:rsidR="000500F1" w:rsidRPr="000500F1" w:rsidRDefault="000500F1" w:rsidP="000500F1">
      <w:r w:rsidRPr="000500F1">
        <w:t>The mission of the Animal and Plant Health Inspection Service is to safeguard the health, welfare, and value of American agriculture and natural resources.  USDA broadly defines technology transfer as the adoption of research outcomes (i.e., solutions) for public benefit.  Seemingly a simple statement, the process of adoption is complicated, requiring integration of many assets from disparate sources, such as public release of information, tools, and solutions (e.g., germplasm, plants and other materials), adoption by partners through collaborative research and formal Cooperative Research and Development Agreements, direct federal, tribal, state, or local technical assistance, or through licensing of biological materials or protected intellectual property directly to not-for-profit entities and for-profit private sector firms.  This report summarizes the Technology Transfer accomplishments of all APHIS Programs for fiscal year 2023.</w:t>
      </w:r>
    </w:p>
    <w:p w14:paraId="3E663203" w14:textId="77777777" w:rsidR="000500F1" w:rsidRPr="000500F1" w:rsidRDefault="000500F1" w:rsidP="000500F1">
      <w:pPr>
        <w:pStyle w:val="Heading2"/>
        <w:rPr>
          <w:color w:val="000000" w:themeColor="text1"/>
        </w:rPr>
      </w:pPr>
      <w:bookmarkStart w:id="341" w:name="_Toc120622108"/>
      <w:bookmarkStart w:id="342" w:name="_Toc123025366"/>
      <w:bookmarkStart w:id="343" w:name="_Toc156552586"/>
      <w:bookmarkStart w:id="344" w:name="_Toc160185999"/>
      <w:r w:rsidRPr="000500F1">
        <w:rPr>
          <w:color w:val="000000" w:themeColor="text1"/>
        </w:rPr>
        <w:t>Combined Fiscal Year Metrics Tables</w:t>
      </w:r>
      <w:bookmarkEnd w:id="341"/>
      <w:bookmarkEnd w:id="342"/>
      <w:bookmarkEnd w:id="343"/>
      <w:bookmarkEnd w:id="344"/>
    </w:p>
    <w:p w14:paraId="719978CD" w14:textId="77777777" w:rsidR="000500F1" w:rsidRPr="000500F1" w:rsidRDefault="000500F1" w:rsidP="000500F1">
      <w:r w:rsidRPr="000500F1">
        <w:t>Table 1: Disclosures and Patenting – Combined Programs</w:t>
      </w:r>
    </w:p>
    <w:tbl>
      <w:tblPr>
        <w:tblStyle w:val="TableGrid"/>
        <w:tblW w:w="4600" w:type="pct"/>
        <w:tblLook w:val="04A0" w:firstRow="1" w:lastRow="0" w:firstColumn="1" w:lastColumn="0" w:noHBand="0" w:noVBand="1"/>
        <w:tblDescription w:val="Sample table for template instructions"/>
      </w:tblPr>
      <w:tblGrid>
        <w:gridCol w:w="5226"/>
        <w:gridCol w:w="805"/>
        <w:gridCol w:w="805"/>
        <w:gridCol w:w="805"/>
        <w:gridCol w:w="800"/>
        <w:gridCol w:w="823"/>
      </w:tblGrid>
      <w:tr w:rsidR="000500F1" w:rsidRPr="000500F1" w14:paraId="2E079136" w14:textId="77777777" w:rsidTr="00145812">
        <w:trPr>
          <w:tblHeader/>
        </w:trPr>
        <w:tc>
          <w:tcPr>
            <w:tcW w:w="5227" w:type="dxa"/>
            <w:shd w:val="clear" w:color="auto" w:fill="D9D9D9" w:themeFill="background1" w:themeFillShade="D9"/>
          </w:tcPr>
          <w:p w14:paraId="27BC36E7" w14:textId="77777777" w:rsidR="000500F1" w:rsidRPr="000500F1" w:rsidRDefault="000500F1" w:rsidP="000500F1">
            <w:r w:rsidRPr="000500F1">
              <w:t>Patenting</w:t>
            </w:r>
          </w:p>
        </w:tc>
        <w:tc>
          <w:tcPr>
            <w:tcW w:w="805" w:type="dxa"/>
            <w:shd w:val="clear" w:color="auto" w:fill="D9D9D9" w:themeFill="background1" w:themeFillShade="D9"/>
          </w:tcPr>
          <w:p w14:paraId="7A92FB14" w14:textId="77777777" w:rsidR="000500F1" w:rsidRPr="000500F1" w:rsidRDefault="000500F1" w:rsidP="000500F1">
            <w:r w:rsidRPr="000500F1">
              <w:t>2019</w:t>
            </w:r>
          </w:p>
        </w:tc>
        <w:tc>
          <w:tcPr>
            <w:tcW w:w="805" w:type="dxa"/>
            <w:shd w:val="clear" w:color="auto" w:fill="D9D9D9" w:themeFill="background1" w:themeFillShade="D9"/>
          </w:tcPr>
          <w:p w14:paraId="73B73330" w14:textId="77777777" w:rsidR="000500F1" w:rsidRPr="000500F1" w:rsidRDefault="000500F1" w:rsidP="000500F1">
            <w:r w:rsidRPr="000500F1">
              <w:t>2010</w:t>
            </w:r>
          </w:p>
        </w:tc>
        <w:tc>
          <w:tcPr>
            <w:tcW w:w="805" w:type="dxa"/>
            <w:shd w:val="clear" w:color="auto" w:fill="D9D9D9" w:themeFill="background1" w:themeFillShade="D9"/>
          </w:tcPr>
          <w:p w14:paraId="56339B44" w14:textId="77777777" w:rsidR="000500F1" w:rsidRPr="000500F1" w:rsidRDefault="000500F1" w:rsidP="000500F1">
            <w:r w:rsidRPr="000500F1">
              <w:t>2021</w:t>
            </w:r>
          </w:p>
        </w:tc>
        <w:tc>
          <w:tcPr>
            <w:tcW w:w="800" w:type="dxa"/>
            <w:shd w:val="clear" w:color="auto" w:fill="D9D9D9" w:themeFill="background1" w:themeFillShade="D9"/>
          </w:tcPr>
          <w:p w14:paraId="14D87006" w14:textId="77777777" w:rsidR="000500F1" w:rsidRPr="000500F1" w:rsidRDefault="000500F1" w:rsidP="000500F1">
            <w:r w:rsidRPr="000500F1">
              <w:t>2022</w:t>
            </w:r>
          </w:p>
        </w:tc>
        <w:tc>
          <w:tcPr>
            <w:tcW w:w="823" w:type="dxa"/>
            <w:shd w:val="clear" w:color="auto" w:fill="D9D9D9" w:themeFill="background1" w:themeFillShade="D9"/>
          </w:tcPr>
          <w:p w14:paraId="4E4E545F" w14:textId="77777777" w:rsidR="000500F1" w:rsidRPr="000500F1" w:rsidRDefault="000500F1" w:rsidP="000500F1">
            <w:r w:rsidRPr="000500F1">
              <w:t>2023</w:t>
            </w:r>
          </w:p>
        </w:tc>
      </w:tr>
      <w:tr w:rsidR="000500F1" w:rsidRPr="000500F1" w14:paraId="54A672BE" w14:textId="77777777" w:rsidTr="00145812">
        <w:tc>
          <w:tcPr>
            <w:tcW w:w="5227" w:type="dxa"/>
          </w:tcPr>
          <w:p w14:paraId="735A9024" w14:textId="77777777" w:rsidR="000500F1" w:rsidRPr="000500F1" w:rsidRDefault="000500F1" w:rsidP="000500F1">
            <w:r w:rsidRPr="000500F1">
              <w:t>Invention Disclosures Received</w:t>
            </w:r>
          </w:p>
        </w:tc>
        <w:tc>
          <w:tcPr>
            <w:tcW w:w="805" w:type="dxa"/>
          </w:tcPr>
          <w:p w14:paraId="7458B8E0" w14:textId="77777777" w:rsidR="000500F1" w:rsidRPr="000500F1" w:rsidRDefault="000500F1" w:rsidP="000500F1">
            <w:r w:rsidRPr="000500F1">
              <w:t>6</w:t>
            </w:r>
          </w:p>
        </w:tc>
        <w:tc>
          <w:tcPr>
            <w:tcW w:w="805" w:type="dxa"/>
          </w:tcPr>
          <w:p w14:paraId="0AB956B3" w14:textId="77777777" w:rsidR="000500F1" w:rsidRPr="000500F1" w:rsidRDefault="000500F1" w:rsidP="000500F1">
            <w:r w:rsidRPr="000500F1">
              <w:t>4</w:t>
            </w:r>
          </w:p>
        </w:tc>
        <w:tc>
          <w:tcPr>
            <w:tcW w:w="805" w:type="dxa"/>
          </w:tcPr>
          <w:p w14:paraId="033FC51B" w14:textId="77777777" w:rsidR="000500F1" w:rsidRPr="000500F1" w:rsidRDefault="000500F1" w:rsidP="000500F1">
            <w:r w:rsidRPr="000500F1">
              <w:t>2</w:t>
            </w:r>
          </w:p>
        </w:tc>
        <w:tc>
          <w:tcPr>
            <w:tcW w:w="800" w:type="dxa"/>
          </w:tcPr>
          <w:p w14:paraId="40795980" w14:textId="77777777" w:rsidR="000500F1" w:rsidRPr="000500F1" w:rsidRDefault="000500F1" w:rsidP="000500F1">
            <w:r w:rsidRPr="000500F1">
              <w:t>2</w:t>
            </w:r>
          </w:p>
        </w:tc>
        <w:tc>
          <w:tcPr>
            <w:tcW w:w="823" w:type="dxa"/>
          </w:tcPr>
          <w:p w14:paraId="0A6B624A" w14:textId="77777777" w:rsidR="000500F1" w:rsidRPr="000500F1" w:rsidRDefault="000500F1" w:rsidP="000500F1">
            <w:r w:rsidRPr="000500F1">
              <w:t>1</w:t>
            </w:r>
          </w:p>
        </w:tc>
      </w:tr>
      <w:tr w:rsidR="000500F1" w:rsidRPr="000500F1" w14:paraId="4896F38B" w14:textId="77777777" w:rsidTr="00145812">
        <w:tc>
          <w:tcPr>
            <w:tcW w:w="5227" w:type="dxa"/>
          </w:tcPr>
          <w:p w14:paraId="108CD644" w14:textId="77777777" w:rsidR="000500F1" w:rsidRPr="000500F1" w:rsidRDefault="000500F1" w:rsidP="000500F1">
            <w:r w:rsidRPr="000500F1">
              <w:t>Total Patent Applications</w:t>
            </w:r>
          </w:p>
        </w:tc>
        <w:tc>
          <w:tcPr>
            <w:tcW w:w="805" w:type="dxa"/>
          </w:tcPr>
          <w:p w14:paraId="0604B01F" w14:textId="77777777" w:rsidR="000500F1" w:rsidRPr="000500F1" w:rsidRDefault="000500F1" w:rsidP="000500F1">
            <w:r w:rsidRPr="000500F1">
              <w:t>5</w:t>
            </w:r>
          </w:p>
        </w:tc>
        <w:tc>
          <w:tcPr>
            <w:tcW w:w="805" w:type="dxa"/>
          </w:tcPr>
          <w:p w14:paraId="7CE53853" w14:textId="77777777" w:rsidR="000500F1" w:rsidRPr="000500F1" w:rsidRDefault="000500F1" w:rsidP="000500F1">
            <w:r w:rsidRPr="000500F1">
              <w:t>7</w:t>
            </w:r>
          </w:p>
        </w:tc>
        <w:tc>
          <w:tcPr>
            <w:tcW w:w="805" w:type="dxa"/>
          </w:tcPr>
          <w:p w14:paraId="00AEC8A9" w14:textId="77777777" w:rsidR="000500F1" w:rsidRPr="000500F1" w:rsidRDefault="000500F1" w:rsidP="000500F1">
            <w:r w:rsidRPr="000500F1">
              <w:t>8</w:t>
            </w:r>
          </w:p>
        </w:tc>
        <w:tc>
          <w:tcPr>
            <w:tcW w:w="800" w:type="dxa"/>
          </w:tcPr>
          <w:p w14:paraId="4C549C4A" w14:textId="77777777" w:rsidR="000500F1" w:rsidRPr="000500F1" w:rsidRDefault="000500F1" w:rsidP="000500F1">
            <w:r w:rsidRPr="000500F1">
              <w:t>8</w:t>
            </w:r>
          </w:p>
        </w:tc>
        <w:tc>
          <w:tcPr>
            <w:tcW w:w="823" w:type="dxa"/>
          </w:tcPr>
          <w:p w14:paraId="64FC92C1" w14:textId="77777777" w:rsidR="000500F1" w:rsidRPr="000500F1" w:rsidRDefault="000500F1" w:rsidP="000500F1">
            <w:r w:rsidRPr="000500F1">
              <w:t>8</w:t>
            </w:r>
          </w:p>
        </w:tc>
      </w:tr>
      <w:tr w:rsidR="000500F1" w:rsidRPr="000500F1" w14:paraId="2C9162E6" w14:textId="77777777" w:rsidTr="00145812">
        <w:tc>
          <w:tcPr>
            <w:tcW w:w="5227" w:type="dxa"/>
          </w:tcPr>
          <w:p w14:paraId="6209F7E2" w14:textId="77777777" w:rsidR="000500F1" w:rsidRPr="000500F1" w:rsidRDefault="000500F1" w:rsidP="000500F1">
            <w:r w:rsidRPr="000500F1">
              <w:t xml:space="preserve">      US</w:t>
            </w:r>
          </w:p>
        </w:tc>
        <w:tc>
          <w:tcPr>
            <w:tcW w:w="805" w:type="dxa"/>
          </w:tcPr>
          <w:p w14:paraId="33777185" w14:textId="77777777" w:rsidR="000500F1" w:rsidRPr="000500F1" w:rsidRDefault="000500F1" w:rsidP="000500F1">
            <w:r w:rsidRPr="000500F1">
              <w:t>5</w:t>
            </w:r>
          </w:p>
        </w:tc>
        <w:tc>
          <w:tcPr>
            <w:tcW w:w="805" w:type="dxa"/>
          </w:tcPr>
          <w:p w14:paraId="084ABBAF" w14:textId="77777777" w:rsidR="000500F1" w:rsidRPr="000500F1" w:rsidRDefault="000500F1" w:rsidP="000500F1">
            <w:r w:rsidRPr="000500F1">
              <w:t>6</w:t>
            </w:r>
          </w:p>
        </w:tc>
        <w:tc>
          <w:tcPr>
            <w:tcW w:w="805" w:type="dxa"/>
          </w:tcPr>
          <w:p w14:paraId="360EDD2D" w14:textId="77777777" w:rsidR="000500F1" w:rsidRPr="000500F1" w:rsidRDefault="000500F1" w:rsidP="000500F1">
            <w:r w:rsidRPr="000500F1">
              <w:t>7</w:t>
            </w:r>
          </w:p>
        </w:tc>
        <w:tc>
          <w:tcPr>
            <w:tcW w:w="800" w:type="dxa"/>
          </w:tcPr>
          <w:p w14:paraId="7347CE74" w14:textId="77777777" w:rsidR="000500F1" w:rsidRPr="000500F1" w:rsidRDefault="000500F1" w:rsidP="000500F1">
            <w:r w:rsidRPr="000500F1">
              <w:t>4</w:t>
            </w:r>
          </w:p>
        </w:tc>
        <w:tc>
          <w:tcPr>
            <w:tcW w:w="823" w:type="dxa"/>
          </w:tcPr>
          <w:p w14:paraId="24C82071" w14:textId="77777777" w:rsidR="000500F1" w:rsidRPr="000500F1" w:rsidRDefault="000500F1" w:rsidP="000500F1">
            <w:r w:rsidRPr="000500F1">
              <w:t>3</w:t>
            </w:r>
          </w:p>
        </w:tc>
      </w:tr>
      <w:tr w:rsidR="000500F1" w:rsidRPr="000500F1" w14:paraId="509C844D" w14:textId="77777777" w:rsidTr="00145812">
        <w:tc>
          <w:tcPr>
            <w:tcW w:w="5227" w:type="dxa"/>
          </w:tcPr>
          <w:p w14:paraId="608BCED8" w14:textId="77777777" w:rsidR="000500F1" w:rsidRPr="000500F1" w:rsidRDefault="000500F1" w:rsidP="000500F1">
            <w:r w:rsidRPr="000500F1">
              <w:t xml:space="preserve">      Foreign</w:t>
            </w:r>
          </w:p>
        </w:tc>
        <w:tc>
          <w:tcPr>
            <w:tcW w:w="805" w:type="dxa"/>
          </w:tcPr>
          <w:p w14:paraId="6E8B24A2" w14:textId="77777777" w:rsidR="000500F1" w:rsidRPr="000500F1" w:rsidRDefault="000500F1" w:rsidP="000500F1">
            <w:r w:rsidRPr="000500F1">
              <w:t>0</w:t>
            </w:r>
          </w:p>
        </w:tc>
        <w:tc>
          <w:tcPr>
            <w:tcW w:w="805" w:type="dxa"/>
          </w:tcPr>
          <w:p w14:paraId="6B0957D4" w14:textId="77777777" w:rsidR="000500F1" w:rsidRPr="000500F1" w:rsidRDefault="000500F1" w:rsidP="000500F1">
            <w:r w:rsidRPr="000500F1">
              <w:t>1</w:t>
            </w:r>
          </w:p>
        </w:tc>
        <w:tc>
          <w:tcPr>
            <w:tcW w:w="805" w:type="dxa"/>
          </w:tcPr>
          <w:p w14:paraId="607B5F51" w14:textId="77777777" w:rsidR="000500F1" w:rsidRPr="000500F1" w:rsidRDefault="000500F1" w:rsidP="000500F1">
            <w:r w:rsidRPr="000500F1">
              <w:t>2</w:t>
            </w:r>
          </w:p>
        </w:tc>
        <w:tc>
          <w:tcPr>
            <w:tcW w:w="800" w:type="dxa"/>
          </w:tcPr>
          <w:p w14:paraId="780497A4" w14:textId="77777777" w:rsidR="000500F1" w:rsidRPr="000500F1" w:rsidRDefault="000500F1" w:rsidP="000500F1">
            <w:r w:rsidRPr="000500F1">
              <w:t>4</w:t>
            </w:r>
          </w:p>
        </w:tc>
        <w:tc>
          <w:tcPr>
            <w:tcW w:w="823" w:type="dxa"/>
          </w:tcPr>
          <w:p w14:paraId="633A5A06" w14:textId="77777777" w:rsidR="000500F1" w:rsidRPr="000500F1" w:rsidRDefault="000500F1" w:rsidP="000500F1">
            <w:r w:rsidRPr="000500F1">
              <w:t>5</w:t>
            </w:r>
          </w:p>
        </w:tc>
      </w:tr>
      <w:tr w:rsidR="000500F1" w:rsidRPr="000500F1" w14:paraId="06AF2DD2" w14:textId="77777777" w:rsidTr="00145812">
        <w:tc>
          <w:tcPr>
            <w:tcW w:w="5227" w:type="dxa"/>
          </w:tcPr>
          <w:p w14:paraId="1F8C5BEF" w14:textId="77777777" w:rsidR="000500F1" w:rsidRPr="000500F1" w:rsidRDefault="000500F1" w:rsidP="000500F1">
            <w:r w:rsidRPr="000500F1">
              <w:t>Total Patent Cooperation Treaty (PCT) Applications Filed</w:t>
            </w:r>
          </w:p>
        </w:tc>
        <w:tc>
          <w:tcPr>
            <w:tcW w:w="805" w:type="dxa"/>
          </w:tcPr>
          <w:p w14:paraId="66AFB11F" w14:textId="77777777" w:rsidR="000500F1" w:rsidRPr="000500F1" w:rsidRDefault="000500F1" w:rsidP="000500F1">
            <w:r w:rsidRPr="000500F1">
              <w:t>0</w:t>
            </w:r>
          </w:p>
        </w:tc>
        <w:tc>
          <w:tcPr>
            <w:tcW w:w="805" w:type="dxa"/>
          </w:tcPr>
          <w:p w14:paraId="7D2ACF2B" w14:textId="77777777" w:rsidR="000500F1" w:rsidRPr="000500F1" w:rsidRDefault="000500F1" w:rsidP="000500F1">
            <w:r w:rsidRPr="000500F1">
              <w:t>1</w:t>
            </w:r>
          </w:p>
        </w:tc>
        <w:tc>
          <w:tcPr>
            <w:tcW w:w="805" w:type="dxa"/>
          </w:tcPr>
          <w:p w14:paraId="6E5AADD0" w14:textId="77777777" w:rsidR="000500F1" w:rsidRPr="000500F1" w:rsidRDefault="000500F1" w:rsidP="000500F1">
            <w:r w:rsidRPr="000500F1">
              <w:t>0</w:t>
            </w:r>
          </w:p>
        </w:tc>
        <w:tc>
          <w:tcPr>
            <w:tcW w:w="800" w:type="dxa"/>
          </w:tcPr>
          <w:p w14:paraId="27CAF4E2" w14:textId="77777777" w:rsidR="000500F1" w:rsidRPr="000500F1" w:rsidRDefault="000500F1" w:rsidP="000500F1">
            <w:r w:rsidRPr="000500F1">
              <w:t>1</w:t>
            </w:r>
          </w:p>
        </w:tc>
        <w:tc>
          <w:tcPr>
            <w:tcW w:w="823" w:type="dxa"/>
          </w:tcPr>
          <w:p w14:paraId="3021405E" w14:textId="77777777" w:rsidR="000500F1" w:rsidRPr="000500F1" w:rsidRDefault="000500F1" w:rsidP="000500F1">
            <w:r w:rsidRPr="000500F1">
              <w:t>2</w:t>
            </w:r>
          </w:p>
        </w:tc>
      </w:tr>
      <w:tr w:rsidR="000500F1" w:rsidRPr="000500F1" w14:paraId="78D79963" w14:textId="77777777" w:rsidTr="00145812">
        <w:tc>
          <w:tcPr>
            <w:tcW w:w="5227" w:type="dxa"/>
          </w:tcPr>
          <w:p w14:paraId="097D7256" w14:textId="77777777" w:rsidR="000500F1" w:rsidRPr="000500F1" w:rsidRDefault="000500F1" w:rsidP="000500F1">
            <w:r w:rsidRPr="000500F1">
              <w:t>Total Patents Issued</w:t>
            </w:r>
          </w:p>
        </w:tc>
        <w:tc>
          <w:tcPr>
            <w:tcW w:w="805" w:type="dxa"/>
          </w:tcPr>
          <w:p w14:paraId="2C9804B1" w14:textId="77777777" w:rsidR="000500F1" w:rsidRPr="000500F1" w:rsidRDefault="000500F1" w:rsidP="000500F1">
            <w:r w:rsidRPr="000500F1">
              <w:t>3</w:t>
            </w:r>
          </w:p>
        </w:tc>
        <w:tc>
          <w:tcPr>
            <w:tcW w:w="805" w:type="dxa"/>
          </w:tcPr>
          <w:p w14:paraId="5EF8BDA9" w14:textId="77777777" w:rsidR="000500F1" w:rsidRPr="000500F1" w:rsidRDefault="000500F1" w:rsidP="000500F1">
            <w:r w:rsidRPr="000500F1">
              <w:t>4</w:t>
            </w:r>
          </w:p>
        </w:tc>
        <w:tc>
          <w:tcPr>
            <w:tcW w:w="805" w:type="dxa"/>
          </w:tcPr>
          <w:p w14:paraId="0790E18D" w14:textId="77777777" w:rsidR="000500F1" w:rsidRPr="000500F1" w:rsidRDefault="000500F1" w:rsidP="000500F1">
            <w:r w:rsidRPr="000500F1">
              <w:t>5</w:t>
            </w:r>
          </w:p>
        </w:tc>
        <w:tc>
          <w:tcPr>
            <w:tcW w:w="800" w:type="dxa"/>
          </w:tcPr>
          <w:p w14:paraId="5C2999F0" w14:textId="77777777" w:rsidR="000500F1" w:rsidRPr="000500F1" w:rsidRDefault="000500F1" w:rsidP="000500F1">
            <w:r w:rsidRPr="000500F1">
              <w:t>4</w:t>
            </w:r>
          </w:p>
        </w:tc>
        <w:tc>
          <w:tcPr>
            <w:tcW w:w="823" w:type="dxa"/>
          </w:tcPr>
          <w:p w14:paraId="43038379" w14:textId="77777777" w:rsidR="000500F1" w:rsidRPr="000500F1" w:rsidRDefault="000500F1" w:rsidP="000500F1">
            <w:r w:rsidRPr="000500F1">
              <w:t>4</w:t>
            </w:r>
          </w:p>
        </w:tc>
      </w:tr>
      <w:tr w:rsidR="000500F1" w:rsidRPr="000500F1" w14:paraId="2EA05170" w14:textId="77777777" w:rsidTr="00145812">
        <w:tc>
          <w:tcPr>
            <w:tcW w:w="5227" w:type="dxa"/>
          </w:tcPr>
          <w:p w14:paraId="02246268" w14:textId="77777777" w:rsidR="000500F1" w:rsidRPr="000500F1" w:rsidRDefault="000500F1" w:rsidP="000500F1">
            <w:r w:rsidRPr="000500F1">
              <w:t xml:space="preserve">      US </w:t>
            </w:r>
          </w:p>
        </w:tc>
        <w:tc>
          <w:tcPr>
            <w:tcW w:w="805" w:type="dxa"/>
          </w:tcPr>
          <w:p w14:paraId="48DFD193" w14:textId="77777777" w:rsidR="000500F1" w:rsidRPr="000500F1" w:rsidRDefault="000500F1" w:rsidP="000500F1">
            <w:r w:rsidRPr="000500F1">
              <w:t>1</w:t>
            </w:r>
          </w:p>
        </w:tc>
        <w:tc>
          <w:tcPr>
            <w:tcW w:w="805" w:type="dxa"/>
          </w:tcPr>
          <w:p w14:paraId="4D77CB2C" w14:textId="77777777" w:rsidR="000500F1" w:rsidRPr="000500F1" w:rsidRDefault="000500F1" w:rsidP="000500F1">
            <w:r w:rsidRPr="000500F1">
              <w:t>2</w:t>
            </w:r>
          </w:p>
        </w:tc>
        <w:tc>
          <w:tcPr>
            <w:tcW w:w="805" w:type="dxa"/>
          </w:tcPr>
          <w:p w14:paraId="07BA2E81" w14:textId="77777777" w:rsidR="000500F1" w:rsidRPr="000500F1" w:rsidRDefault="000500F1" w:rsidP="000500F1">
            <w:r w:rsidRPr="000500F1">
              <w:t>1</w:t>
            </w:r>
          </w:p>
        </w:tc>
        <w:tc>
          <w:tcPr>
            <w:tcW w:w="800" w:type="dxa"/>
          </w:tcPr>
          <w:p w14:paraId="0C96C456" w14:textId="77777777" w:rsidR="000500F1" w:rsidRPr="000500F1" w:rsidRDefault="000500F1" w:rsidP="000500F1">
            <w:r w:rsidRPr="000500F1">
              <w:t>2</w:t>
            </w:r>
          </w:p>
        </w:tc>
        <w:tc>
          <w:tcPr>
            <w:tcW w:w="823" w:type="dxa"/>
          </w:tcPr>
          <w:p w14:paraId="0EF6D6EF" w14:textId="77777777" w:rsidR="000500F1" w:rsidRPr="000500F1" w:rsidRDefault="000500F1" w:rsidP="000500F1">
            <w:r w:rsidRPr="000500F1">
              <w:t>0</w:t>
            </w:r>
          </w:p>
        </w:tc>
      </w:tr>
      <w:tr w:rsidR="000500F1" w:rsidRPr="000500F1" w14:paraId="5769D343" w14:textId="77777777" w:rsidTr="00145812">
        <w:tc>
          <w:tcPr>
            <w:tcW w:w="5227" w:type="dxa"/>
          </w:tcPr>
          <w:p w14:paraId="5760FB85" w14:textId="77777777" w:rsidR="000500F1" w:rsidRPr="000500F1" w:rsidRDefault="000500F1" w:rsidP="000500F1">
            <w:r w:rsidRPr="000500F1">
              <w:t xml:space="preserve">     Foreign</w:t>
            </w:r>
          </w:p>
        </w:tc>
        <w:tc>
          <w:tcPr>
            <w:tcW w:w="805" w:type="dxa"/>
          </w:tcPr>
          <w:p w14:paraId="3E9E023F" w14:textId="77777777" w:rsidR="000500F1" w:rsidRPr="000500F1" w:rsidRDefault="000500F1" w:rsidP="000500F1">
            <w:r w:rsidRPr="000500F1">
              <w:t>2</w:t>
            </w:r>
          </w:p>
        </w:tc>
        <w:tc>
          <w:tcPr>
            <w:tcW w:w="805" w:type="dxa"/>
          </w:tcPr>
          <w:p w14:paraId="4EC8F810" w14:textId="77777777" w:rsidR="000500F1" w:rsidRPr="000500F1" w:rsidRDefault="000500F1" w:rsidP="000500F1">
            <w:r w:rsidRPr="000500F1">
              <w:t>2</w:t>
            </w:r>
          </w:p>
        </w:tc>
        <w:tc>
          <w:tcPr>
            <w:tcW w:w="805" w:type="dxa"/>
          </w:tcPr>
          <w:p w14:paraId="0EE15B1A" w14:textId="77777777" w:rsidR="000500F1" w:rsidRPr="000500F1" w:rsidRDefault="000500F1" w:rsidP="000500F1">
            <w:r w:rsidRPr="000500F1">
              <w:t>4</w:t>
            </w:r>
          </w:p>
        </w:tc>
        <w:tc>
          <w:tcPr>
            <w:tcW w:w="800" w:type="dxa"/>
          </w:tcPr>
          <w:p w14:paraId="7670AD63" w14:textId="77777777" w:rsidR="000500F1" w:rsidRPr="000500F1" w:rsidRDefault="000500F1" w:rsidP="000500F1">
            <w:r w:rsidRPr="000500F1">
              <w:t>2</w:t>
            </w:r>
          </w:p>
        </w:tc>
        <w:tc>
          <w:tcPr>
            <w:tcW w:w="823" w:type="dxa"/>
          </w:tcPr>
          <w:p w14:paraId="5BB8B0F7" w14:textId="77777777" w:rsidR="000500F1" w:rsidRPr="000500F1" w:rsidRDefault="000500F1" w:rsidP="000500F1">
            <w:r w:rsidRPr="000500F1">
              <w:t>4</w:t>
            </w:r>
          </w:p>
        </w:tc>
      </w:tr>
    </w:tbl>
    <w:p w14:paraId="11DAA1E3" w14:textId="77777777" w:rsidR="000500F1" w:rsidRPr="000500F1" w:rsidRDefault="000500F1" w:rsidP="000500F1"/>
    <w:p w14:paraId="0B812E33" w14:textId="77777777" w:rsidR="000500F1" w:rsidRPr="000500F1" w:rsidRDefault="000500F1" w:rsidP="000500F1">
      <w:r w:rsidRPr="000500F1">
        <w:br w:type="page"/>
      </w:r>
    </w:p>
    <w:p w14:paraId="75D61EDC" w14:textId="77777777" w:rsidR="000500F1" w:rsidRPr="000500F1" w:rsidRDefault="000500F1" w:rsidP="000500F1">
      <w:r w:rsidRPr="000500F1">
        <w:lastRenderedPageBreak/>
        <w:t>Table 2: Licenses – Combined Programs</w:t>
      </w:r>
    </w:p>
    <w:tbl>
      <w:tblPr>
        <w:tblStyle w:val="TableGrid"/>
        <w:tblW w:w="4600" w:type="pct"/>
        <w:tblLook w:val="04A0" w:firstRow="1" w:lastRow="0" w:firstColumn="1" w:lastColumn="0" w:noHBand="0" w:noVBand="1"/>
        <w:tblDescription w:val="Sample table for template instructions"/>
      </w:tblPr>
      <w:tblGrid>
        <w:gridCol w:w="5261"/>
        <w:gridCol w:w="806"/>
        <w:gridCol w:w="806"/>
        <w:gridCol w:w="806"/>
        <w:gridCol w:w="801"/>
        <w:gridCol w:w="784"/>
      </w:tblGrid>
      <w:tr w:rsidR="000500F1" w:rsidRPr="000500F1" w14:paraId="7D7EE117" w14:textId="77777777" w:rsidTr="00145812">
        <w:trPr>
          <w:tblHeader/>
        </w:trPr>
        <w:tc>
          <w:tcPr>
            <w:tcW w:w="5261" w:type="dxa"/>
            <w:shd w:val="clear" w:color="auto" w:fill="D9D9D9" w:themeFill="background1" w:themeFillShade="D9"/>
          </w:tcPr>
          <w:p w14:paraId="326AD0F0" w14:textId="77777777" w:rsidR="000500F1" w:rsidRPr="000500F1" w:rsidRDefault="000500F1" w:rsidP="000500F1">
            <w:r w:rsidRPr="000500F1">
              <w:t>Licensing</w:t>
            </w:r>
          </w:p>
        </w:tc>
        <w:tc>
          <w:tcPr>
            <w:tcW w:w="806" w:type="dxa"/>
            <w:shd w:val="clear" w:color="auto" w:fill="D9D9D9" w:themeFill="background1" w:themeFillShade="D9"/>
          </w:tcPr>
          <w:p w14:paraId="46DE5A22" w14:textId="77777777" w:rsidR="000500F1" w:rsidRPr="000500F1" w:rsidRDefault="000500F1" w:rsidP="000500F1">
            <w:r w:rsidRPr="000500F1">
              <w:t>2019</w:t>
            </w:r>
          </w:p>
        </w:tc>
        <w:tc>
          <w:tcPr>
            <w:tcW w:w="806" w:type="dxa"/>
            <w:shd w:val="clear" w:color="auto" w:fill="D9D9D9" w:themeFill="background1" w:themeFillShade="D9"/>
          </w:tcPr>
          <w:p w14:paraId="5B34A71D" w14:textId="77777777" w:rsidR="000500F1" w:rsidRPr="000500F1" w:rsidRDefault="000500F1" w:rsidP="000500F1">
            <w:r w:rsidRPr="000500F1">
              <w:t>2020</w:t>
            </w:r>
          </w:p>
        </w:tc>
        <w:tc>
          <w:tcPr>
            <w:tcW w:w="806" w:type="dxa"/>
            <w:shd w:val="clear" w:color="auto" w:fill="D9D9D9" w:themeFill="background1" w:themeFillShade="D9"/>
          </w:tcPr>
          <w:p w14:paraId="0DFBD86F" w14:textId="77777777" w:rsidR="000500F1" w:rsidRPr="000500F1" w:rsidRDefault="000500F1" w:rsidP="000500F1">
            <w:r w:rsidRPr="000500F1">
              <w:t>2021</w:t>
            </w:r>
          </w:p>
        </w:tc>
        <w:tc>
          <w:tcPr>
            <w:tcW w:w="801" w:type="dxa"/>
            <w:shd w:val="clear" w:color="auto" w:fill="D9D9D9" w:themeFill="background1" w:themeFillShade="D9"/>
          </w:tcPr>
          <w:p w14:paraId="11AAC616" w14:textId="77777777" w:rsidR="000500F1" w:rsidRPr="000500F1" w:rsidRDefault="000500F1" w:rsidP="000500F1">
            <w:r w:rsidRPr="000500F1">
              <w:t>2022</w:t>
            </w:r>
          </w:p>
        </w:tc>
        <w:tc>
          <w:tcPr>
            <w:tcW w:w="784" w:type="dxa"/>
            <w:shd w:val="clear" w:color="auto" w:fill="D9D9D9" w:themeFill="background1" w:themeFillShade="D9"/>
          </w:tcPr>
          <w:p w14:paraId="5F7DF077" w14:textId="77777777" w:rsidR="000500F1" w:rsidRPr="000500F1" w:rsidRDefault="000500F1" w:rsidP="000500F1">
            <w:r w:rsidRPr="000500F1">
              <w:t>2023</w:t>
            </w:r>
          </w:p>
        </w:tc>
      </w:tr>
      <w:tr w:rsidR="000500F1" w:rsidRPr="000500F1" w14:paraId="5882F19A" w14:textId="77777777" w:rsidTr="00145812">
        <w:tc>
          <w:tcPr>
            <w:tcW w:w="5261" w:type="dxa"/>
          </w:tcPr>
          <w:p w14:paraId="078E23B9" w14:textId="77777777" w:rsidR="000500F1" w:rsidRPr="000500F1" w:rsidRDefault="000500F1" w:rsidP="000500F1">
            <w:r w:rsidRPr="000500F1">
              <w:t>Invention Licenses, Total Active</w:t>
            </w:r>
          </w:p>
        </w:tc>
        <w:tc>
          <w:tcPr>
            <w:tcW w:w="806" w:type="dxa"/>
          </w:tcPr>
          <w:p w14:paraId="72FD2720" w14:textId="77777777" w:rsidR="000500F1" w:rsidRPr="000500F1" w:rsidRDefault="000500F1" w:rsidP="000500F1">
            <w:r w:rsidRPr="000500F1">
              <w:t>4</w:t>
            </w:r>
          </w:p>
        </w:tc>
        <w:tc>
          <w:tcPr>
            <w:tcW w:w="806" w:type="dxa"/>
          </w:tcPr>
          <w:p w14:paraId="74D2FC4B" w14:textId="77777777" w:rsidR="000500F1" w:rsidRPr="000500F1" w:rsidRDefault="000500F1" w:rsidP="000500F1">
            <w:r w:rsidRPr="000500F1">
              <w:t>4</w:t>
            </w:r>
          </w:p>
        </w:tc>
        <w:tc>
          <w:tcPr>
            <w:tcW w:w="806" w:type="dxa"/>
          </w:tcPr>
          <w:p w14:paraId="5D25CB3F" w14:textId="77777777" w:rsidR="000500F1" w:rsidRPr="000500F1" w:rsidRDefault="000500F1" w:rsidP="000500F1">
            <w:r w:rsidRPr="000500F1">
              <w:t>4</w:t>
            </w:r>
          </w:p>
        </w:tc>
        <w:tc>
          <w:tcPr>
            <w:tcW w:w="801" w:type="dxa"/>
          </w:tcPr>
          <w:p w14:paraId="0DF30F6C" w14:textId="77777777" w:rsidR="000500F1" w:rsidRPr="000500F1" w:rsidRDefault="000500F1" w:rsidP="000500F1">
            <w:r w:rsidRPr="000500F1">
              <w:t>5</w:t>
            </w:r>
          </w:p>
        </w:tc>
        <w:tc>
          <w:tcPr>
            <w:tcW w:w="784" w:type="dxa"/>
          </w:tcPr>
          <w:p w14:paraId="40A36C6A" w14:textId="77777777" w:rsidR="000500F1" w:rsidRPr="000500F1" w:rsidRDefault="000500F1" w:rsidP="000500F1">
            <w:r w:rsidRPr="000500F1">
              <w:t>4</w:t>
            </w:r>
          </w:p>
        </w:tc>
      </w:tr>
      <w:tr w:rsidR="000500F1" w:rsidRPr="000500F1" w14:paraId="114F38B5" w14:textId="77777777" w:rsidTr="00145812">
        <w:tc>
          <w:tcPr>
            <w:tcW w:w="5261" w:type="dxa"/>
          </w:tcPr>
          <w:p w14:paraId="327B8BA5" w14:textId="77777777" w:rsidR="000500F1" w:rsidRPr="000500F1" w:rsidRDefault="000500F1" w:rsidP="000500F1">
            <w:r w:rsidRPr="000500F1">
              <w:t xml:space="preserve">      New Invention Licenses</w:t>
            </w:r>
          </w:p>
        </w:tc>
        <w:tc>
          <w:tcPr>
            <w:tcW w:w="806" w:type="dxa"/>
          </w:tcPr>
          <w:p w14:paraId="48A90598" w14:textId="77777777" w:rsidR="000500F1" w:rsidRPr="000500F1" w:rsidRDefault="000500F1" w:rsidP="000500F1">
            <w:r w:rsidRPr="000500F1">
              <w:t>0</w:t>
            </w:r>
          </w:p>
        </w:tc>
        <w:tc>
          <w:tcPr>
            <w:tcW w:w="806" w:type="dxa"/>
          </w:tcPr>
          <w:p w14:paraId="17486B18" w14:textId="77777777" w:rsidR="000500F1" w:rsidRPr="000500F1" w:rsidRDefault="000500F1" w:rsidP="000500F1">
            <w:r w:rsidRPr="000500F1">
              <w:t>0</w:t>
            </w:r>
          </w:p>
        </w:tc>
        <w:tc>
          <w:tcPr>
            <w:tcW w:w="806" w:type="dxa"/>
          </w:tcPr>
          <w:p w14:paraId="50412726" w14:textId="77777777" w:rsidR="000500F1" w:rsidRPr="000500F1" w:rsidRDefault="000500F1" w:rsidP="000500F1">
            <w:r w:rsidRPr="000500F1">
              <w:t>0</w:t>
            </w:r>
          </w:p>
        </w:tc>
        <w:tc>
          <w:tcPr>
            <w:tcW w:w="801" w:type="dxa"/>
          </w:tcPr>
          <w:p w14:paraId="6E87B5D1" w14:textId="77777777" w:rsidR="000500F1" w:rsidRPr="000500F1" w:rsidRDefault="000500F1" w:rsidP="000500F1">
            <w:r w:rsidRPr="000500F1">
              <w:t>3</w:t>
            </w:r>
          </w:p>
        </w:tc>
        <w:tc>
          <w:tcPr>
            <w:tcW w:w="784" w:type="dxa"/>
          </w:tcPr>
          <w:p w14:paraId="67570B09" w14:textId="77777777" w:rsidR="000500F1" w:rsidRPr="000500F1" w:rsidRDefault="000500F1" w:rsidP="000500F1">
            <w:r w:rsidRPr="000500F1">
              <w:t>0</w:t>
            </w:r>
          </w:p>
        </w:tc>
      </w:tr>
      <w:tr w:rsidR="000500F1" w:rsidRPr="000500F1" w14:paraId="52CBE63E" w14:textId="77777777" w:rsidTr="00145812">
        <w:tc>
          <w:tcPr>
            <w:tcW w:w="5261" w:type="dxa"/>
          </w:tcPr>
          <w:p w14:paraId="273F2277" w14:textId="77777777" w:rsidR="000500F1" w:rsidRPr="000500F1" w:rsidRDefault="000500F1" w:rsidP="000500F1">
            <w:r w:rsidRPr="000500F1">
              <w:t xml:space="preserve">      New Invention Licenses Granted to Small</w:t>
            </w:r>
          </w:p>
          <w:p w14:paraId="3C19F73D" w14:textId="77777777" w:rsidR="000500F1" w:rsidRPr="000500F1" w:rsidRDefault="000500F1" w:rsidP="000500F1">
            <w:r w:rsidRPr="000500F1">
              <w:t xml:space="preserve">      Businesses</w:t>
            </w:r>
          </w:p>
        </w:tc>
        <w:tc>
          <w:tcPr>
            <w:tcW w:w="806" w:type="dxa"/>
          </w:tcPr>
          <w:p w14:paraId="4B2EA7FD" w14:textId="77777777" w:rsidR="000500F1" w:rsidRPr="000500F1" w:rsidRDefault="000500F1" w:rsidP="000500F1">
            <w:r w:rsidRPr="000500F1">
              <w:t>0</w:t>
            </w:r>
          </w:p>
        </w:tc>
        <w:tc>
          <w:tcPr>
            <w:tcW w:w="806" w:type="dxa"/>
          </w:tcPr>
          <w:p w14:paraId="57EF8407" w14:textId="77777777" w:rsidR="000500F1" w:rsidRPr="000500F1" w:rsidRDefault="000500F1" w:rsidP="000500F1">
            <w:r w:rsidRPr="000500F1">
              <w:t>0</w:t>
            </w:r>
          </w:p>
        </w:tc>
        <w:tc>
          <w:tcPr>
            <w:tcW w:w="806" w:type="dxa"/>
          </w:tcPr>
          <w:p w14:paraId="1AA8E8B2" w14:textId="77777777" w:rsidR="000500F1" w:rsidRPr="000500F1" w:rsidRDefault="000500F1" w:rsidP="000500F1">
            <w:r w:rsidRPr="000500F1">
              <w:t>0</w:t>
            </w:r>
          </w:p>
        </w:tc>
        <w:tc>
          <w:tcPr>
            <w:tcW w:w="801" w:type="dxa"/>
          </w:tcPr>
          <w:p w14:paraId="5CF3BA92" w14:textId="77777777" w:rsidR="000500F1" w:rsidRPr="000500F1" w:rsidRDefault="000500F1" w:rsidP="000500F1">
            <w:r w:rsidRPr="000500F1">
              <w:t>3</w:t>
            </w:r>
          </w:p>
        </w:tc>
        <w:tc>
          <w:tcPr>
            <w:tcW w:w="784" w:type="dxa"/>
          </w:tcPr>
          <w:p w14:paraId="0D495EF0" w14:textId="77777777" w:rsidR="000500F1" w:rsidRPr="000500F1" w:rsidRDefault="000500F1" w:rsidP="000500F1">
            <w:r w:rsidRPr="000500F1">
              <w:t>0</w:t>
            </w:r>
          </w:p>
        </w:tc>
      </w:tr>
      <w:tr w:rsidR="000500F1" w:rsidRPr="000500F1" w14:paraId="11502294" w14:textId="77777777" w:rsidTr="00145812">
        <w:tc>
          <w:tcPr>
            <w:tcW w:w="5261" w:type="dxa"/>
          </w:tcPr>
          <w:p w14:paraId="734CB62E" w14:textId="77777777" w:rsidR="000500F1" w:rsidRPr="000500F1" w:rsidRDefault="000500F1" w:rsidP="000500F1">
            <w:r w:rsidRPr="000500F1">
              <w:t>Income Bearing Licenses, Total Active</w:t>
            </w:r>
          </w:p>
        </w:tc>
        <w:tc>
          <w:tcPr>
            <w:tcW w:w="806" w:type="dxa"/>
          </w:tcPr>
          <w:p w14:paraId="60F604DC" w14:textId="77777777" w:rsidR="000500F1" w:rsidRPr="000500F1" w:rsidRDefault="000500F1" w:rsidP="000500F1">
            <w:r w:rsidRPr="000500F1">
              <w:t>3</w:t>
            </w:r>
          </w:p>
        </w:tc>
        <w:tc>
          <w:tcPr>
            <w:tcW w:w="806" w:type="dxa"/>
          </w:tcPr>
          <w:p w14:paraId="59255964" w14:textId="77777777" w:rsidR="000500F1" w:rsidRPr="000500F1" w:rsidRDefault="000500F1" w:rsidP="000500F1">
            <w:r w:rsidRPr="000500F1">
              <w:t>3</w:t>
            </w:r>
          </w:p>
        </w:tc>
        <w:tc>
          <w:tcPr>
            <w:tcW w:w="806" w:type="dxa"/>
          </w:tcPr>
          <w:p w14:paraId="08E339A2" w14:textId="77777777" w:rsidR="000500F1" w:rsidRPr="000500F1" w:rsidRDefault="000500F1" w:rsidP="000500F1">
            <w:r w:rsidRPr="000500F1">
              <w:t>3</w:t>
            </w:r>
          </w:p>
        </w:tc>
        <w:tc>
          <w:tcPr>
            <w:tcW w:w="801" w:type="dxa"/>
          </w:tcPr>
          <w:p w14:paraId="1026A956" w14:textId="77777777" w:rsidR="000500F1" w:rsidRPr="000500F1" w:rsidRDefault="000500F1" w:rsidP="000500F1">
            <w:r w:rsidRPr="000500F1">
              <w:t>0</w:t>
            </w:r>
          </w:p>
        </w:tc>
        <w:tc>
          <w:tcPr>
            <w:tcW w:w="784" w:type="dxa"/>
          </w:tcPr>
          <w:p w14:paraId="363B0589" w14:textId="77777777" w:rsidR="000500F1" w:rsidRPr="000500F1" w:rsidRDefault="000500F1" w:rsidP="000500F1">
            <w:r w:rsidRPr="000500F1">
              <w:t>2</w:t>
            </w:r>
          </w:p>
        </w:tc>
      </w:tr>
      <w:tr w:rsidR="000500F1" w:rsidRPr="000500F1" w14:paraId="1007EAA9" w14:textId="77777777" w:rsidTr="00145812">
        <w:tc>
          <w:tcPr>
            <w:tcW w:w="5261" w:type="dxa"/>
          </w:tcPr>
          <w:p w14:paraId="4A4B3805" w14:textId="77777777" w:rsidR="000500F1" w:rsidRPr="000500F1" w:rsidRDefault="000500F1" w:rsidP="000500F1">
            <w:r w:rsidRPr="000500F1">
              <w:t xml:space="preserve">      New Income Bearing Licenses</w:t>
            </w:r>
          </w:p>
        </w:tc>
        <w:tc>
          <w:tcPr>
            <w:tcW w:w="806" w:type="dxa"/>
          </w:tcPr>
          <w:p w14:paraId="42B0F0C2" w14:textId="77777777" w:rsidR="000500F1" w:rsidRPr="000500F1" w:rsidRDefault="000500F1" w:rsidP="000500F1">
            <w:r w:rsidRPr="000500F1">
              <w:t>1</w:t>
            </w:r>
          </w:p>
        </w:tc>
        <w:tc>
          <w:tcPr>
            <w:tcW w:w="806" w:type="dxa"/>
          </w:tcPr>
          <w:p w14:paraId="19110D42" w14:textId="77777777" w:rsidR="000500F1" w:rsidRPr="000500F1" w:rsidRDefault="000500F1" w:rsidP="000500F1">
            <w:r w:rsidRPr="000500F1">
              <w:t>1</w:t>
            </w:r>
          </w:p>
        </w:tc>
        <w:tc>
          <w:tcPr>
            <w:tcW w:w="806" w:type="dxa"/>
          </w:tcPr>
          <w:p w14:paraId="3E365B18" w14:textId="77777777" w:rsidR="000500F1" w:rsidRPr="000500F1" w:rsidRDefault="000500F1" w:rsidP="000500F1">
            <w:r w:rsidRPr="000500F1">
              <w:t>0</w:t>
            </w:r>
          </w:p>
        </w:tc>
        <w:tc>
          <w:tcPr>
            <w:tcW w:w="801" w:type="dxa"/>
          </w:tcPr>
          <w:p w14:paraId="46517173" w14:textId="77777777" w:rsidR="000500F1" w:rsidRPr="000500F1" w:rsidRDefault="000500F1" w:rsidP="000500F1">
            <w:r w:rsidRPr="000500F1">
              <w:t>4</w:t>
            </w:r>
          </w:p>
        </w:tc>
        <w:tc>
          <w:tcPr>
            <w:tcW w:w="784" w:type="dxa"/>
          </w:tcPr>
          <w:p w14:paraId="3D7A186D" w14:textId="77777777" w:rsidR="000500F1" w:rsidRPr="000500F1" w:rsidRDefault="000500F1" w:rsidP="000500F1">
            <w:r w:rsidRPr="000500F1">
              <w:t>0</w:t>
            </w:r>
          </w:p>
        </w:tc>
      </w:tr>
      <w:tr w:rsidR="000500F1" w:rsidRPr="000500F1" w14:paraId="5EA3C549" w14:textId="77777777" w:rsidTr="00145812">
        <w:tc>
          <w:tcPr>
            <w:tcW w:w="5261" w:type="dxa"/>
          </w:tcPr>
          <w:p w14:paraId="1AC21FCD" w14:textId="77777777" w:rsidR="000500F1" w:rsidRPr="000500F1" w:rsidRDefault="000500F1" w:rsidP="000500F1">
            <w:r w:rsidRPr="000500F1">
              <w:t xml:space="preserve">      Exclusive, Total Active</w:t>
            </w:r>
          </w:p>
        </w:tc>
        <w:tc>
          <w:tcPr>
            <w:tcW w:w="806" w:type="dxa"/>
          </w:tcPr>
          <w:p w14:paraId="244ABD1D" w14:textId="77777777" w:rsidR="000500F1" w:rsidRPr="000500F1" w:rsidRDefault="000500F1" w:rsidP="000500F1">
            <w:r w:rsidRPr="000500F1">
              <w:t>0</w:t>
            </w:r>
          </w:p>
        </w:tc>
        <w:tc>
          <w:tcPr>
            <w:tcW w:w="806" w:type="dxa"/>
          </w:tcPr>
          <w:p w14:paraId="6245B981" w14:textId="77777777" w:rsidR="000500F1" w:rsidRPr="000500F1" w:rsidRDefault="000500F1" w:rsidP="000500F1">
            <w:r w:rsidRPr="000500F1">
              <w:t>0</w:t>
            </w:r>
          </w:p>
        </w:tc>
        <w:tc>
          <w:tcPr>
            <w:tcW w:w="806" w:type="dxa"/>
          </w:tcPr>
          <w:p w14:paraId="27EA7E01" w14:textId="77777777" w:rsidR="000500F1" w:rsidRPr="000500F1" w:rsidRDefault="000500F1" w:rsidP="000500F1">
            <w:r w:rsidRPr="000500F1">
              <w:t>0</w:t>
            </w:r>
          </w:p>
        </w:tc>
        <w:tc>
          <w:tcPr>
            <w:tcW w:w="801" w:type="dxa"/>
          </w:tcPr>
          <w:p w14:paraId="69F0B4AB" w14:textId="77777777" w:rsidR="000500F1" w:rsidRPr="000500F1" w:rsidRDefault="000500F1" w:rsidP="000500F1">
            <w:r w:rsidRPr="000500F1">
              <w:t>2</w:t>
            </w:r>
          </w:p>
        </w:tc>
        <w:tc>
          <w:tcPr>
            <w:tcW w:w="784" w:type="dxa"/>
          </w:tcPr>
          <w:p w14:paraId="524FE8D3" w14:textId="77777777" w:rsidR="000500F1" w:rsidRPr="000500F1" w:rsidRDefault="000500F1" w:rsidP="000500F1">
            <w:r w:rsidRPr="000500F1">
              <w:t>1</w:t>
            </w:r>
          </w:p>
        </w:tc>
      </w:tr>
      <w:tr w:rsidR="000500F1" w:rsidRPr="000500F1" w14:paraId="586A50F8" w14:textId="77777777" w:rsidTr="00145812">
        <w:tc>
          <w:tcPr>
            <w:tcW w:w="5261" w:type="dxa"/>
          </w:tcPr>
          <w:p w14:paraId="4BD46B2B" w14:textId="77777777" w:rsidR="000500F1" w:rsidRPr="000500F1" w:rsidRDefault="000500F1" w:rsidP="000500F1">
            <w:r w:rsidRPr="000500F1">
              <w:t xml:space="preserve">      Partially Exclusive, Total Active</w:t>
            </w:r>
          </w:p>
        </w:tc>
        <w:tc>
          <w:tcPr>
            <w:tcW w:w="806" w:type="dxa"/>
          </w:tcPr>
          <w:p w14:paraId="2F202ECF" w14:textId="77777777" w:rsidR="000500F1" w:rsidRPr="000500F1" w:rsidRDefault="000500F1" w:rsidP="000500F1">
            <w:r w:rsidRPr="000500F1">
              <w:t>0</w:t>
            </w:r>
          </w:p>
        </w:tc>
        <w:tc>
          <w:tcPr>
            <w:tcW w:w="806" w:type="dxa"/>
          </w:tcPr>
          <w:p w14:paraId="00B07B0B" w14:textId="77777777" w:rsidR="000500F1" w:rsidRPr="000500F1" w:rsidRDefault="000500F1" w:rsidP="000500F1">
            <w:r w:rsidRPr="000500F1">
              <w:t>0</w:t>
            </w:r>
          </w:p>
        </w:tc>
        <w:tc>
          <w:tcPr>
            <w:tcW w:w="806" w:type="dxa"/>
          </w:tcPr>
          <w:p w14:paraId="0D6CFF2F" w14:textId="77777777" w:rsidR="000500F1" w:rsidRPr="000500F1" w:rsidRDefault="000500F1" w:rsidP="000500F1">
            <w:r w:rsidRPr="000500F1">
              <w:t>0</w:t>
            </w:r>
          </w:p>
        </w:tc>
        <w:tc>
          <w:tcPr>
            <w:tcW w:w="801" w:type="dxa"/>
          </w:tcPr>
          <w:p w14:paraId="29866BAB" w14:textId="77777777" w:rsidR="000500F1" w:rsidRPr="000500F1" w:rsidRDefault="000500F1" w:rsidP="000500F1">
            <w:r w:rsidRPr="000500F1">
              <w:t>1</w:t>
            </w:r>
          </w:p>
        </w:tc>
        <w:tc>
          <w:tcPr>
            <w:tcW w:w="784" w:type="dxa"/>
          </w:tcPr>
          <w:p w14:paraId="24DD49F0" w14:textId="77777777" w:rsidR="000500F1" w:rsidRPr="000500F1" w:rsidRDefault="000500F1" w:rsidP="000500F1">
            <w:r w:rsidRPr="000500F1">
              <w:t>1</w:t>
            </w:r>
          </w:p>
        </w:tc>
      </w:tr>
      <w:tr w:rsidR="000500F1" w:rsidRPr="000500F1" w14:paraId="36D63A1B" w14:textId="77777777" w:rsidTr="00145812">
        <w:tc>
          <w:tcPr>
            <w:tcW w:w="5261" w:type="dxa"/>
          </w:tcPr>
          <w:p w14:paraId="01B114F3" w14:textId="77777777" w:rsidR="000500F1" w:rsidRPr="000500F1" w:rsidRDefault="000500F1" w:rsidP="000500F1">
            <w:r w:rsidRPr="000500F1">
              <w:t xml:space="preserve">      Nonexclusive, Total Active</w:t>
            </w:r>
          </w:p>
        </w:tc>
        <w:tc>
          <w:tcPr>
            <w:tcW w:w="806" w:type="dxa"/>
          </w:tcPr>
          <w:p w14:paraId="017D57CB" w14:textId="77777777" w:rsidR="000500F1" w:rsidRPr="000500F1" w:rsidRDefault="000500F1" w:rsidP="000500F1">
            <w:r w:rsidRPr="000500F1">
              <w:t>0</w:t>
            </w:r>
          </w:p>
        </w:tc>
        <w:tc>
          <w:tcPr>
            <w:tcW w:w="806" w:type="dxa"/>
          </w:tcPr>
          <w:p w14:paraId="409DABFD" w14:textId="77777777" w:rsidR="000500F1" w:rsidRPr="000500F1" w:rsidRDefault="000500F1" w:rsidP="000500F1">
            <w:r w:rsidRPr="000500F1">
              <w:t>0</w:t>
            </w:r>
          </w:p>
        </w:tc>
        <w:tc>
          <w:tcPr>
            <w:tcW w:w="806" w:type="dxa"/>
          </w:tcPr>
          <w:p w14:paraId="7BDBDDF2" w14:textId="77777777" w:rsidR="000500F1" w:rsidRPr="000500F1" w:rsidRDefault="000500F1" w:rsidP="000500F1">
            <w:r w:rsidRPr="000500F1">
              <w:t>0</w:t>
            </w:r>
          </w:p>
        </w:tc>
        <w:tc>
          <w:tcPr>
            <w:tcW w:w="801" w:type="dxa"/>
          </w:tcPr>
          <w:p w14:paraId="3CDE803B" w14:textId="77777777" w:rsidR="000500F1" w:rsidRPr="000500F1" w:rsidRDefault="000500F1" w:rsidP="000500F1">
            <w:r w:rsidRPr="000500F1">
              <w:t>0</w:t>
            </w:r>
          </w:p>
        </w:tc>
        <w:tc>
          <w:tcPr>
            <w:tcW w:w="784" w:type="dxa"/>
          </w:tcPr>
          <w:p w14:paraId="3EEA1FE4" w14:textId="77777777" w:rsidR="000500F1" w:rsidRPr="000500F1" w:rsidRDefault="000500F1" w:rsidP="000500F1">
            <w:r w:rsidRPr="000500F1">
              <w:t>0</w:t>
            </w:r>
          </w:p>
        </w:tc>
      </w:tr>
      <w:tr w:rsidR="000500F1" w:rsidRPr="000500F1" w14:paraId="2358E0A2" w14:textId="77777777" w:rsidTr="00145812">
        <w:tc>
          <w:tcPr>
            <w:tcW w:w="5261" w:type="dxa"/>
          </w:tcPr>
          <w:p w14:paraId="537FF433" w14:textId="77777777" w:rsidR="000500F1" w:rsidRPr="000500F1" w:rsidRDefault="000500F1" w:rsidP="000500F1">
            <w:r w:rsidRPr="000500F1">
              <w:t>Other Licenses, Total Active</w:t>
            </w:r>
          </w:p>
        </w:tc>
        <w:tc>
          <w:tcPr>
            <w:tcW w:w="806" w:type="dxa"/>
          </w:tcPr>
          <w:p w14:paraId="6EC832EC" w14:textId="77777777" w:rsidR="000500F1" w:rsidRPr="000500F1" w:rsidRDefault="000500F1" w:rsidP="000500F1">
            <w:r w:rsidRPr="000500F1">
              <w:t>0</w:t>
            </w:r>
          </w:p>
        </w:tc>
        <w:tc>
          <w:tcPr>
            <w:tcW w:w="806" w:type="dxa"/>
          </w:tcPr>
          <w:p w14:paraId="1156853E" w14:textId="77777777" w:rsidR="000500F1" w:rsidRPr="000500F1" w:rsidRDefault="000500F1" w:rsidP="000500F1">
            <w:r w:rsidRPr="000500F1">
              <w:t>0</w:t>
            </w:r>
          </w:p>
        </w:tc>
        <w:tc>
          <w:tcPr>
            <w:tcW w:w="806" w:type="dxa"/>
          </w:tcPr>
          <w:p w14:paraId="3F425897" w14:textId="77777777" w:rsidR="000500F1" w:rsidRPr="000500F1" w:rsidRDefault="000500F1" w:rsidP="000500F1">
            <w:r w:rsidRPr="000500F1">
              <w:t>0</w:t>
            </w:r>
          </w:p>
        </w:tc>
        <w:tc>
          <w:tcPr>
            <w:tcW w:w="801" w:type="dxa"/>
          </w:tcPr>
          <w:p w14:paraId="6F4D741E" w14:textId="77777777" w:rsidR="000500F1" w:rsidRPr="000500F1" w:rsidRDefault="000500F1" w:rsidP="000500F1">
            <w:r w:rsidRPr="000500F1">
              <w:t>0</w:t>
            </w:r>
          </w:p>
        </w:tc>
        <w:tc>
          <w:tcPr>
            <w:tcW w:w="784" w:type="dxa"/>
          </w:tcPr>
          <w:p w14:paraId="096C85E2" w14:textId="77777777" w:rsidR="000500F1" w:rsidRPr="000500F1" w:rsidRDefault="000500F1" w:rsidP="000500F1">
            <w:r w:rsidRPr="000500F1">
              <w:t>0</w:t>
            </w:r>
          </w:p>
        </w:tc>
      </w:tr>
      <w:tr w:rsidR="000500F1" w:rsidRPr="000500F1" w14:paraId="13277FF4" w14:textId="77777777" w:rsidTr="00145812">
        <w:tc>
          <w:tcPr>
            <w:tcW w:w="5261" w:type="dxa"/>
          </w:tcPr>
          <w:p w14:paraId="23AE5CCD" w14:textId="77777777" w:rsidR="000500F1" w:rsidRPr="000500F1" w:rsidRDefault="000500F1" w:rsidP="000500F1">
            <w:r w:rsidRPr="000500F1">
              <w:t xml:space="preserve">      New Other Licenses</w:t>
            </w:r>
          </w:p>
        </w:tc>
        <w:tc>
          <w:tcPr>
            <w:tcW w:w="806" w:type="dxa"/>
          </w:tcPr>
          <w:p w14:paraId="732AF5EB" w14:textId="77777777" w:rsidR="000500F1" w:rsidRPr="000500F1" w:rsidRDefault="000500F1" w:rsidP="000500F1">
            <w:r w:rsidRPr="000500F1">
              <w:t>0</w:t>
            </w:r>
          </w:p>
        </w:tc>
        <w:tc>
          <w:tcPr>
            <w:tcW w:w="806" w:type="dxa"/>
          </w:tcPr>
          <w:p w14:paraId="52292338" w14:textId="77777777" w:rsidR="000500F1" w:rsidRPr="000500F1" w:rsidRDefault="000500F1" w:rsidP="000500F1">
            <w:r w:rsidRPr="000500F1">
              <w:t>0</w:t>
            </w:r>
          </w:p>
        </w:tc>
        <w:tc>
          <w:tcPr>
            <w:tcW w:w="806" w:type="dxa"/>
          </w:tcPr>
          <w:p w14:paraId="0F38F616" w14:textId="77777777" w:rsidR="000500F1" w:rsidRPr="000500F1" w:rsidRDefault="000500F1" w:rsidP="000500F1">
            <w:r w:rsidRPr="000500F1">
              <w:t>0</w:t>
            </w:r>
          </w:p>
        </w:tc>
        <w:tc>
          <w:tcPr>
            <w:tcW w:w="801" w:type="dxa"/>
          </w:tcPr>
          <w:p w14:paraId="17455C32" w14:textId="77777777" w:rsidR="000500F1" w:rsidRPr="000500F1" w:rsidRDefault="000500F1" w:rsidP="000500F1">
            <w:r w:rsidRPr="000500F1">
              <w:t>0</w:t>
            </w:r>
          </w:p>
        </w:tc>
        <w:tc>
          <w:tcPr>
            <w:tcW w:w="784" w:type="dxa"/>
          </w:tcPr>
          <w:p w14:paraId="5AEEB876" w14:textId="77777777" w:rsidR="000500F1" w:rsidRPr="000500F1" w:rsidRDefault="000500F1" w:rsidP="000500F1">
            <w:r w:rsidRPr="000500F1">
              <w:t>0</w:t>
            </w:r>
          </w:p>
        </w:tc>
      </w:tr>
      <w:tr w:rsidR="000500F1" w:rsidRPr="000500F1" w14:paraId="7D7325C3" w14:textId="77777777" w:rsidTr="00145812">
        <w:tc>
          <w:tcPr>
            <w:tcW w:w="5261" w:type="dxa"/>
            <w:tcBorders>
              <w:bottom w:val="single" w:sz="4" w:space="0" w:color="auto"/>
            </w:tcBorders>
          </w:tcPr>
          <w:p w14:paraId="6D647B7F" w14:textId="77777777" w:rsidR="000500F1" w:rsidRPr="000500F1" w:rsidRDefault="000500F1" w:rsidP="000500F1">
            <w:r w:rsidRPr="000500F1">
              <w:t xml:space="preserve">      New Other Licenses Granted to Small </w:t>
            </w:r>
          </w:p>
          <w:p w14:paraId="42E29865" w14:textId="77777777" w:rsidR="000500F1" w:rsidRPr="000500F1" w:rsidRDefault="000500F1" w:rsidP="000500F1">
            <w:r w:rsidRPr="000500F1">
              <w:t xml:space="preserve">      Businesses</w:t>
            </w:r>
          </w:p>
        </w:tc>
        <w:tc>
          <w:tcPr>
            <w:tcW w:w="806" w:type="dxa"/>
            <w:tcBorders>
              <w:bottom w:val="single" w:sz="4" w:space="0" w:color="auto"/>
            </w:tcBorders>
          </w:tcPr>
          <w:p w14:paraId="09FD2BD8" w14:textId="77777777" w:rsidR="000500F1" w:rsidRPr="000500F1" w:rsidRDefault="000500F1" w:rsidP="000500F1">
            <w:r w:rsidRPr="000500F1">
              <w:t>0</w:t>
            </w:r>
          </w:p>
        </w:tc>
        <w:tc>
          <w:tcPr>
            <w:tcW w:w="806" w:type="dxa"/>
            <w:tcBorders>
              <w:bottom w:val="single" w:sz="4" w:space="0" w:color="auto"/>
            </w:tcBorders>
          </w:tcPr>
          <w:p w14:paraId="5087A614" w14:textId="77777777" w:rsidR="000500F1" w:rsidRPr="000500F1" w:rsidRDefault="000500F1" w:rsidP="000500F1">
            <w:r w:rsidRPr="000500F1">
              <w:t>0</w:t>
            </w:r>
          </w:p>
        </w:tc>
        <w:tc>
          <w:tcPr>
            <w:tcW w:w="806" w:type="dxa"/>
            <w:tcBorders>
              <w:bottom w:val="single" w:sz="4" w:space="0" w:color="auto"/>
            </w:tcBorders>
          </w:tcPr>
          <w:p w14:paraId="7EFB3856" w14:textId="77777777" w:rsidR="000500F1" w:rsidRPr="000500F1" w:rsidRDefault="000500F1" w:rsidP="000500F1">
            <w:r w:rsidRPr="000500F1">
              <w:t>0</w:t>
            </w:r>
          </w:p>
        </w:tc>
        <w:tc>
          <w:tcPr>
            <w:tcW w:w="801" w:type="dxa"/>
            <w:tcBorders>
              <w:bottom w:val="single" w:sz="4" w:space="0" w:color="auto"/>
            </w:tcBorders>
          </w:tcPr>
          <w:p w14:paraId="06AD2ABD" w14:textId="77777777" w:rsidR="000500F1" w:rsidRPr="000500F1" w:rsidRDefault="000500F1" w:rsidP="000500F1">
            <w:r w:rsidRPr="000500F1">
              <w:t>0</w:t>
            </w:r>
          </w:p>
        </w:tc>
        <w:tc>
          <w:tcPr>
            <w:tcW w:w="784" w:type="dxa"/>
            <w:tcBorders>
              <w:bottom w:val="single" w:sz="4" w:space="0" w:color="auto"/>
            </w:tcBorders>
          </w:tcPr>
          <w:p w14:paraId="3C4D52ED" w14:textId="77777777" w:rsidR="000500F1" w:rsidRPr="000500F1" w:rsidRDefault="000500F1" w:rsidP="000500F1">
            <w:r w:rsidRPr="000500F1">
              <w:t>0</w:t>
            </w:r>
          </w:p>
        </w:tc>
      </w:tr>
      <w:tr w:rsidR="000500F1" w:rsidRPr="000500F1" w14:paraId="5D55304E" w14:textId="77777777" w:rsidTr="00145812">
        <w:tc>
          <w:tcPr>
            <w:tcW w:w="5261" w:type="dxa"/>
          </w:tcPr>
          <w:p w14:paraId="457C979C" w14:textId="77777777" w:rsidR="000500F1" w:rsidRPr="000500F1" w:rsidRDefault="000500F1" w:rsidP="000500F1">
            <w:r w:rsidRPr="000500F1">
              <w:t>Elapsed Amount of Time for Granting Invention Licenses</w:t>
            </w:r>
          </w:p>
        </w:tc>
        <w:tc>
          <w:tcPr>
            <w:tcW w:w="806" w:type="dxa"/>
          </w:tcPr>
          <w:p w14:paraId="57D1198E" w14:textId="77777777" w:rsidR="000500F1" w:rsidRPr="000500F1" w:rsidRDefault="000500F1" w:rsidP="000500F1">
            <w:r w:rsidRPr="000500F1">
              <w:t>NA</w:t>
            </w:r>
          </w:p>
        </w:tc>
        <w:tc>
          <w:tcPr>
            <w:tcW w:w="806" w:type="dxa"/>
          </w:tcPr>
          <w:p w14:paraId="0BCE4D48" w14:textId="77777777" w:rsidR="000500F1" w:rsidRPr="000500F1" w:rsidRDefault="000500F1" w:rsidP="000500F1">
            <w:r w:rsidRPr="000500F1">
              <w:t>NA</w:t>
            </w:r>
          </w:p>
        </w:tc>
        <w:tc>
          <w:tcPr>
            <w:tcW w:w="806" w:type="dxa"/>
          </w:tcPr>
          <w:p w14:paraId="04777DD4" w14:textId="77777777" w:rsidR="000500F1" w:rsidRPr="000500F1" w:rsidRDefault="000500F1" w:rsidP="000500F1">
            <w:r w:rsidRPr="000500F1">
              <w:t>NA</w:t>
            </w:r>
          </w:p>
        </w:tc>
        <w:tc>
          <w:tcPr>
            <w:tcW w:w="801" w:type="dxa"/>
          </w:tcPr>
          <w:p w14:paraId="7722EA1B" w14:textId="77777777" w:rsidR="000500F1" w:rsidRPr="000500F1" w:rsidRDefault="000500F1" w:rsidP="000500F1">
            <w:r w:rsidRPr="000500F1">
              <w:t>NA</w:t>
            </w:r>
          </w:p>
        </w:tc>
        <w:tc>
          <w:tcPr>
            <w:tcW w:w="784" w:type="dxa"/>
          </w:tcPr>
          <w:p w14:paraId="117C0193" w14:textId="77777777" w:rsidR="000500F1" w:rsidRPr="000500F1" w:rsidRDefault="000500F1" w:rsidP="000500F1">
            <w:r w:rsidRPr="000500F1">
              <w:t>NA</w:t>
            </w:r>
          </w:p>
        </w:tc>
      </w:tr>
      <w:tr w:rsidR="000500F1" w:rsidRPr="000500F1" w14:paraId="53BFC6CB" w14:textId="77777777" w:rsidTr="00145812">
        <w:tc>
          <w:tcPr>
            <w:tcW w:w="5261" w:type="dxa"/>
          </w:tcPr>
          <w:p w14:paraId="282AFA40" w14:textId="77777777" w:rsidR="000500F1" w:rsidRPr="000500F1" w:rsidRDefault="000500F1" w:rsidP="000500F1">
            <w:r w:rsidRPr="000500F1">
              <w:t xml:space="preserve">      Average (months</w:t>
            </w:r>
          </w:p>
        </w:tc>
        <w:tc>
          <w:tcPr>
            <w:tcW w:w="806" w:type="dxa"/>
          </w:tcPr>
          <w:p w14:paraId="13CF41E5" w14:textId="77777777" w:rsidR="000500F1" w:rsidRPr="000500F1" w:rsidRDefault="000500F1" w:rsidP="000500F1">
            <w:r w:rsidRPr="000500F1">
              <w:t>NA</w:t>
            </w:r>
          </w:p>
        </w:tc>
        <w:tc>
          <w:tcPr>
            <w:tcW w:w="806" w:type="dxa"/>
          </w:tcPr>
          <w:p w14:paraId="111F9D1A" w14:textId="77777777" w:rsidR="000500F1" w:rsidRPr="000500F1" w:rsidRDefault="000500F1" w:rsidP="000500F1">
            <w:r w:rsidRPr="000500F1">
              <w:t>NA</w:t>
            </w:r>
          </w:p>
        </w:tc>
        <w:tc>
          <w:tcPr>
            <w:tcW w:w="806" w:type="dxa"/>
          </w:tcPr>
          <w:p w14:paraId="04DA96B0" w14:textId="77777777" w:rsidR="000500F1" w:rsidRPr="000500F1" w:rsidRDefault="000500F1" w:rsidP="000500F1">
            <w:r w:rsidRPr="000500F1">
              <w:t>NA</w:t>
            </w:r>
          </w:p>
        </w:tc>
        <w:tc>
          <w:tcPr>
            <w:tcW w:w="801" w:type="dxa"/>
          </w:tcPr>
          <w:p w14:paraId="50D37FCE" w14:textId="77777777" w:rsidR="000500F1" w:rsidRPr="000500F1" w:rsidRDefault="000500F1" w:rsidP="000500F1">
            <w:r w:rsidRPr="000500F1">
              <w:t>NA</w:t>
            </w:r>
          </w:p>
        </w:tc>
        <w:tc>
          <w:tcPr>
            <w:tcW w:w="784" w:type="dxa"/>
          </w:tcPr>
          <w:p w14:paraId="5CDADF92" w14:textId="77777777" w:rsidR="000500F1" w:rsidRPr="000500F1" w:rsidRDefault="000500F1" w:rsidP="000500F1">
            <w:r w:rsidRPr="000500F1">
              <w:t>NA</w:t>
            </w:r>
          </w:p>
        </w:tc>
      </w:tr>
      <w:tr w:rsidR="000500F1" w:rsidRPr="000500F1" w14:paraId="455EA1A8" w14:textId="77777777" w:rsidTr="00145812">
        <w:tc>
          <w:tcPr>
            <w:tcW w:w="5261" w:type="dxa"/>
          </w:tcPr>
          <w:p w14:paraId="7F3A4304" w14:textId="77777777" w:rsidR="000500F1" w:rsidRPr="000500F1" w:rsidRDefault="000500F1" w:rsidP="000500F1">
            <w:r w:rsidRPr="000500F1">
              <w:t xml:space="preserve">      Minimum (months)</w:t>
            </w:r>
          </w:p>
        </w:tc>
        <w:tc>
          <w:tcPr>
            <w:tcW w:w="806" w:type="dxa"/>
          </w:tcPr>
          <w:p w14:paraId="7929F885" w14:textId="77777777" w:rsidR="000500F1" w:rsidRPr="000500F1" w:rsidRDefault="000500F1" w:rsidP="000500F1">
            <w:r w:rsidRPr="000500F1">
              <w:t>NA</w:t>
            </w:r>
          </w:p>
        </w:tc>
        <w:tc>
          <w:tcPr>
            <w:tcW w:w="806" w:type="dxa"/>
          </w:tcPr>
          <w:p w14:paraId="5A30011F" w14:textId="77777777" w:rsidR="000500F1" w:rsidRPr="000500F1" w:rsidRDefault="000500F1" w:rsidP="000500F1">
            <w:r w:rsidRPr="000500F1">
              <w:t>NA</w:t>
            </w:r>
          </w:p>
        </w:tc>
        <w:tc>
          <w:tcPr>
            <w:tcW w:w="806" w:type="dxa"/>
          </w:tcPr>
          <w:p w14:paraId="7EA7F75F" w14:textId="77777777" w:rsidR="000500F1" w:rsidRPr="000500F1" w:rsidRDefault="000500F1" w:rsidP="000500F1">
            <w:r w:rsidRPr="000500F1">
              <w:t>NA</w:t>
            </w:r>
          </w:p>
        </w:tc>
        <w:tc>
          <w:tcPr>
            <w:tcW w:w="801" w:type="dxa"/>
          </w:tcPr>
          <w:p w14:paraId="0CC9F40C" w14:textId="77777777" w:rsidR="000500F1" w:rsidRPr="000500F1" w:rsidRDefault="000500F1" w:rsidP="000500F1">
            <w:r w:rsidRPr="000500F1">
              <w:t>NA</w:t>
            </w:r>
          </w:p>
        </w:tc>
        <w:tc>
          <w:tcPr>
            <w:tcW w:w="784" w:type="dxa"/>
          </w:tcPr>
          <w:p w14:paraId="3AA41FA4" w14:textId="77777777" w:rsidR="000500F1" w:rsidRPr="000500F1" w:rsidRDefault="000500F1" w:rsidP="000500F1">
            <w:r w:rsidRPr="000500F1">
              <w:t>NA</w:t>
            </w:r>
          </w:p>
        </w:tc>
      </w:tr>
      <w:tr w:rsidR="000500F1" w:rsidRPr="000500F1" w14:paraId="58959955" w14:textId="77777777" w:rsidTr="00145812">
        <w:tc>
          <w:tcPr>
            <w:tcW w:w="5261" w:type="dxa"/>
          </w:tcPr>
          <w:p w14:paraId="5A6C8405" w14:textId="77777777" w:rsidR="000500F1" w:rsidRPr="000500F1" w:rsidRDefault="000500F1" w:rsidP="000500F1">
            <w:r w:rsidRPr="000500F1">
              <w:t xml:space="preserve">      Maximum (months)</w:t>
            </w:r>
          </w:p>
        </w:tc>
        <w:tc>
          <w:tcPr>
            <w:tcW w:w="806" w:type="dxa"/>
          </w:tcPr>
          <w:p w14:paraId="1011936E" w14:textId="77777777" w:rsidR="000500F1" w:rsidRPr="000500F1" w:rsidRDefault="000500F1" w:rsidP="000500F1">
            <w:r w:rsidRPr="000500F1">
              <w:t>NA</w:t>
            </w:r>
          </w:p>
        </w:tc>
        <w:tc>
          <w:tcPr>
            <w:tcW w:w="806" w:type="dxa"/>
          </w:tcPr>
          <w:p w14:paraId="0D518DC0" w14:textId="77777777" w:rsidR="000500F1" w:rsidRPr="000500F1" w:rsidRDefault="000500F1" w:rsidP="000500F1">
            <w:r w:rsidRPr="000500F1">
              <w:t>NA</w:t>
            </w:r>
          </w:p>
        </w:tc>
        <w:tc>
          <w:tcPr>
            <w:tcW w:w="806" w:type="dxa"/>
          </w:tcPr>
          <w:p w14:paraId="0CB7A75D" w14:textId="77777777" w:rsidR="000500F1" w:rsidRPr="000500F1" w:rsidRDefault="000500F1" w:rsidP="000500F1">
            <w:r w:rsidRPr="000500F1">
              <w:t>NA</w:t>
            </w:r>
          </w:p>
        </w:tc>
        <w:tc>
          <w:tcPr>
            <w:tcW w:w="801" w:type="dxa"/>
          </w:tcPr>
          <w:p w14:paraId="7C9C5F7E" w14:textId="77777777" w:rsidR="000500F1" w:rsidRPr="000500F1" w:rsidRDefault="000500F1" w:rsidP="000500F1">
            <w:r w:rsidRPr="000500F1">
              <w:t>NA</w:t>
            </w:r>
          </w:p>
        </w:tc>
        <w:tc>
          <w:tcPr>
            <w:tcW w:w="784" w:type="dxa"/>
          </w:tcPr>
          <w:p w14:paraId="16085445" w14:textId="77777777" w:rsidR="000500F1" w:rsidRPr="000500F1" w:rsidRDefault="000500F1" w:rsidP="000500F1">
            <w:r w:rsidRPr="000500F1">
              <w:t>NA</w:t>
            </w:r>
          </w:p>
        </w:tc>
      </w:tr>
      <w:tr w:rsidR="000500F1" w:rsidRPr="000500F1" w14:paraId="0D26BFFA" w14:textId="77777777" w:rsidTr="00145812">
        <w:tc>
          <w:tcPr>
            <w:tcW w:w="5261" w:type="dxa"/>
          </w:tcPr>
          <w:p w14:paraId="7E28298B" w14:textId="77777777" w:rsidR="000500F1" w:rsidRPr="000500F1" w:rsidRDefault="000500F1" w:rsidP="000500F1">
            <w:r w:rsidRPr="000500F1">
              <w:t xml:space="preserve">      Licenses Terminated for Cause</w:t>
            </w:r>
          </w:p>
        </w:tc>
        <w:tc>
          <w:tcPr>
            <w:tcW w:w="806" w:type="dxa"/>
          </w:tcPr>
          <w:p w14:paraId="65CEA744" w14:textId="77777777" w:rsidR="000500F1" w:rsidRPr="000500F1" w:rsidRDefault="000500F1" w:rsidP="000500F1">
            <w:r w:rsidRPr="000500F1">
              <w:t>NA</w:t>
            </w:r>
          </w:p>
        </w:tc>
        <w:tc>
          <w:tcPr>
            <w:tcW w:w="806" w:type="dxa"/>
          </w:tcPr>
          <w:p w14:paraId="43F3B997" w14:textId="77777777" w:rsidR="000500F1" w:rsidRPr="000500F1" w:rsidRDefault="000500F1" w:rsidP="000500F1">
            <w:r w:rsidRPr="000500F1">
              <w:t>NA</w:t>
            </w:r>
          </w:p>
        </w:tc>
        <w:tc>
          <w:tcPr>
            <w:tcW w:w="806" w:type="dxa"/>
          </w:tcPr>
          <w:p w14:paraId="7823A02E" w14:textId="77777777" w:rsidR="000500F1" w:rsidRPr="000500F1" w:rsidRDefault="000500F1" w:rsidP="000500F1">
            <w:r w:rsidRPr="000500F1">
              <w:t>NA</w:t>
            </w:r>
          </w:p>
        </w:tc>
        <w:tc>
          <w:tcPr>
            <w:tcW w:w="801" w:type="dxa"/>
          </w:tcPr>
          <w:p w14:paraId="09C50C1C" w14:textId="77777777" w:rsidR="000500F1" w:rsidRPr="000500F1" w:rsidRDefault="000500F1" w:rsidP="000500F1">
            <w:r w:rsidRPr="000500F1">
              <w:t>NA</w:t>
            </w:r>
          </w:p>
        </w:tc>
        <w:tc>
          <w:tcPr>
            <w:tcW w:w="784" w:type="dxa"/>
          </w:tcPr>
          <w:p w14:paraId="676E4A56" w14:textId="77777777" w:rsidR="000500F1" w:rsidRPr="000500F1" w:rsidRDefault="000500F1" w:rsidP="000500F1">
            <w:r w:rsidRPr="000500F1">
              <w:t>NA</w:t>
            </w:r>
          </w:p>
        </w:tc>
      </w:tr>
    </w:tbl>
    <w:p w14:paraId="229FA187" w14:textId="77777777" w:rsidR="000500F1" w:rsidRPr="000500F1" w:rsidRDefault="000500F1" w:rsidP="000500F1">
      <w:r w:rsidRPr="000500F1">
        <w:br w:type="page"/>
      </w:r>
    </w:p>
    <w:p w14:paraId="61048B5D" w14:textId="77777777" w:rsidR="000500F1" w:rsidRPr="000500F1" w:rsidRDefault="000500F1" w:rsidP="000500F1">
      <w:r w:rsidRPr="000500F1">
        <w:lastRenderedPageBreak/>
        <w:t>Table 3: Income from Licensing – Combined Programs</w:t>
      </w:r>
    </w:p>
    <w:tbl>
      <w:tblPr>
        <w:tblStyle w:val="TableGrid"/>
        <w:tblW w:w="4609" w:type="pct"/>
        <w:tblLook w:val="04A0" w:firstRow="1" w:lastRow="0" w:firstColumn="1" w:lastColumn="0" w:noHBand="0" w:noVBand="1"/>
        <w:tblDescription w:val="Sample table for template instructions"/>
      </w:tblPr>
      <w:tblGrid>
        <w:gridCol w:w="4627"/>
        <w:gridCol w:w="789"/>
        <w:gridCol w:w="787"/>
        <w:gridCol w:w="885"/>
        <w:gridCol w:w="885"/>
        <w:gridCol w:w="1310"/>
      </w:tblGrid>
      <w:tr w:rsidR="000500F1" w:rsidRPr="000500F1" w14:paraId="59011EC9" w14:textId="77777777" w:rsidTr="00145812">
        <w:trPr>
          <w:tblHeader/>
        </w:trPr>
        <w:tc>
          <w:tcPr>
            <w:tcW w:w="4627" w:type="dxa"/>
            <w:shd w:val="clear" w:color="auto" w:fill="D9D9D9" w:themeFill="background1" w:themeFillShade="D9"/>
          </w:tcPr>
          <w:p w14:paraId="06634807" w14:textId="77777777" w:rsidR="000500F1" w:rsidRPr="000500F1" w:rsidRDefault="000500F1" w:rsidP="000500F1">
            <w:r w:rsidRPr="000500F1">
              <w:t>Licensing income</w:t>
            </w:r>
          </w:p>
        </w:tc>
        <w:tc>
          <w:tcPr>
            <w:tcW w:w="789" w:type="dxa"/>
            <w:shd w:val="clear" w:color="auto" w:fill="D9D9D9" w:themeFill="background1" w:themeFillShade="D9"/>
          </w:tcPr>
          <w:p w14:paraId="29CEF4D5" w14:textId="77777777" w:rsidR="000500F1" w:rsidRPr="000500F1" w:rsidRDefault="000500F1" w:rsidP="000500F1">
            <w:r w:rsidRPr="000500F1">
              <w:t>2019</w:t>
            </w:r>
          </w:p>
        </w:tc>
        <w:tc>
          <w:tcPr>
            <w:tcW w:w="787" w:type="dxa"/>
            <w:shd w:val="clear" w:color="auto" w:fill="D9D9D9" w:themeFill="background1" w:themeFillShade="D9"/>
          </w:tcPr>
          <w:p w14:paraId="03936361" w14:textId="77777777" w:rsidR="000500F1" w:rsidRPr="000500F1" w:rsidRDefault="000500F1" w:rsidP="000500F1">
            <w:r w:rsidRPr="000500F1">
              <w:t>2020</w:t>
            </w:r>
          </w:p>
        </w:tc>
        <w:tc>
          <w:tcPr>
            <w:tcW w:w="885" w:type="dxa"/>
            <w:shd w:val="clear" w:color="auto" w:fill="D9D9D9" w:themeFill="background1" w:themeFillShade="D9"/>
          </w:tcPr>
          <w:p w14:paraId="4858251A" w14:textId="77777777" w:rsidR="000500F1" w:rsidRPr="000500F1" w:rsidRDefault="000500F1" w:rsidP="000500F1">
            <w:r w:rsidRPr="000500F1">
              <w:t>2021</w:t>
            </w:r>
          </w:p>
        </w:tc>
        <w:tc>
          <w:tcPr>
            <w:tcW w:w="885" w:type="dxa"/>
            <w:shd w:val="clear" w:color="auto" w:fill="D9D9D9" w:themeFill="background1" w:themeFillShade="D9"/>
          </w:tcPr>
          <w:p w14:paraId="78943E5E" w14:textId="77777777" w:rsidR="000500F1" w:rsidRPr="000500F1" w:rsidRDefault="000500F1" w:rsidP="000500F1">
            <w:r w:rsidRPr="000500F1">
              <w:t>2022</w:t>
            </w:r>
          </w:p>
        </w:tc>
        <w:tc>
          <w:tcPr>
            <w:tcW w:w="1310" w:type="dxa"/>
            <w:shd w:val="clear" w:color="auto" w:fill="D9D9D9" w:themeFill="background1" w:themeFillShade="D9"/>
          </w:tcPr>
          <w:p w14:paraId="6A2999E0" w14:textId="77777777" w:rsidR="000500F1" w:rsidRPr="000500F1" w:rsidRDefault="000500F1" w:rsidP="000500F1">
            <w:r w:rsidRPr="000500F1">
              <w:t>2023</w:t>
            </w:r>
          </w:p>
        </w:tc>
      </w:tr>
      <w:tr w:rsidR="000500F1" w:rsidRPr="000500F1" w14:paraId="0191C39F" w14:textId="77777777" w:rsidTr="00145812">
        <w:tc>
          <w:tcPr>
            <w:tcW w:w="4627" w:type="dxa"/>
          </w:tcPr>
          <w:p w14:paraId="1B06DAE4" w14:textId="77777777" w:rsidR="000500F1" w:rsidRPr="000500F1" w:rsidRDefault="000500F1" w:rsidP="000500F1">
            <w:r w:rsidRPr="000500F1">
              <w:t>Invention License Income</w:t>
            </w:r>
          </w:p>
        </w:tc>
        <w:tc>
          <w:tcPr>
            <w:tcW w:w="789" w:type="dxa"/>
          </w:tcPr>
          <w:p w14:paraId="71081672" w14:textId="77777777" w:rsidR="000500F1" w:rsidRPr="000500F1" w:rsidRDefault="000500F1" w:rsidP="000500F1">
            <w:r w:rsidRPr="000500F1">
              <w:t>158</w:t>
            </w:r>
          </w:p>
        </w:tc>
        <w:tc>
          <w:tcPr>
            <w:tcW w:w="787" w:type="dxa"/>
          </w:tcPr>
          <w:p w14:paraId="5E520767" w14:textId="77777777" w:rsidR="000500F1" w:rsidRPr="000500F1" w:rsidRDefault="000500F1" w:rsidP="000500F1">
            <w:r w:rsidRPr="000500F1">
              <w:t>140</w:t>
            </w:r>
          </w:p>
        </w:tc>
        <w:tc>
          <w:tcPr>
            <w:tcW w:w="885" w:type="dxa"/>
          </w:tcPr>
          <w:p w14:paraId="0BF2DB27" w14:textId="77777777" w:rsidR="000500F1" w:rsidRPr="000500F1" w:rsidRDefault="000500F1" w:rsidP="000500F1">
            <w:r w:rsidRPr="000500F1">
              <w:t>12,937</w:t>
            </w:r>
          </w:p>
        </w:tc>
        <w:tc>
          <w:tcPr>
            <w:tcW w:w="885" w:type="dxa"/>
          </w:tcPr>
          <w:p w14:paraId="7ECE2DBF" w14:textId="77777777" w:rsidR="000500F1" w:rsidRPr="000500F1" w:rsidRDefault="000500F1" w:rsidP="000500F1">
            <w:r w:rsidRPr="000500F1">
              <w:t>78,312</w:t>
            </w:r>
          </w:p>
        </w:tc>
        <w:tc>
          <w:tcPr>
            <w:tcW w:w="1310" w:type="dxa"/>
          </w:tcPr>
          <w:p w14:paraId="46BDFCA3" w14:textId="77777777" w:rsidR="000500F1" w:rsidRPr="000500F1" w:rsidRDefault="000500F1" w:rsidP="000500F1">
            <w:r w:rsidRPr="000500F1">
              <w:t>102,403.09</w:t>
            </w:r>
          </w:p>
        </w:tc>
      </w:tr>
      <w:tr w:rsidR="000500F1" w:rsidRPr="000500F1" w14:paraId="4F8E40B9" w14:textId="77777777" w:rsidTr="00145812">
        <w:tc>
          <w:tcPr>
            <w:tcW w:w="4627" w:type="dxa"/>
            <w:tcBorders>
              <w:bottom w:val="single" w:sz="4" w:space="0" w:color="auto"/>
            </w:tcBorders>
          </w:tcPr>
          <w:p w14:paraId="500A6C66" w14:textId="77777777" w:rsidR="000500F1" w:rsidRPr="000500F1" w:rsidRDefault="000500F1" w:rsidP="000500F1">
            <w:r w:rsidRPr="000500F1">
              <w:t>Other License Income</w:t>
            </w:r>
          </w:p>
        </w:tc>
        <w:tc>
          <w:tcPr>
            <w:tcW w:w="789" w:type="dxa"/>
            <w:tcBorders>
              <w:bottom w:val="single" w:sz="4" w:space="0" w:color="auto"/>
            </w:tcBorders>
          </w:tcPr>
          <w:p w14:paraId="3AED6364" w14:textId="77777777" w:rsidR="000500F1" w:rsidRPr="000500F1" w:rsidRDefault="000500F1" w:rsidP="000500F1">
            <w:r w:rsidRPr="000500F1">
              <w:t>0</w:t>
            </w:r>
          </w:p>
        </w:tc>
        <w:tc>
          <w:tcPr>
            <w:tcW w:w="787" w:type="dxa"/>
            <w:tcBorders>
              <w:bottom w:val="single" w:sz="4" w:space="0" w:color="auto"/>
            </w:tcBorders>
          </w:tcPr>
          <w:p w14:paraId="400ACC91" w14:textId="77777777" w:rsidR="000500F1" w:rsidRPr="000500F1" w:rsidRDefault="000500F1" w:rsidP="000500F1">
            <w:r w:rsidRPr="000500F1">
              <w:t>0</w:t>
            </w:r>
          </w:p>
        </w:tc>
        <w:tc>
          <w:tcPr>
            <w:tcW w:w="885" w:type="dxa"/>
            <w:tcBorders>
              <w:bottom w:val="single" w:sz="4" w:space="0" w:color="auto"/>
            </w:tcBorders>
          </w:tcPr>
          <w:p w14:paraId="7956BD53" w14:textId="77777777" w:rsidR="000500F1" w:rsidRPr="000500F1" w:rsidRDefault="000500F1" w:rsidP="000500F1">
            <w:r w:rsidRPr="000500F1">
              <w:t>0</w:t>
            </w:r>
          </w:p>
        </w:tc>
        <w:tc>
          <w:tcPr>
            <w:tcW w:w="885" w:type="dxa"/>
            <w:tcBorders>
              <w:bottom w:val="single" w:sz="4" w:space="0" w:color="auto"/>
            </w:tcBorders>
          </w:tcPr>
          <w:p w14:paraId="0FAA1383" w14:textId="77777777" w:rsidR="000500F1" w:rsidRPr="000500F1" w:rsidRDefault="000500F1" w:rsidP="000500F1">
            <w:r w:rsidRPr="000500F1">
              <w:t>0</w:t>
            </w:r>
          </w:p>
        </w:tc>
        <w:tc>
          <w:tcPr>
            <w:tcW w:w="1310" w:type="dxa"/>
            <w:tcBorders>
              <w:bottom w:val="single" w:sz="4" w:space="0" w:color="auto"/>
            </w:tcBorders>
          </w:tcPr>
          <w:p w14:paraId="0ABB53E5" w14:textId="77777777" w:rsidR="000500F1" w:rsidRPr="000500F1" w:rsidRDefault="000500F1" w:rsidP="000500F1">
            <w:r w:rsidRPr="000500F1">
              <w:t>0</w:t>
            </w:r>
          </w:p>
        </w:tc>
      </w:tr>
      <w:tr w:rsidR="000500F1" w:rsidRPr="000500F1" w14:paraId="5CC856F9" w14:textId="77777777" w:rsidTr="00145812">
        <w:tc>
          <w:tcPr>
            <w:tcW w:w="4627" w:type="dxa"/>
          </w:tcPr>
          <w:p w14:paraId="1F55CC74" w14:textId="77777777" w:rsidR="000500F1" w:rsidRPr="000500F1" w:rsidRDefault="000500F1" w:rsidP="000500F1">
            <w:r w:rsidRPr="000500F1">
              <w:t>Totally Earned Royalty Income (ERI)</w:t>
            </w:r>
          </w:p>
        </w:tc>
        <w:tc>
          <w:tcPr>
            <w:tcW w:w="789" w:type="dxa"/>
          </w:tcPr>
          <w:p w14:paraId="3991506A" w14:textId="77777777" w:rsidR="000500F1" w:rsidRPr="000500F1" w:rsidRDefault="000500F1" w:rsidP="000500F1">
            <w:r w:rsidRPr="000500F1">
              <w:t>158</w:t>
            </w:r>
          </w:p>
        </w:tc>
        <w:tc>
          <w:tcPr>
            <w:tcW w:w="787" w:type="dxa"/>
          </w:tcPr>
          <w:p w14:paraId="16C6B6EC" w14:textId="77777777" w:rsidR="000500F1" w:rsidRPr="000500F1" w:rsidRDefault="000500F1" w:rsidP="000500F1">
            <w:r w:rsidRPr="000500F1">
              <w:t>140</w:t>
            </w:r>
          </w:p>
        </w:tc>
        <w:tc>
          <w:tcPr>
            <w:tcW w:w="885" w:type="dxa"/>
          </w:tcPr>
          <w:p w14:paraId="606428FD" w14:textId="77777777" w:rsidR="000500F1" w:rsidRPr="000500F1" w:rsidRDefault="000500F1" w:rsidP="000500F1">
            <w:r w:rsidRPr="000500F1">
              <w:t>12,937</w:t>
            </w:r>
          </w:p>
        </w:tc>
        <w:tc>
          <w:tcPr>
            <w:tcW w:w="885" w:type="dxa"/>
          </w:tcPr>
          <w:p w14:paraId="7D856705" w14:textId="77777777" w:rsidR="000500F1" w:rsidRPr="000500F1" w:rsidRDefault="000500F1" w:rsidP="000500F1">
            <w:r w:rsidRPr="000500F1">
              <w:t>78,312</w:t>
            </w:r>
          </w:p>
        </w:tc>
        <w:tc>
          <w:tcPr>
            <w:tcW w:w="1310" w:type="dxa"/>
          </w:tcPr>
          <w:p w14:paraId="01CE275A" w14:textId="77777777" w:rsidR="000500F1" w:rsidRPr="000500F1" w:rsidRDefault="000500F1" w:rsidP="000500F1">
            <w:r w:rsidRPr="000500F1">
              <w:t>102,403.09</w:t>
            </w:r>
          </w:p>
        </w:tc>
      </w:tr>
      <w:tr w:rsidR="000500F1" w:rsidRPr="000500F1" w14:paraId="53B6A499" w14:textId="77777777" w:rsidTr="00145812">
        <w:tc>
          <w:tcPr>
            <w:tcW w:w="4627" w:type="dxa"/>
          </w:tcPr>
          <w:p w14:paraId="0CBD7FE7" w14:textId="77777777" w:rsidR="000500F1" w:rsidRPr="000500F1" w:rsidRDefault="000500F1" w:rsidP="000500F1">
            <w:r w:rsidRPr="000500F1">
              <w:t>ERI from Top 1% of Licenses</w:t>
            </w:r>
          </w:p>
        </w:tc>
        <w:tc>
          <w:tcPr>
            <w:tcW w:w="789" w:type="dxa"/>
          </w:tcPr>
          <w:p w14:paraId="5CE08B8C" w14:textId="77777777" w:rsidR="000500F1" w:rsidRPr="000500F1" w:rsidRDefault="000500F1" w:rsidP="000500F1">
            <w:r w:rsidRPr="000500F1">
              <w:t>158</w:t>
            </w:r>
          </w:p>
        </w:tc>
        <w:tc>
          <w:tcPr>
            <w:tcW w:w="787" w:type="dxa"/>
          </w:tcPr>
          <w:p w14:paraId="2D565067" w14:textId="77777777" w:rsidR="000500F1" w:rsidRPr="000500F1" w:rsidRDefault="000500F1" w:rsidP="000500F1">
            <w:r w:rsidRPr="000500F1">
              <w:t>140</w:t>
            </w:r>
          </w:p>
        </w:tc>
        <w:tc>
          <w:tcPr>
            <w:tcW w:w="885" w:type="dxa"/>
          </w:tcPr>
          <w:p w14:paraId="63575163" w14:textId="77777777" w:rsidR="000500F1" w:rsidRPr="000500F1" w:rsidRDefault="000500F1" w:rsidP="000500F1">
            <w:r w:rsidRPr="000500F1">
              <w:t>12,937</w:t>
            </w:r>
          </w:p>
        </w:tc>
        <w:tc>
          <w:tcPr>
            <w:tcW w:w="885" w:type="dxa"/>
          </w:tcPr>
          <w:p w14:paraId="27DA383B" w14:textId="77777777" w:rsidR="000500F1" w:rsidRPr="000500F1" w:rsidRDefault="000500F1" w:rsidP="000500F1">
            <w:r w:rsidRPr="000500F1">
              <w:t>78,312</w:t>
            </w:r>
          </w:p>
        </w:tc>
        <w:tc>
          <w:tcPr>
            <w:tcW w:w="1310" w:type="dxa"/>
          </w:tcPr>
          <w:p w14:paraId="79ABED2C" w14:textId="77777777" w:rsidR="000500F1" w:rsidRPr="000500F1" w:rsidRDefault="000500F1" w:rsidP="000500F1">
            <w:r w:rsidRPr="000500F1">
              <w:t>99,903.09</w:t>
            </w:r>
          </w:p>
        </w:tc>
      </w:tr>
      <w:tr w:rsidR="000500F1" w:rsidRPr="000500F1" w14:paraId="1965CB6B" w14:textId="77777777" w:rsidTr="00145812">
        <w:tc>
          <w:tcPr>
            <w:tcW w:w="4627" w:type="dxa"/>
            <w:tcBorders>
              <w:bottom w:val="single" w:sz="4" w:space="0" w:color="auto"/>
            </w:tcBorders>
          </w:tcPr>
          <w:p w14:paraId="20D565EA" w14:textId="77777777" w:rsidR="000500F1" w:rsidRPr="000500F1" w:rsidRDefault="000500F1" w:rsidP="000500F1">
            <w:r w:rsidRPr="000500F1">
              <w:t>ERI from Top 5% of Licenses</w:t>
            </w:r>
          </w:p>
        </w:tc>
        <w:tc>
          <w:tcPr>
            <w:tcW w:w="789" w:type="dxa"/>
            <w:tcBorders>
              <w:bottom w:val="single" w:sz="4" w:space="0" w:color="auto"/>
            </w:tcBorders>
          </w:tcPr>
          <w:p w14:paraId="35B37DCD" w14:textId="77777777" w:rsidR="000500F1" w:rsidRPr="000500F1" w:rsidRDefault="000500F1" w:rsidP="000500F1">
            <w:r w:rsidRPr="000500F1">
              <w:t>158</w:t>
            </w:r>
          </w:p>
        </w:tc>
        <w:tc>
          <w:tcPr>
            <w:tcW w:w="787" w:type="dxa"/>
            <w:tcBorders>
              <w:bottom w:val="single" w:sz="4" w:space="0" w:color="auto"/>
            </w:tcBorders>
          </w:tcPr>
          <w:p w14:paraId="41EDF95D" w14:textId="77777777" w:rsidR="000500F1" w:rsidRPr="000500F1" w:rsidRDefault="000500F1" w:rsidP="000500F1">
            <w:r w:rsidRPr="000500F1">
              <w:t>140</w:t>
            </w:r>
          </w:p>
        </w:tc>
        <w:tc>
          <w:tcPr>
            <w:tcW w:w="885" w:type="dxa"/>
            <w:tcBorders>
              <w:bottom w:val="single" w:sz="4" w:space="0" w:color="auto"/>
            </w:tcBorders>
          </w:tcPr>
          <w:p w14:paraId="61844118" w14:textId="77777777" w:rsidR="000500F1" w:rsidRPr="000500F1" w:rsidRDefault="000500F1" w:rsidP="000500F1">
            <w:r w:rsidRPr="000500F1">
              <w:t>12,937</w:t>
            </w:r>
          </w:p>
        </w:tc>
        <w:tc>
          <w:tcPr>
            <w:tcW w:w="885" w:type="dxa"/>
            <w:tcBorders>
              <w:bottom w:val="single" w:sz="4" w:space="0" w:color="auto"/>
            </w:tcBorders>
          </w:tcPr>
          <w:p w14:paraId="29C22D88" w14:textId="77777777" w:rsidR="000500F1" w:rsidRPr="000500F1" w:rsidRDefault="000500F1" w:rsidP="000500F1">
            <w:r w:rsidRPr="000500F1">
              <w:t>78,312</w:t>
            </w:r>
          </w:p>
        </w:tc>
        <w:tc>
          <w:tcPr>
            <w:tcW w:w="1310" w:type="dxa"/>
            <w:tcBorders>
              <w:bottom w:val="single" w:sz="4" w:space="0" w:color="auto"/>
            </w:tcBorders>
          </w:tcPr>
          <w:p w14:paraId="19597EE5" w14:textId="77777777" w:rsidR="000500F1" w:rsidRPr="000500F1" w:rsidRDefault="000500F1" w:rsidP="000500F1">
            <w:r w:rsidRPr="000500F1">
              <w:t>99,903.09</w:t>
            </w:r>
          </w:p>
        </w:tc>
      </w:tr>
      <w:tr w:rsidR="000500F1" w:rsidRPr="000500F1" w14:paraId="06922B09" w14:textId="77777777" w:rsidTr="00145812">
        <w:tc>
          <w:tcPr>
            <w:tcW w:w="4627" w:type="dxa"/>
            <w:tcBorders>
              <w:bottom w:val="single" w:sz="4" w:space="0" w:color="auto"/>
            </w:tcBorders>
          </w:tcPr>
          <w:p w14:paraId="7139927F" w14:textId="77777777" w:rsidR="000500F1" w:rsidRPr="000500F1" w:rsidRDefault="000500F1" w:rsidP="000500F1">
            <w:r w:rsidRPr="000500F1">
              <w:t>ERI from Top 20% of Licenses</w:t>
            </w:r>
          </w:p>
        </w:tc>
        <w:tc>
          <w:tcPr>
            <w:tcW w:w="789" w:type="dxa"/>
            <w:tcBorders>
              <w:bottom w:val="single" w:sz="4" w:space="0" w:color="auto"/>
            </w:tcBorders>
          </w:tcPr>
          <w:p w14:paraId="48B60F0B" w14:textId="77777777" w:rsidR="000500F1" w:rsidRPr="000500F1" w:rsidRDefault="000500F1" w:rsidP="000500F1">
            <w:r w:rsidRPr="000500F1">
              <w:t>158</w:t>
            </w:r>
          </w:p>
        </w:tc>
        <w:tc>
          <w:tcPr>
            <w:tcW w:w="787" w:type="dxa"/>
            <w:tcBorders>
              <w:bottom w:val="single" w:sz="4" w:space="0" w:color="auto"/>
            </w:tcBorders>
          </w:tcPr>
          <w:p w14:paraId="0B6BEB0C" w14:textId="77777777" w:rsidR="000500F1" w:rsidRPr="000500F1" w:rsidRDefault="000500F1" w:rsidP="000500F1">
            <w:r w:rsidRPr="000500F1">
              <w:t>140</w:t>
            </w:r>
          </w:p>
        </w:tc>
        <w:tc>
          <w:tcPr>
            <w:tcW w:w="885" w:type="dxa"/>
            <w:tcBorders>
              <w:bottom w:val="single" w:sz="4" w:space="0" w:color="auto"/>
            </w:tcBorders>
          </w:tcPr>
          <w:p w14:paraId="4624DADD" w14:textId="77777777" w:rsidR="000500F1" w:rsidRPr="000500F1" w:rsidRDefault="000500F1" w:rsidP="000500F1">
            <w:r w:rsidRPr="000500F1">
              <w:t>12,937</w:t>
            </w:r>
          </w:p>
        </w:tc>
        <w:tc>
          <w:tcPr>
            <w:tcW w:w="885" w:type="dxa"/>
            <w:tcBorders>
              <w:bottom w:val="single" w:sz="4" w:space="0" w:color="auto"/>
            </w:tcBorders>
          </w:tcPr>
          <w:p w14:paraId="0EED3046" w14:textId="77777777" w:rsidR="000500F1" w:rsidRPr="000500F1" w:rsidRDefault="000500F1" w:rsidP="000500F1">
            <w:r w:rsidRPr="000500F1">
              <w:t>78,312</w:t>
            </w:r>
          </w:p>
        </w:tc>
        <w:tc>
          <w:tcPr>
            <w:tcW w:w="1310" w:type="dxa"/>
            <w:tcBorders>
              <w:bottom w:val="single" w:sz="4" w:space="0" w:color="auto"/>
            </w:tcBorders>
          </w:tcPr>
          <w:p w14:paraId="3C6194B1" w14:textId="77777777" w:rsidR="000500F1" w:rsidRPr="000500F1" w:rsidRDefault="000500F1" w:rsidP="000500F1">
            <w:r w:rsidRPr="000500F1">
              <w:t>99,903.09</w:t>
            </w:r>
          </w:p>
        </w:tc>
      </w:tr>
      <w:tr w:rsidR="000500F1" w:rsidRPr="000500F1" w14:paraId="4CB6655C" w14:textId="77777777" w:rsidTr="00145812">
        <w:tc>
          <w:tcPr>
            <w:tcW w:w="4627" w:type="dxa"/>
            <w:tcBorders>
              <w:top w:val="single" w:sz="4" w:space="0" w:color="auto"/>
            </w:tcBorders>
          </w:tcPr>
          <w:p w14:paraId="3089BEDA" w14:textId="77777777" w:rsidR="000500F1" w:rsidRPr="000500F1" w:rsidRDefault="000500F1" w:rsidP="000500F1">
            <w:r w:rsidRPr="000500F1">
              <w:t>Minimum ERI</w:t>
            </w:r>
          </w:p>
        </w:tc>
        <w:tc>
          <w:tcPr>
            <w:tcW w:w="789" w:type="dxa"/>
            <w:tcBorders>
              <w:top w:val="single" w:sz="4" w:space="0" w:color="auto"/>
            </w:tcBorders>
          </w:tcPr>
          <w:p w14:paraId="2F6B8F15" w14:textId="77777777" w:rsidR="000500F1" w:rsidRPr="000500F1" w:rsidRDefault="000500F1" w:rsidP="000500F1">
            <w:r w:rsidRPr="000500F1">
              <w:t>158</w:t>
            </w:r>
          </w:p>
        </w:tc>
        <w:tc>
          <w:tcPr>
            <w:tcW w:w="787" w:type="dxa"/>
            <w:tcBorders>
              <w:top w:val="single" w:sz="4" w:space="0" w:color="auto"/>
            </w:tcBorders>
          </w:tcPr>
          <w:p w14:paraId="4C5CE2F5" w14:textId="77777777" w:rsidR="000500F1" w:rsidRPr="000500F1" w:rsidRDefault="000500F1" w:rsidP="000500F1">
            <w:r w:rsidRPr="000500F1">
              <w:t>140</w:t>
            </w:r>
          </w:p>
        </w:tc>
        <w:tc>
          <w:tcPr>
            <w:tcW w:w="885" w:type="dxa"/>
            <w:tcBorders>
              <w:top w:val="single" w:sz="4" w:space="0" w:color="auto"/>
            </w:tcBorders>
          </w:tcPr>
          <w:p w14:paraId="227BB20A" w14:textId="77777777" w:rsidR="000500F1" w:rsidRPr="000500F1" w:rsidRDefault="000500F1" w:rsidP="000500F1">
            <w:r w:rsidRPr="000500F1">
              <w:t>12,937</w:t>
            </w:r>
          </w:p>
        </w:tc>
        <w:tc>
          <w:tcPr>
            <w:tcW w:w="885" w:type="dxa"/>
            <w:tcBorders>
              <w:top w:val="single" w:sz="4" w:space="0" w:color="auto"/>
            </w:tcBorders>
          </w:tcPr>
          <w:p w14:paraId="7E69E5B9" w14:textId="77777777" w:rsidR="000500F1" w:rsidRPr="000500F1" w:rsidRDefault="000500F1" w:rsidP="000500F1">
            <w:r w:rsidRPr="000500F1">
              <w:t>13</w:t>
            </w:r>
          </w:p>
        </w:tc>
        <w:tc>
          <w:tcPr>
            <w:tcW w:w="1310" w:type="dxa"/>
            <w:tcBorders>
              <w:top w:val="single" w:sz="4" w:space="0" w:color="auto"/>
            </w:tcBorders>
          </w:tcPr>
          <w:p w14:paraId="3F9EDDF9" w14:textId="77777777" w:rsidR="000500F1" w:rsidRPr="000500F1" w:rsidRDefault="000500F1" w:rsidP="000500F1">
            <w:r w:rsidRPr="000500F1">
              <w:t>2,500</w:t>
            </w:r>
          </w:p>
        </w:tc>
      </w:tr>
      <w:tr w:rsidR="000500F1" w:rsidRPr="000500F1" w14:paraId="3B187305" w14:textId="77777777" w:rsidTr="00145812">
        <w:tc>
          <w:tcPr>
            <w:tcW w:w="4627" w:type="dxa"/>
            <w:tcBorders>
              <w:bottom w:val="single" w:sz="4" w:space="0" w:color="auto"/>
            </w:tcBorders>
          </w:tcPr>
          <w:p w14:paraId="0C5B5457" w14:textId="77777777" w:rsidR="000500F1" w:rsidRPr="000500F1" w:rsidRDefault="000500F1" w:rsidP="000500F1">
            <w:r w:rsidRPr="000500F1">
              <w:t>Maximum ERI</w:t>
            </w:r>
          </w:p>
        </w:tc>
        <w:tc>
          <w:tcPr>
            <w:tcW w:w="789" w:type="dxa"/>
            <w:tcBorders>
              <w:bottom w:val="single" w:sz="4" w:space="0" w:color="auto"/>
            </w:tcBorders>
          </w:tcPr>
          <w:p w14:paraId="26BF3FE2" w14:textId="77777777" w:rsidR="000500F1" w:rsidRPr="000500F1" w:rsidRDefault="000500F1" w:rsidP="000500F1">
            <w:r w:rsidRPr="000500F1">
              <w:t>158</w:t>
            </w:r>
          </w:p>
        </w:tc>
        <w:tc>
          <w:tcPr>
            <w:tcW w:w="787" w:type="dxa"/>
            <w:tcBorders>
              <w:bottom w:val="single" w:sz="4" w:space="0" w:color="auto"/>
            </w:tcBorders>
          </w:tcPr>
          <w:p w14:paraId="12029660" w14:textId="77777777" w:rsidR="000500F1" w:rsidRPr="000500F1" w:rsidRDefault="000500F1" w:rsidP="000500F1">
            <w:r w:rsidRPr="000500F1">
              <w:t>140</w:t>
            </w:r>
          </w:p>
        </w:tc>
        <w:tc>
          <w:tcPr>
            <w:tcW w:w="885" w:type="dxa"/>
            <w:tcBorders>
              <w:bottom w:val="single" w:sz="4" w:space="0" w:color="auto"/>
            </w:tcBorders>
          </w:tcPr>
          <w:p w14:paraId="084F891D" w14:textId="77777777" w:rsidR="000500F1" w:rsidRPr="000500F1" w:rsidRDefault="000500F1" w:rsidP="000500F1">
            <w:r w:rsidRPr="000500F1">
              <w:t>12,937</w:t>
            </w:r>
          </w:p>
        </w:tc>
        <w:tc>
          <w:tcPr>
            <w:tcW w:w="885" w:type="dxa"/>
            <w:tcBorders>
              <w:bottom w:val="single" w:sz="4" w:space="0" w:color="auto"/>
            </w:tcBorders>
          </w:tcPr>
          <w:p w14:paraId="6E4BE5C3" w14:textId="77777777" w:rsidR="000500F1" w:rsidRPr="000500F1" w:rsidRDefault="000500F1" w:rsidP="000500F1">
            <w:r w:rsidRPr="000500F1">
              <w:t>76,311</w:t>
            </w:r>
          </w:p>
        </w:tc>
        <w:tc>
          <w:tcPr>
            <w:tcW w:w="1310" w:type="dxa"/>
            <w:tcBorders>
              <w:bottom w:val="single" w:sz="4" w:space="0" w:color="auto"/>
            </w:tcBorders>
          </w:tcPr>
          <w:p w14:paraId="70BA6DF0" w14:textId="77777777" w:rsidR="000500F1" w:rsidRPr="000500F1" w:rsidRDefault="000500F1" w:rsidP="000500F1">
            <w:r w:rsidRPr="000500F1">
              <w:t>99,903.09</w:t>
            </w:r>
          </w:p>
        </w:tc>
      </w:tr>
      <w:tr w:rsidR="000500F1" w:rsidRPr="000500F1" w14:paraId="0896D7E9" w14:textId="77777777" w:rsidTr="00145812">
        <w:tc>
          <w:tcPr>
            <w:tcW w:w="4627" w:type="dxa"/>
            <w:tcBorders>
              <w:left w:val="single" w:sz="4" w:space="0" w:color="auto"/>
              <w:bottom w:val="single" w:sz="4" w:space="0" w:color="auto"/>
              <w:right w:val="single" w:sz="4" w:space="0" w:color="auto"/>
            </w:tcBorders>
          </w:tcPr>
          <w:p w14:paraId="340150C6" w14:textId="77777777" w:rsidR="000500F1" w:rsidRPr="000500F1" w:rsidRDefault="000500F1" w:rsidP="000500F1">
            <w:r w:rsidRPr="000500F1">
              <w:t>Median ERI</w:t>
            </w:r>
          </w:p>
        </w:tc>
        <w:tc>
          <w:tcPr>
            <w:tcW w:w="789" w:type="dxa"/>
            <w:tcBorders>
              <w:left w:val="single" w:sz="4" w:space="0" w:color="auto"/>
              <w:bottom w:val="single" w:sz="4" w:space="0" w:color="auto"/>
              <w:right w:val="single" w:sz="4" w:space="0" w:color="auto"/>
            </w:tcBorders>
          </w:tcPr>
          <w:p w14:paraId="31847A1F" w14:textId="77777777" w:rsidR="000500F1" w:rsidRPr="000500F1" w:rsidRDefault="000500F1" w:rsidP="000500F1">
            <w:r w:rsidRPr="000500F1">
              <w:t>NA</w:t>
            </w:r>
          </w:p>
        </w:tc>
        <w:tc>
          <w:tcPr>
            <w:tcW w:w="787" w:type="dxa"/>
            <w:tcBorders>
              <w:left w:val="single" w:sz="4" w:space="0" w:color="auto"/>
              <w:bottom w:val="single" w:sz="4" w:space="0" w:color="auto"/>
              <w:right w:val="single" w:sz="4" w:space="0" w:color="auto"/>
            </w:tcBorders>
          </w:tcPr>
          <w:p w14:paraId="424DC7F6" w14:textId="77777777" w:rsidR="000500F1" w:rsidRPr="000500F1" w:rsidRDefault="000500F1" w:rsidP="000500F1">
            <w:r w:rsidRPr="000500F1">
              <w:t>NA</w:t>
            </w:r>
          </w:p>
        </w:tc>
        <w:tc>
          <w:tcPr>
            <w:tcW w:w="885" w:type="dxa"/>
            <w:tcBorders>
              <w:left w:val="single" w:sz="4" w:space="0" w:color="auto"/>
              <w:bottom w:val="single" w:sz="4" w:space="0" w:color="auto"/>
              <w:right w:val="single" w:sz="4" w:space="0" w:color="auto"/>
            </w:tcBorders>
          </w:tcPr>
          <w:p w14:paraId="3CFCF3E5" w14:textId="77777777" w:rsidR="000500F1" w:rsidRPr="000500F1" w:rsidRDefault="000500F1" w:rsidP="000500F1">
            <w:r w:rsidRPr="000500F1">
              <w:t>NA</w:t>
            </w:r>
          </w:p>
        </w:tc>
        <w:tc>
          <w:tcPr>
            <w:tcW w:w="885" w:type="dxa"/>
            <w:tcBorders>
              <w:left w:val="single" w:sz="4" w:space="0" w:color="auto"/>
              <w:bottom w:val="single" w:sz="4" w:space="0" w:color="auto"/>
            </w:tcBorders>
          </w:tcPr>
          <w:p w14:paraId="4F2575A0" w14:textId="77777777" w:rsidR="000500F1" w:rsidRPr="000500F1" w:rsidRDefault="000500F1" w:rsidP="000500F1">
            <w:r w:rsidRPr="000500F1">
              <w:t>NA</w:t>
            </w:r>
          </w:p>
        </w:tc>
        <w:tc>
          <w:tcPr>
            <w:tcW w:w="1310" w:type="dxa"/>
            <w:tcBorders>
              <w:left w:val="single" w:sz="4" w:space="0" w:color="auto"/>
              <w:bottom w:val="single" w:sz="4" w:space="0" w:color="auto"/>
            </w:tcBorders>
          </w:tcPr>
          <w:p w14:paraId="6B1E685E" w14:textId="77777777" w:rsidR="000500F1" w:rsidRPr="000500F1" w:rsidRDefault="000500F1" w:rsidP="000500F1">
            <w:r w:rsidRPr="000500F1">
              <w:t>NA</w:t>
            </w:r>
          </w:p>
        </w:tc>
      </w:tr>
      <w:tr w:rsidR="000500F1" w:rsidRPr="000500F1" w14:paraId="77BED98E" w14:textId="77777777" w:rsidTr="00145812">
        <w:tc>
          <w:tcPr>
            <w:tcW w:w="4627" w:type="dxa"/>
          </w:tcPr>
          <w:p w14:paraId="1DE5BF91" w14:textId="77777777" w:rsidR="000500F1" w:rsidRPr="000500F1" w:rsidRDefault="000500F1" w:rsidP="000500F1">
            <w:r w:rsidRPr="000500F1">
              <w:t>Disposition or ERI</w:t>
            </w:r>
          </w:p>
        </w:tc>
        <w:tc>
          <w:tcPr>
            <w:tcW w:w="789" w:type="dxa"/>
          </w:tcPr>
          <w:p w14:paraId="11F2E0D1" w14:textId="77777777" w:rsidR="000500F1" w:rsidRPr="000500F1" w:rsidRDefault="000500F1" w:rsidP="000500F1"/>
        </w:tc>
        <w:tc>
          <w:tcPr>
            <w:tcW w:w="787" w:type="dxa"/>
          </w:tcPr>
          <w:p w14:paraId="2DA75BD0" w14:textId="77777777" w:rsidR="000500F1" w:rsidRPr="000500F1" w:rsidRDefault="000500F1" w:rsidP="000500F1"/>
        </w:tc>
        <w:tc>
          <w:tcPr>
            <w:tcW w:w="885" w:type="dxa"/>
          </w:tcPr>
          <w:p w14:paraId="087A02A6" w14:textId="77777777" w:rsidR="000500F1" w:rsidRPr="000500F1" w:rsidRDefault="000500F1" w:rsidP="000500F1"/>
        </w:tc>
        <w:tc>
          <w:tcPr>
            <w:tcW w:w="885" w:type="dxa"/>
          </w:tcPr>
          <w:p w14:paraId="4BC443BD" w14:textId="77777777" w:rsidR="000500F1" w:rsidRPr="000500F1" w:rsidRDefault="000500F1" w:rsidP="000500F1"/>
        </w:tc>
        <w:tc>
          <w:tcPr>
            <w:tcW w:w="1310" w:type="dxa"/>
          </w:tcPr>
          <w:p w14:paraId="436794A8" w14:textId="77777777" w:rsidR="000500F1" w:rsidRPr="000500F1" w:rsidRDefault="000500F1" w:rsidP="000500F1"/>
        </w:tc>
      </w:tr>
      <w:tr w:rsidR="000500F1" w:rsidRPr="000500F1" w14:paraId="1FAC3898" w14:textId="77777777" w:rsidTr="00145812">
        <w:tc>
          <w:tcPr>
            <w:tcW w:w="4627" w:type="dxa"/>
          </w:tcPr>
          <w:p w14:paraId="6FAD0555" w14:textId="77777777" w:rsidR="000500F1" w:rsidRPr="000500F1" w:rsidRDefault="000500F1" w:rsidP="000500F1">
            <w:r w:rsidRPr="000500F1">
              <w:t xml:space="preserve">      Percentage Distributed to Inventors</w:t>
            </w:r>
          </w:p>
        </w:tc>
        <w:tc>
          <w:tcPr>
            <w:tcW w:w="789" w:type="dxa"/>
          </w:tcPr>
          <w:p w14:paraId="5BB28BAF" w14:textId="77777777" w:rsidR="000500F1" w:rsidRPr="000500F1" w:rsidRDefault="000500F1" w:rsidP="000500F1">
            <w:r w:rsidRPr="000500F1">
              <w:t>100</w:t>
            </w:r>
          </w:p>
        </w:tc>
        <w:tc>
          <w:tcPr>
            <w:tcW w:w="787" w:type="dxa"/>
          </w:tcPr>
          <w:p w14:paraId="6BA59183" w14:textId="77777777" w:rsidR="000500F1" w:rsidRPr="000500F1" w:rsidRDefault="000500F1" w:rsidP="000500F1">
            <w:r w:rsidRPr="000500F1">
              <w:t>100</w:t>
            </w:r>
          </w:p>
        </w:tc>
        <w:tc>
          <w:tcPr>
            <w:tcW w:w="885" w:type="dxa"/>
          </w:tcPr>
          <w:p w14:paraId="49CC3FBB" w14:textId="77777777" w:rsidR="000500F1" w:rsidRPr="000500F1" w:rsidRDefault="000500F1" w:rsidP="000500F1">
            <w:r w:rsidRPr="000500F1">
              <w:t>28</w:t>
            </w:r>
          </w:p>
        </w:tc>
        <w:tc>
          <w:tcPr>
            <w:tcW w:w="885" w:type="dxa"/>
          </w:tcPr>
          <w:p w14:paraId="3BB5CD90" w14:textId="77777777" w:rsidR="000500F1" w:rsidRPr="000500F1" w:rsidRDefault="000500F1" w:rsidP="000500F1">
            <w:r w:rsidRPr="000500F1">
              <w:t>37</w:t>
            </w:r>
          </w:p>
        </w:tc>
        <w:tc>
          <w:tcPr>
            <w:tcW w:w="1310" w:type="dxa"/>
          </w:tcPr>
          <w:p w14:paraId="489BE4FA" w14:textId="77777777" w:rsidR="000500F1" w:rsidRPr="000500F1" w:rsidRDefault="000500F1" w:rsidP="000500F1">
            <w:r w:rsidRPr="000500F1">
              <w:t>38</w:t>
            </w:r>
          </w:p>
        </w:tc>
      </w:tr>
      <w:tr w:rsidR="000500F1" w:rsidRPr="000500F1" w14:paraId="799B7C1C" w14:textId="77777777" w:rsidTr="00145812">
        <w:tc>
          <w:tcPr>
            <w:tcW w:w="4627" w:type="dxa"/>
          </w:tcPr>
          <w:p w14:paraId="2D03D6AB" w14:textId="77777777" w:rsidR="000500F1" w:rsidRPr="000500F1" w:rsidRDefault="000500F1" w:rsidP="000500F1">
            <w:r w:rsidRPr="000500F1">
              <w:t xml:space="preserve">      Percentage Distributed to Lab/Agency</w:t>
            </w:r>
          </w:p>
        </w:tc>
        <w:tc>
          <w:tcPr>
            <w:tcW w:w="789" w:type="dxa"/>
          </w:tcPr>
          <w:p w14:paraId="074F217C" w14:textId="77777777" w:rsidR="000500F1" w:rsidRPr="000500F1" w:rsidRDefault="000500F1" w:rsidP="000500F1">
            <w:r w:rsidRPr="000500F1">
              <w:t>0</w:t>
            </w:r>
          </w:p>
        </w:tc>
        <w:tc>
          <w:tcPr>
            <w:tcW w:w="787" w:type="dxa"/>
          </w:tcPr>
          <w:p w14:paraId="01C450D7" w14:textId="77777777" w:rsidR="000500F1" w:rsidRPr="000500F1" w:rsidRDefault="000500F1" w:rsidP="000500F1">
            <w:r w:rsidRPr="000500F1">
              <w:t>0</w:t>
            </w:r>
          </w:p>
        </w:tc>
        <w:tc>
          <w:tcPr>
            <w:tcW w:w="885" w:type="dxa"/>
          </w:tcPr>
          <w:p w14:paraId="635E03D2" w14:textId="77777777" w:rsidR="000500F1" w:rsidRPr="000500F1" w:rsidRDefault="000500F1" w:rsidP="000500F1">
            <w:r w:rsidRPr="000500F1">
              <w:t>72</w:t>
            </w:r>
          </w:p>
        </w:tc>
        <w:tc>
          <w:tcPr>
            <w:tcW w:w="885" w:type="dxa"/>
          </w:tcPr>
          <w:p w14:paraId="28C58694" w14:textId="77777777" w:rsidR="000500F1" w:rsidRPr="000500F1" w:rsidRDefault="000500F1" w:rsidP="000500F1">
            <w:r w:rsidRPr="000500F1">
              <w:t>63</w:t>
            </w:r>
          </w:p>
        </w:tc>
        <w:tc>
          <w:tcPr>
            <w:tcW w:w="1310" w:type="dxa"/>
          </w:tcPr>
          <w:p w14:paraId="3CC8ACD7" w14:textId="77777777" w:rsidR="000500F1" w:rsidRPr="000500F1" w:rsidRDefault="000500F1" w:rsidP="000500F1">
            <w:r w:rsidRPr="000500F1">
              <w:t>62</w:t>
            </w:r>
          </w:p>
        </w:tc>
      </w:tr>
    </w:tbl>
    <w:p w14:paraId="5CF52D5D" w14:textId="77777777" w:rsidR="000500F1" w:rsidRPr="000500F1" w:rsidRDefault="000500F1" w:rsidP="000500F1"/>
    <w:p w14:paraId="44DA37E7" w14:textId="77777777" w:rsidR="000500F1" w:rsidRPr="000500F1" w:rsidRDefault="000500F1" w:rsidP="000500F1">
      <w:r w:rsidRPr="000500F1">
        <w:t>Table 4: Collaborative Agreements</w:t>
      </w:r>
    </w:p>
    <w:tbl>
      <w:tblPr>
        <w:tblStyle w:val="TableGrid"/>
        <w:tblW w:w="4603" w:type="pct"/>
        <w:tblLook w:val="04A0" w:firstRow="1" w:lastRow="0" w:firstColumn="1" w:lastColumn="0" w:noHBand="0" w:noVBand="1"/>
        <w:tblDescription w:val="Sample table for template instructions"/>
      </w:tblPr>
      <w:tblGrid>
        <w:gridCol w:w="5012"/>
        <w:gridCol w:w="799"/>
        <w:gridCol w:w="799"/>
        <w:gridCol w:w="799"/>
        <w:gridCol w:w="795"/>
        <w:gridCol w:w="1066"/>
      </w:tblGrid>
      <w:tr w:rsidR="000500F1" w:rsidRPr="000500F1" w14:paraId="7A6C68F0" w14:textId="77777777" w:rsidTr="00145812">
        <w:trPr>
          <w:tblHeader/>
        </w:trPr>
        <w:tc>
          <w:tcPr>
            <w:tcW w:w="5013" w:type="dxa"/>
            <w:shd w:val="clear" w:color="auto" w:fill="D9D9D9" w:themeFill="background1" w:themeFillShade="D9"/>
          </w:tcPr>
          <w:p w14:paraId="029F8113" w14:textId="77777777" w:rsidR="000500F1" w:rsidRPr="000500F1" w:rsidRDefault="000500F1" w:rsidP="000500F1">
            <w:r w:rsidRPr="000500F1">
              <w:t>Agreements</w:t>
            </w:r>
          </w:p>
        </w:tc>
        <w:tc>
          <w:tcPr>
            <w:tcW w:w="799" w:type="dxa"/>
            <w:shd w:val="clear" w:color="auto" w:fill="D9D9D9" w:themeFill="background1" w:themeFillShade="D9"/>
          </w:tcPr>
          <w:p w14:paraId="3C275573" w14:textId="77777777" w:rsidR="000500F1" w:rsidRPr="000500F1" w:rsidRDefault="000500F1" w:rsidP="000500F1">
            <w:r w:rsidRPr="000500F1">
              <w:t>2019</w:t>
            </w:r>
          </w:p>
        </w:tc>
        <w:tc>
          <w:tcPr>
            <w:tcW w:w="799" w:type="dxa"/>
            <w:shd w:val="clear" w:color="auto" w:fill="D9D9D9" w:themeFill="background1" w:themeFillShade="D9"/>
          </w:tcPr>
          <w:p w14:paraId="4C05E250" w14:textId="77777777" w:rsidR="000500F1" w:rsidRPr="000500F1" w:rsidRDefault="000500F1" w:rsidP="000500F1">
            <w:r w:rsidRPr="000500F1">
              <w:t>2020</w:t>
            </w:r>
          </w:p>
        </w:tc>
        <w:tc>
          <w:tcPr>
            <w:tcW w:w="799" w:type="dxa"/>
            <w:shd w:val="clear" w:color="auto" w:fill="D9D9D9" w:themeFill="background1" w:themeFillShade="D9"/>
          </w:tcPr>
          <w:p w14:paraId="18C7F720" w14:textId="77777777" w:rsidR="000500F1" w:rsidRPr="000500F1" w:rsidRDefault="000500F1" w:rsidP="000500F1">
            <w:r w:rsidRPr="000500F1">
              <w:t>2021</w:t>
            </w:r>
          </w:p>
        </w:tc>
        <w:tc>
          <w:tcPr>
            <w:tcW w:w="795" w:type="dxa"/>
            <w:shd w:val="clear" w:color="auto" w:fill="D9D9D9" w:themeFill="background1" w:themeFillShade="D9"/>
          </w:tcPr>
          <w:p w14:paraId="4A6034DB" w14:textId="77777777" w:rsidR="000500F1" w:rsidRPr="000500F1" w:rsidRDefault="000500F1" w:rsidP="000500F1">
            <w:r w:rsidRPr="000500F1">
              <w:t>2022</w:t>
            </w:r>
          </w:p>
        </w:tc>
        <w:tc>
          <w:tcPr>
            <w:tcW w:w="1066" w:type="dxa"/>
            <w:shd w:val="clear" w:color="auto" w:fill="D9D9D9" w:themeFill="background1" w:themeFillShade="D9"/>
          </w:tcPr>
          <w:p w14:paraId="67D8922B" w14:textId="77777777" w:rsidR="000500F1" w:rsidRPr="000500F1" w:rsidRDefault="000500F1" w:rsidP="000500F1">
            <w:r w:rsidRPr="000500F1">
              <w:t>2023</w:t>
            </w:r>
          </w:p>
        </w:tc>
      </w:tr>
      <w:tr w:rsidR="000500F1" w:rsidRPr="000500F1" w14:paraId="6021CE2F" w14:textId="77777777" w:rsidTr="00145812">
        <w:tc>
          <w:tcPr>
            <w:tcW w:w="5013" w:type="dxa"/>
          </w:tcPr>
          <w:p w14:paraId="2C02BFEA" w14:textId="77777777" w:rsidR="000500F1" w:rsidRPr="000500F1" w:rsidRDefault="000500F1" w:rsidP="000500F1">
            <w:r w:rsidRPr="000500F1">
              <w:t>Total Active CRADAs</w:t>
            </w:r>
          </w:p>
        </w:tc>
        <w:tc>
          <w:tcPr>
            <w:tcW w:w="799" w:type="dxa"/>
          </w:tcPr>
          <w:p w14:paraId="00895040" w14:textId="77777777" w:rsidR="000500F1" w:rsidRPr="000500F1" w:rsidRDefault="000500F1" w:rsidP="000500F1">
            <w:r w:rsidRPr="000500F1">
              <w:t>9</w:t>
            </w:r>
          </w:p>
        </w:tc>
        <w:tc>
          <w:tcPr>
            <w:tcW w:w="799" w:type="dxa"/>
          </w:tcPr>
          <w:p w14:paraId="2ED84B5E" w14:textId="77777777" w:rsidR="000500F1" w:rsidRPr="000500F1" w:rsidRDefault="000500F1" w:rsidP="000500F1">
            <w:r w:rsidRPr="000500F1">
              <w:t>12</w:t>
            </w:r>
          </w:p>
        </w:tc>
        <w:tc>
          <w:tcPr>
            <w:tcW w:w="799" w:type="dxa"/>
          </w:tcPr>
          <w:p w14:paraId="3AD01DC1" w14:textId="77777777" w:rsidR="000500F1" w:rsidRPr="000500F1" w:rsidRDefault="000500F1" w:rsidP="000500F1">
            <w:r w:rsidRPr="000500F1">
              <w:t>10</w:t>
            </w:r>
          </w:p>
        </w:tc>
        <w:tc>
          <w:tcPr>
            <w:tcW w:w="795" w:type="dxa"/>
          </w:tcPr>
          <w:p w14:paraId="5D125AD4" w14:textId="77777777" w:rsidR="000500F1" w:rsidRPr="000500F1" w:rsidRDefault="000500F1" w:rsidP="000500F1">
            <w:r w:rsidRPr="000500F1">
              <w:t>16</w:t>
            </w:r>
          </w:p>
        </w:tc>
        <w:tc>
          <w:tcPr>
            <w:tcW w:w="1066" w:type="dxa"/>
          </w:tcPr>
          <w:p w14:paraId="243353C7" w14:textId="77777777" w:rsidR="000500F1" w:rsidRPr="000500F1" w:rsidRDefault="000500F1" w:rsidP="000500F1">
            <w:r w:rsidRPr="000500F1">
              <w:t>7</w:t>
            </w:r>
          </w:p>
        </w:tc>
      </w:tr>
      <w:tr w:rsidR="000500F1" w:rsidRPr="000500F1" w14:paraId="55D36845" w14:textId="77777777" w:rsidTr="00145812">
        <w:tc>
          <w:tcPr>
            <w:tcW w:w="5013" w:type="dxa"/>
          </w:tcPr>
          <w:p w14:paraId="0BEFD990" w14:textId="77777777" w:rsidR="000500F1" w:rsidRPr="000500F1" w:rsidRDefault="000500F1" w:rsidP="000500F1">
            <w:r w:rsidRPr="000500F1">
              <w:t>New CRADAs</w:t>
            </w:r>
          </w:p>
        </w:tc>
        <w:tc>
          <w:tcPr>
            <w:tcW w:w="799" w:type="dxa"/>
          </w:tcPr>
          <w:p w14:paraId="0B7A1FCA" w14:textId="77777777" w:rsidR="000500F1" w:rsidRPr="000500F1" w:rsidRDefault="000500F1" w:rsidP="000500F1">
            <w:r w:rsidRPr="000500F1">
              <w:t>3</w:t>
            </w:r>
          </w:p>
        </w:tc>
        <w:tc>
          <w:tcPr>
            <w:tcW w:w="799" w:type="dxa"/>
          </w:tcPr>
          <w:p w14:paraId="67223DE1" w14:textId="77777777" w:rsidR="000500F1" w:rsidRPr="000500F1" w:rsidRDefault="000500F1" w:rsidP="000500F1">
            <w:r w:rsidRPr="000500F1">
              <w:t>6</w:t>
            </w:r>
          </w:p>
        </w:tc>
        <w:tc>
          <w:tcPr>
            <w:tcW w:w="799" w:type="dxa"/>
          </w:tcPr>
          <w:p w14:paraId="27ACD51B" w14:textId="77777777" w:rsidR="000500F1" w:rsidRPr="000500F1" w:rsidRDefault="000500F1" w:rsidP="000500F1">
            <w:r w:rsidRPr="000500F1">
              <w:t>8</w:t>
            </w:r>
          </w:p>
        </w:tc>
        <w:tc>
          <w:tcPr>
            <w:tcW w:w="795" w:type="dxa"/>
          </w:tcPr>
          <w:p w14:paraId="2C7823A8" w14:textId="77777777" w:rsidR="000500F1" w:rsidRPr="000500F1" w:rsidRDefault="000500F1" w:rsidP="000500F1">
            <w:r w:rsidRPr="000500F1">
              <w:t>6</w:t>
            </w:r>
          </w:p>
        </w:tc>
        <w:tc>
          <w:tcPr>
            <w:tcW w:w="1066" w:type="dxa"/>
          </w:tcPr>
          <w:p w14:paraId="17FCBC60" w14:textId="77777777" w:rsidR="000500F1" w:rsidRPr="000500F1" w:rsidRDefault="000500F1" w:rsidP="000500F1">
            <w:r w:rsidRPr="000500F1">
              <w:t>0</w:t>
            </w:r>
          </w:p>
        </w:tc>
      </w:tr>
      <w:tr w:rsidR="000500F1" w:rsidRPr="000500F1" w14:paraId="520A1BCE" w14:textId="77777777" w:rsidTr="00145812">
        <w:tc>
          <w:tcPr>
            <w:tcW w:w="5013" w:type="dxa"/>
          </w:tcPr>
          <w:p w14:paraId="2A53FE27" w14:textId="77777777" w:rsidR="000500F1" w:rsidRPr="000500F1" w:rsidRDefault="000500F1" w:rsidP="000500F1">
            <w:r w:rsidRPr="000500F1">
              <w:t>New CRADAs Involving Small Business</w:t>
            </w:r>
          </w:p>
        </w:tc>
        <w:tc>
          <w:tcPr>
            <w:tcW w:w="799" w:type="dxa"/>
          </w:tcPr>
          <w:p w14:paraId="7349E4E6" w14:textId="77777777" w:rsidR="000500F1" w:rsidRPr="000500F1" w:rsidRDefault="000500F1" w:rsidP="000500F1">
            <w:r w:rsidRPr="000500F1">
              <w:t>3</w:t>
            </w:r>
          </w:p>
        </w:tc>
        <w:tc>
          <w:tcPr>
            <w:tcW w:w="799" w:type="dxa"/>
          </w:tcPr>
          <w:p w14:paraId="74DF3760" w14:textId="77777777" w:rsidR="000500F1" w:rsidRPr="000500F1" w:rsidRDefault="000500F1" w:rsidP="000500F1">
            <w:r w:rsidRPr="000500F1">
              <w:t>2</w:t>
            </w:r>
          </w:p>
        </w:tc>
        <w:tc>
          <w:tcPr>
            <w:tcW w:w="799" w:type="dxa"/>
          </w:tcPr>
          <w:p w14:paraId="325C4667" w14:textId="77777777" w:rsidR="000500F1" w:rsidRPr="000500F1" w:rsidRDefault="000500F1" w:rsidP="000500F1">
            <w:r w:rsidRPr="000500F1">
              <w:t>3</w:t>
            </w:r>
          </w:p>
        </w:tc>
        <w:tc>
          <w:tcPr>
            <w:tcW w:w="795" w:type="dxa"/>
          </w:tcPr>
          <w:p w14:paraId="19059FE2" w14:textId="77777777" w:rsidR="000500F1" w:rsidRPr="000500F1" w:rsidRDefault="000500F1" w:rsidP="000500F1">
            <w:r w:rsidRPr="000500F1">
              <w:t>3</w:t>
            </w:r>
          </w:p>
        </w:tc>
        <w:tc>
          <w:tcPr>
            <w:tcW w:w="1066" w:type="dxa"/>
          </w:tcPr>
          <w:p w14:paraId="07D35900" w14:textId="77777777" w:rsidR="000500F1" w:rsidRPr="000500F1" w:rsidRDefault="000500F1" w:rsidP="000500F1">
            <w:r w:rsidRPr="000500F1">
              <w:t>0</w:t>
            </w:r>
          </w:p>
        </w:tc>
      </w:tr>
      <w:tr w:rsidR="000500F1" w:rsidRPr="000500F1" w14:paraId="20C56BFB" w14:textId="77777777" w:rsidTr="00145812">
        <w:tc>
          <w:tcPr>
            <w:tcW w:w="5013" w:type="dxa"/>
          </w:tcPr>
          <w:p w14:paraId="68D9A0A0" w14:textId="77777777" w:rsidR="000500F1" w:rsidRPr="000500F1" w:rsidRDefault="000500F1" w:rsidP="000500F1">
            <w:r w:rsidRPr="000500F1">
              <w:t>Other Collaborative Agreements</w:t>
            </w:r>
          </w:p>
        </w:tc>
        <w:tc>
          <w:tcPr>
            <w:tcW w:w="799" w:type="dxa"/>
          </w:tcPr>
          <w:p w14:paraId="7FF3FE73" w14:textId="77777777" w:rsidR="000500F1" w:rsidRPr="000500F1" w:rsidRDefault="000500F1" w:rsidP="000500F1">
            <w:r w:rsidRPr="000500F1">
              <w:t>134</w:t>
            </w:r>
          </w:p>
        </w:tc>
        <w:tc>
          <w:tcPr>
            <w:tcW w:w="799" w:type="dxa"/>
          </w:tcPr>
          <w:p w14:paraId="4E758A4C" w14:textId="77777777" w:rsidR="000500F1" w:rsidRPr="000500F1" w:rsidRDefault="000500F1" w:rsidP="000500F1">
            <w:r w:rsidRPr="000500F1">
              <w:t>516</w:t>
            </w:r>
          </w:p>
        </w:tc>
        <w:tc>
          <w:tcPr>
            <w:tcW w:w="799" w:type="dxa"/>
          </w:tcPr>
          <w:p w14:paraId="0E475DA7" w14:textId="77777777" w:rsidR="000500F1" w:rsidRPr="000500F1" w:rsidRDefault="000500F1" w:rsidP="000500F1">
            <w:r w:rsidRPr="000500F1">
              <w:t>755</w:t>
            </w:r>
          </w:p>
        </w:tc>
        <w:tc>
          <w:tcPr>
            <w:tcW w:w="795" w:type="dxa"/>
          </w:tcPr>
          <w:p w14:paraId="62E0938D" w14:textId="77777777" w:rsidR="000500F1" w:rsidRPr="000500F1" w:rsidRDefault="000500F1" w:rsidP="000500F1">
            <w:r w:rsidRPr="000500F1">
              <w:t>1584</w:t>
            </w:r>
          </w:p>
        </w:tc>
        <w:tc>
          <w:tcPr>
            <w:tcW w:w="1066" w:type="dxa"/>
          </w:tcPr>
          <w:p w14:paraId="5C8977CA" w14:textId="77777777" w:rsidR="000500F1" w:rsidRPr="000500F1" w:rsidRDefault="000500F1" w:rsidP="000500F1">
            <w:r w:rsidRPr="000500F1">
              <w:t>463</w:t>
            </w:r>
          </w:p>
        </w:tc>
      </w:tr>
    </w:tbl>
    <w:p w14:paraId="50CC4FBA" w14:textId="77777777" w:rsidR="000500F1" w:rsidRPr="000500F1" w:rsidRDefault="000500F1" w:rsidP="000500F1">
      <w:r w:rsidRPr="000500F1">
        <w:br w:type="page"/>
      </w:r>
    </w:p>
    <w:p w14:paraId="491B80B7" w14:textId="77777777" w:rsidR="000500F1" w:rsidRPr="000500F1" w:rsidRDefault="000500F1" w:rsidP="000500F1">
      <w:r w:rsidRPr="000500F1">
        <w:lastRenderedPageBreak/>
        <w:t>Table 5: Other Intramural performance Measures Deemed Important to the Agency – Combined Programs</w:t>
      </w:r>
    </w:p>
    <w:tbl>
      <w:tblPr>
        <w:tblStyle w:val="TableGrid"/>
        <w:tblW w:w="4602" w:type="pct"/>
        <w:tblLook w:val="04A0" w:firstRow="1" w:lastRow="0" w:firstColumn="1" w:lastColumn="0" w:noHBand="0" w:noVBand="1"/>
        <w:tblDescription w:val="Sample table for template instructions"/>
      </w:tblPr>
      <w:tblGrid>
        <w:gridCol w:w="5121"/>
        <w:gridCol w:w="802"/>
        <w:gridCol w:w="802"/>
        <w:gridCol w:w="802"/>
        <w:gridCol w:w="797"/>
        <w:gridCol w:w="944"/>
      </w:tblGrid>
      <w:tr w:rsidR="000500F1" w:rsidRPr="000500F1" w14:paraId="274C3AD5" w14:textId="77777777" w:rsidTr="00145812">
        <w:trPr>
          <w:tblHeader/>
        </w:trPr>
        <w:tc>
          <w:tcPr>
            <w:tcW w:w="5121" w:type="dxa"/>
            <w:shd w:val="clear" w:color="auto" w:fill="D9D9D9" w:themeFill="background1" w:themeFillShade="D9"/>
          </w:tcPr>
          <w:p w14:paraId="3F25C6C5" w14:textId="77777777" w:rsidR="000500F1" w:rsidRPr="000500F1" w:rsidRDefault="000500F1" w:rsidP="000500F1">
            <w:r w:rsidRPr="000500F1">
              <w:t>Other metrics</w:t>
            </w:r>
          </w:p>
        </w:tc>
        <w:tc>
          <w:tcPr>
            <w:tcW w:w="802" w:type="dxa"/>
            <w:shd w:val="clear" w:color="auto" w:fill="D9D9D9" w:themeFill="background1" w:themeFillShade="D9"/>
          </w:tcPr>
          <w:p w14:paraId="274748B0" w14:textId="77777777" w:rsidR="000500F1" w:rsidRPr="000500F1" w:rsidRDefault="000500F1" w:rsidP="000500F1">
            <w:r w:rsidRPr="000500F1">
              <w:t>2019</w:t>
            </w:r>
          </w:p>
        </w:tc>
        <w:tc>
          <w:tcPr>
            <w:tcW w:w="802" w:type="dxa"/>
            <w:shd w:val="clear" w:color="auto" w:fill="D9D9D9" w:themeFill="background1" w:themeFillShade="D9"/>
          </w:tcPr>
          <w:p w14:paraId="74BC4899" w14:textId="77777777" w:rsidR="000500F1" w:rsidRPr="000500F1" w:rsidRDefault="000500F1" w:rsidP="000500F1">
            <w:r w:rsidRPr="000500F1">
              <w:t>2020</w:t>
            </w:r>
          </w:p>
        </w:tc>
        <w:tc>
          <w:tcPr>
            <w:tcW w:w="802" w:type="dxa"/>
            <w:shd w:val="clear" w:color="auto" w:fill="D9D9D9" w:themeFill="background1" w:themeFillShade="D9"/>
          </w:tcPr>
          <w:p w14:paraId="763A0C6A" w14:textId="77777777" w:rsidR="000500F1" w:rsidRPr="000500F1" w:rsidRDefault="000500F1" w:rsidP="000500F1">
            <w:r w:rsidRPr="000500F1">
              <w:t>2021</w:t>
            </w:r>
          </w:p>
        </w:tc>
        <w:tc>
          <w:tcPr>
            <w:tcW w:w="797" w:type="dxa"/>
            <w:shd w:val="clear" w:color="auto" w:fill="D9D9D9" w:themeFill="background1" w:themeFillShade="D9"/>
          </w:tcPr>
          <w:p w14:paraId="2BFB4202" w14:textId="77777777" w:rsidR="000500F1" w:rsidRPr="000500F1" w:rsidRDefault="000500F1" w:rsidP="000500F1">
            <w:r w:rsidRPr="000500F1">
              <w:t>2022</w:t>
            </w:r>
          </w:p>
        </w:tc>
        <w:tc>
          <w:tcPr>
            <w:tcW w:w="944" w:type="dxa"/>
            <w:shd w:val="clear" w:color="auto" w:fill="D9D9D9" w:themeFill="background1" w:themeFillShade="D9"/>
          </w:tcPr>
          <w:p w14:paraId="6120182C" w14:textId="77777777" w:rsidR="000500F1" w:rsidRPr="000500F1" w:rsidRDefault="000500F1" w:rsidP="000500F1">
            <w:r w:rsidRPr="000500F1">
              <w:t>2023</w:t>
            </w:r>
          </w:p>
        </w:tc>
      </w:tr>
      <w:tr w:rsidR="000500F1" w:rsidRPr="000500F1" w14:paraId="577E0E42" w14:textId="77777777" w:rsidTr="00145812">
        <w:tc>
          <w:tcPr>
            <w:tcW w:w="5121" w:type="dxa"/>
          </w:tcPr>
          <w:p w14:paraId="3279D7F8" w14:textId="77777777" w:rsidR="000500F1" w:rsidRPr="000500F1" w:rsidRDefault="000500F1" w:rsidP="000500F1">
            <w:r w:rsidRPr="000500F1">
              <w:t>New Confidentiality Agreements</w:t>
            </w:r>
          </w:p>
        </w:tc>
        <w:tc>
          <w:tcPr>
            <w:tcW w:w="802" w:type="dxa"/>
          </w:tcPr>
          <w:p w14:paraId="075F0FBA" w14:textId="77777777" w:rsidR="000500F1" w:rsidRPr="000500F1" w:rsidRDefault="000500F1" w:rsidP="000500F1">
            <w:r w:rsidRPr="000500F1">
              <w:t>12</w:t>
            </w:r>
          </w:p>
        </w:tc>
        <w:tc>
          <w:tcPr>
            <w:tcW w:w="802" w:type="dxa"/>
          </w:tcPr>
          <w:p w14:paraId="64EB02BF" w14:textId="77777777" w:rsidR="000500F1" w:rsidRPr="000500F1" w:rsidRDefault="000500F1" w:rsidP="000500F1">
            <w:r w:rsidRPr="000500F1">
              <w:t>37</w:t>
            </w:r>
          </w:p>
        </w:tc>
        <w:tc>
          <w:tcPr>
            <w:tcW w:w="802" w:type="dxa"/>
          </w:tcPr>
          <w:p w14:paraId="26D551B9" w14:textId="77777777" w:rsidR="000500F1" w:rsidRPr="000500F1" w:rsidRDefault="000500F1" w:rsidP="000500F1">
            <w:r w:rsidRPr="000500F1">
              <w:t>45</w:t>
            </w:r>
          </w:p>
        </w:tc>
        <w:tc>
          <w:tcPr>
            <w:tcW w:w="797" w:type="dxa"/>
          </w:tcPr>
          <w:p w14:paraId="60ACF51B" w14:textId="77777777" w:rsidR="000500F1" w:rsidRPr="000500F1" w:rsidRDefault="000500F1" w:rsidP="000500F1">
            <w:r w:rsidRPr="000500F1">
              <w:t>11</w:t>
            </w:r>
          </w:p>
        </w:tc>
        <w:tc>
          <w:tcPr>
            <w:tcW w:w="944" w:type="dxa"/>
          </w:tcPr>
          <w:p w14:paraId="6643F0E9" w14:textId="77777777" w:rsidR="000500F1" w:rsidRPr="000500F1" w:rsidRDefault="000500F1" w:rsidP="000500F1">
            <w:r w:rsidRPr="000500F1">
              <w:t>4</w:t>
            </w:r>
          </w:p>
        </w:tc>
      </w:tr>
      <w:tr w:rsidR="000500F1" w:rsidRPr="000500F1" w14:paraId="5CC7DD20" w14:textId="77777777" w:rsidTr="00145812">
        <w:tc>
          <w:tcPr>
            <w:tcW w:w="5121" w:type="dxa"/>
          </w:tcPr>
          <w:p w14:paraId="19F5DE3C" w14:textId="77777777" w:rsidR="000500F1" w:rsidRPr="000500F1" w:rsidRDefault="000500F1" w:rsidP="000500F1">
            <w:r w:rsidRPr="000500F1">
              <w:t>New Material Transfer Agreements</w:t>
            </w:r>
          </w:p>
        </w:tc>
        <w:tc>
          <w:tcPr>
            <w:tcW w:w="802" w:type="dxa"/>
          </w:tcPr>
          <w:p w14:paraId="085B58A0" w14:textId="77777777" w:rsidR="000500F1" w:rsidRPr="000500F1" w:rsidRDefault="000500F1" w:rsidP="000500F1">
            <w:r w:rsidRPr="000500F1">
              <w:t>47</w:t>
            </w:r>
          </w:p>
        </w:tc>
        <w:tc>
          <w:tcPr>
            <w:tcW w:w="802" w:type="dxa"/>
          </w:tcPr>
          <w:p w14:paraId="3363A7C6" w14:textId="77777777" w:rsidR="000500F1" w:rsidRPr="000500F1" w:rsidRDefault="000500F1" w:rsidP="000500F1">
            <w:r w:rsidRPr="000500F1">
              <w:t>53</w:t>
            </w:r>
          </w:p>
        </w:tc>
        <w:tc>
          <w:tcPr>
            <w:tcW w:w="802" w:type="dxa"/>
          </w:tcPr>
          <w:p w14:paraId="112832DF" w14:textId="77777777" w:rsidR="000500F1" w:rsidRPr="000500F1" w:rsidRDefault="000500F1" w:rsidP="000500F1">
            <w:r w:rsidRPr="000500F1">
              <w:t>49</w:t>
            </w:r>
          </w:p>
        </w:tc>
        <w:tc>
          <w:tcPr>
            <w:tcW w:w="797" w:type="dxa"/>
          </w:tcPr>
          <w:p w14:paraId="4E34439E" w14:textId="77777777" w:rsidR="000500F1" w:rsidRPr="000500F1" w:rsidRDefault="000500F1" w:rsidP="000500F1">
            <w:r w:rsidRPr="000500F1">
              <w:t>40</w:t>
            </w:r>
          </w:p>
        </w:tc>
        <w:tc>
          <w:tcPr>
            <w:tcW w:w="944" w:type="dxa"/>
          </w:tcPr>
          <w:p w14:paraId="4612DD7D" w14:textId="77777777" w:rsidR="000500F1" w:rsidRPr="000500F1" w:rsidRDefault="000500F1" w:rsidP="000500F1">
            <w:r w:rsidRPr="000500F1">
              <w:t>46</w:t>
            </w:r>
          </w:p>
        </w:tc>
      </w:tr>
      <w:tr w:rsidR="000500F1" w:rsidRPr="000500F1" w14:paraId="2B41B58D" w14:textId="77777777" w:rsidTr="00145812">
        <w:tc>
          <w:tcPr>
            <w:tcW w:w="5121" w:type="dxa"/>
          </w:tcPr>
          <w:p w14:paraId="7A7AF0DC" w14:textId="77777777" w:rsidR="000500F1" w:rsidRPr="000500F1" w:rsidRDefault="000500F1" w:rsidP="000500F1">
            <w:r w:rsidRPr="000500F1">
              <w:t>New Material Transfer Research Agreements</w:t>
            </w:r>
          </w:p>
        </w:tc>
        <w:tc>
          <w:tcPr>
            <w:tcW w:w="802" w:type="dxa"/>
          </w:tcPr>
          <w:p w14:paraId="597718C3" w14:textId="77777777" w:rsidR="000500F1" w:rsidRPr="000500F1" w:rsidRDefault="000500F1" w:rsidP="000500F1">
            <w:r w:rsidRPr="000500F1">
              <w:t>15</w:t>
            </w:r>
          </w:p>
        </w:tc>
        <w:tc>
          <w:tcPr>
            <w:tcW w:w="802" w:type="dxa"/>
          </w:tcPr>
          <w:p w14:paraId="48FDDFF5" w14:textId="77777777" w:rsidR="000500F1" w:rsidRPr="000500F1" w:rsidRDefault="000500F1" w:rsidP="000500F1">
            <w:r w:rsidRPr="000500F1">
              <w:t>13</w:t>
            </w:r>
          </w:p>
        </w:tc>
        <w:tc>
          <w:tcPr>
            <w:tcW w:w="802" w:type="dxa"/>
          </w:tcPr>
          <w:p w14:paraId="4E85A227" w14:textId="77777777" w:rsidR="000500F1" w:rsidRPr="000500F1" w:rsidRDefault="000500F1" w:rsidP="000500F1">
            <w:r w:rsidRPr="000500F1">
              <w:t>13</w:t>
            </w:r>
          </w:p>
        </w:tc>
        <w:tc>
          <w:tcPr>
            <w:tcW w:w="797" w:type="dxa"/>
          </w:tcPr>
          <w:p w14:paraId="77AA9E70" w14:textId="77777777" w:rsidR="000500F1" w:rsidRPr="000500F1" w:rsidRDefault="000500F1" w:rsidP="000500F1">
            <w:r w:rsidRPr="000500F1">
              <w:t>31</w:t>
            </w:r>
          </w:p>
        </w:tc>
        <w:tc>
          <w:tcPr>
            <w:tcW w:w="944" w:type="dxa"/>
          </w:tcPr>
          <w:p w14:paraId="678D1A95" w14:textId="77777777" w:rsidR="000500F1" w:rsidRPr="000500F1" w:rsidRDefault="000500F1" w:rsidP="000500F1">
            <w:r w:rsidRPr="000500F1">
              <w:t>14</w:t>
            </w:r>
          </w:p>
        </w:tc>
      </w:tr>
      <w:tr w:rsidR="000500F1" w:rsidRPr="000500F1" w14:paraId="6B8ADCDB" w14:textId="77777777" w:rsidTr="00145812">
        <w:tc>
          <w:tcPr>
            <w:tcW w:w="5121" w:type="dxa"/>
          </w:tcPr>
          <w:p w14:paraId="12DE9986" w14:textId="77777777" w:rsidR="000500F1" w:rsidRPr="000500F1" w:rsidRDefault="000500F1" w:rsidP="000500F1">
            <w:r w:rsidRPr="000500F1">
              <w:t>Peer-reviewed Scientific Publications</w:t>
            </w:r>
          </w:p>
        </w:tc>
        <w:tc>
          <w:tcPr>
            <w:tcW w:w="802" w:type="dxa"/>
          </w:tcPr>
          <w:p w14:paraId="00B45F1C" w14:textId="77777777" w:rsidR="000500F1" w:rsidRPr="000500F1" w:rsidRDefault="000500F1" w:rsidP="000500F1">
            <w:r w:rsidRPr="000500F1">
              <w:t>197</w:t>
            </w:r>
          </w:p>
        </w:tc>
        <w:tc>
          <w:tcPr>
            <w:tcW w:w="802" w:type="dxa"/>
          </w:tcPr>
          <w:p w14:paraId="22B155D8" w14:textId="77777777" w:rsidR="000500F1" w:rsidRPr="000500F1" w:rsidRDefault="000500F1" w:rsidP="000500F1">
            <w:r w:rsidRPr="000500F1">
              <w:t>178</w:t>
            </w:r>
          </w:p>
        </w:tc>
        <w:tc>
          <w:tcPr>
            <w:tcW w:w="802" w:type="dxa"/>
          </w:tcPr>
          <w:p w14:paraId="0836FA71" w14:textId="77777777" w:rsidR="000500F1" w:rsidRPr="000500F1" w:rsidRDefault="000500F1" w:rsidP="000500F1">
            <w:r w:rsidRPr="000500F1">
              <w:t>221</w:t>
            </w:r>
          </w:p>
        </w:tc>
        <w:tc>
          <w:tcPr>
            <w:tcW w:w="797" w:type="dxa"/>
          </w:tcPr>
          <w:p w14:paraId="40327E28" w14:textId="77777777" w:rsidR="000500F1" w:rsidRPr="000500F1" w:rsidRDefault="000500F1" w:rsidP="000500F1">
            <w:r w:rsidRPr="000500F1">
              <w:t>237</w:t>
            </w:r>
          </w:p>
        </w:tc>
        <w:tc>
          <w:tcPr>
            <w:tcW w:w="944" w:type="dxa"/>
          </w:tcPr>
          <w:p w14:paraId="6C1E9018" w14:textId="77777777" w:rsidR="000500F1" w:rsidRPr="000500F1" w:rsidRDefault="000500F1" w:rsidP="000500F1">
            <w:r w:rsidRPr="000500F1">
              <w:t>171</w:t>
            </w:r>
          </w:p>
        </w:tc>
      </w:tr>
      <w:tr w:rsidR="000500F1" w:rsidRPr="000500F1" w14:paraId="55EA1F5C" w14:textId="77777777" w:rsidTr="00145812">
        <w:tc>
          <w:tcPr>
            <w:tcW w:w="5121" w:type="dxa"/>
          </w:tcPr>
          <w:p w14:paraId="4947AC61" w14:textId="77777777" w:rsidR="000500F1" w:rsidRPr="000500F1" w:rsidRDefault="000500F1" w:rsidP="000500F1">
            <w:r w:rsidRPr="000500F1">
              <w:t>Nonindexed Publications</w:t>
            </w:r>
          </w:p>
        </w:tc>
        <w:tc>
          <w:tcPr>
            <w:tcW w:w="802" w:type="dxa"/>
          </w:tcPr>
          <w:p w14:paraId="5DACD197" w14:textId="77777777" w:rsidR="000500F1" w:rsidRPr="000500F1" w:rsidRDefault="000500F1" w:rsidP="000500F1">
            <w:r w:rsidRPr="000500F1">
              <w:t>23</w:t>
            </w:r>
          </w:p>
        </w:tc>
        <w:tc>
          <w:tcPr>
            <w:tcW w:w="802" w:type="dxa"/>
          </w:tcPr>
          <w:p w14:paraId="49F16B37" w14:textId="77777777" w:rsidR="000500F1" w:rsidRPr="000500F1" w:rsidRDefault="000500F1" w:rsidP="000500F1">
            <w:r w:rsidRPr="000500F1">
              <w:t>11</w:t>
            </w:r>
          </w:p>
        </w:tc>
        <w:tc>
          <w:tcPr>
            <w:tcW w:w="802" w:type="dxa"/>
          </w:tcPr>
          <w:p w14:paraId="4DAB0342" w14:textId="77777777" w:rsidR="000500F1" w:rsidRPr="000500F1" w:rsidRDefault="000500F1" w:rsidP="000500F1">
            <w:r w:rsidRPr="000500F1">
              <w:t>18</w:t>
            </w:r>
          </w:p>
        </w:tc>
        <w:tc>
          <w:tcPr>
            <w:tcW w:w="797" w:type="dxa"/>
          </w:tcPr>
          <w:p w14:paraId="34A8D27E" w14:textId="77777777" w:rsidR="000500F1" w:rsidRPr="000500F1" w:rsidRDefault="000500F1" w:rsidP="000500F1">
            <w:r w:rsidRPr="000500F1">
              <w:t>5</w:t>
            </w:r>
          </w:p>
        </w:tc>
        <w:tc>
          <w:tcPr>
            <w:tcW w:w="944" w:type="dxa"/>
          </w:tcPr>
          <w:p w14:paraId="4BA00B9B" w14:textId="77777777" w:rsidR="000500F1" w:rsidRPr="000500F1" w:rsidRDefault="000500F1" w:rsidP="000500F1">
            <w:r w:rsidRPr="000500F1">
              <w:t>67</w:t>
            </w:r>
          </w:p>
        </w:tc>
      </w:tr>
    </w:tbl>
    <w:p w14:paraId="11C1F566" w14:textId="77777777" w:rsidR="000500F1" w:rsidRPr="000500F1" w:rsidRDefault="000500F1" w:rsidP="000500F1">
      <w:pPr>
        <w:pStyle w:val="Heading2"/>
        <w:rPr>
          <w:color w:val="000000" w:themeColor="text1"/>
        </w:rPr>
      </w:pPr>
      <w:bookmarkStart w:id="345" w:name="_Toc120529398"/>
      <w:bookmarkStart w:id="346" w:name="_Toc120622109"/>
      <w:bookmarkStart w:id="347" w:name="_Toc123025367"/>
      <w:bookmarkStart w:id="348" w:name="_Toc156552587"/>
      <w:bookmarkStart w:id="349" w:name="_Toc160186000"/>
      <w:r w:rsidRPr="000500F1">
        <w:rPr>
          <w:color w:val="000000" w:themeColor="text1"/>
        </w:rPr>
        <w:t>Biotechnology Regulatory Services (BRS)</w:t>
      </w:r>
      <w:bookmarkEnd w:id="345"/>
      <w:bookmarkEnd w:id="346"/>
      <w:bookmarkEnd w:id="347"/>
      <w:bookmarkEnd w:id="348"/>
      <w:bookmarkEnd w:id="349"/>
    </w:p>
    <w:p w14:paraId="58F00FE3" w14:textId="77777777" w:rsidR="000500F1" w:rsidRPr="000500F1" w:rsidRDefault="00B2178E" w:rsidP="000500F1">
      <w:hyperlink r:id="rId10" w:history="1">
        <w:r w:rsidR="000500F1" w:rsidRPr="000500F1">
          <w:t>www.aphis.usda.gov/biotechnology/index.shtml</w:t>
        </w:r>
      </w:hyperlink>
      <w:r w:rsidR="000500F1" w:rsidRPr="000500F1">
        <w:t xml:space="preserve">   </w:t>
      </w:r>
    </w:p>
    <w:p w14:paraId="0C9E5C66" w14:textId="77777777" w:rsidR="000500F1" w:rsidRPr="000500F1" w:rsidRDefault="000500F1" w:rsidP="000500F1">
      <w:pPr>
        <w:pStyle w:val="Heading3"/>
      </w:pPr>
      <w:bookmarkStart w:id="350" w:name="_Toc120529399"/>
      <w:bookmarkStart w:id="351" w:name="_Toc120622110"/>
      <w:bookmarkStart w:id="352" w:name="_Toc123025368"/>
      <w:bookmarkStart w:id="353" w:name="_Toc156552588"/>
      <w:bookmarkStart w:id="354" w:name="_Toc160186001"/>
      <w:r w:rsidRPr="000500F1">
        <w:t>Mission Statement</w:t>
      </w:r>
      <w:bookmarkEnd w:id="350"/>
      <w:bookmarkEnd w:id="351"/>
      <w:bookmarkEnd w:id="352"/>
      <w:bookmarkEnd w:id="353"/>
      <w:bookmarkEnd w:id="354"/>
    </w:p>
    <w:p w14:paraId="324B5BDE" w14:textId="77777777" w:rsidR="000500F1" w:rsidRPr="000500F1" w:rsidRDefault="000500F1" w:rsidP="000500F1">
      <w:r w:rsidRPr="000500F1">
        <w:t xml:space="preserve">The mission of BRS is to protect and enhance U.S. agricultural and natural resources using a science-based regulatory framework to ensure the safe importation, interstate movement, and environmental release of certain organisms that have been modified or produced using genetic engineering. </w:t>
      </w:r>
    </w:p>
    <w:p w14:paraId="101030F0" w14:textId="77777777" w:rsidR="000500F1" w:rsidRPr="000500F1" w:rsidRDefault="000500F1" w:rsidP="000500F1">
      <w:pPr>
        <w:pStyle w:val="Heading3"/>
      </w:pPr>
      <w:bookmarkStart w:id="355" w:name="_Toc120529400"/>
      <w:bookmarkStart w:id="356" w:name="_Toc120622111"/>
      <w:bookmarkStart w:id="357" w:name="_Toc123025369"/>
      <w:bookmarkStart w:id="358" w:name="_Toc156552589"/>
      <w:bookmarkStart w:id="359" w:name="_Toc160186002"/>
      <w:r w:rsidRPr="000500F1">
        <w:t>Metrics Tables</w:t>
      </w:r>
      <w:bookmarkEnd w:id="355"/>
      <w:bookmarkEnd w:id="356"/>
      <w:bookmarkEnd w:id="357"/>
      <w:bookmarkEnd w:id="358"/>
      <w:bookmarkEnd w:id="359"/>
    </w:p>
    <w:p w14:paraId="58322022" w14:textId="77777777" w:rsidR="000500F1" w:rsidRPr="000500F1" w:rsidRDefault="000500F1" w:rsidP="000500F1">
      <w:r w:rsidRPr="000500F1">
        <w:t>Biotechnology Technology Regulatory Services did not utilize technology transfer agreements in FY2023.</w:t>
      </w:r>
    </w:p>
    <w:p w14:paraId="160793FE" w14:textId="77777777" w:rsidR="000500F1" w:rsidRPr="000500F1" w:rsidRDefault="000500F1" w:rsidP="000500F1">
      <w:pPr>
        <w:pStyle w:val="Heading3"/>
      </w:pPr>
      <w:bookmarkStart w:id="360" w:name="_Toc120622112"/>
      <w:bookmarkStart w:id="361" w:name="_Toc123025370"/>
      <w:bookmarkStart w:id="362" w:name="_Toc156552590"/>
      <w:bookmarkStart w:id="363" w:name="_Toc160186003"/>
      <w:r w:rsidRPr="000500F1">
        <w:t>Success Stories Demonstrating Downstream Outcomes from Technology Transfer Activities</w:t>
      </w:r>
      <w:bookmarkEnd w:id="360"/>
      <w:bookmarkEnd w:id="361"/>
      <w:bookmarkEnd w:id="362"/>
      <w:bookmarkEnd w:id="363"/>
    </w:p>
    <w:p w14:paraId="3BC5305F" w14:textId="77777777" w:rsidR="000500F1" w:rsidRPr="000500F1" w:rsidRDefault="000500F1" w:rsidP="000500F1">
      <w:r w:rsidRPr="000500F1">
        <w:t xml:space="preserve">In FY 2023, APHIS successfully continued its operations under the new regulatory processes in its revised biotechnology regulations (7 CFR part 340), which were published in May 2020. In FY 2023, APHIS issued four guides and a template to assist developers in navigating and complying with the revised regulations. These guides assist developers in applying for multi-year permits, applying for microorganism permits, submitting data for reports and notices, and requesting a Regulatory Status Review (RSR) for a modified plant. Since the implementation of the revised rule, both the number of regulatory review requests received and the proportion that are from small and mid-sized developers have more than tripled compared to what APHIS received under the legacy regulations, demonstrating the effectiveness of the revised rule in expanding opportunity and fostering innovation in biotechnology. </w:t>
      </w:r>
    </w:p>
    <w:p w14:paraId="16DD6FBA" w14:textId="77777777" w:rsidR="000500F1" w:rsidRPr="000500F1" w:rsidRDefault="000500F1" w:rsidP="000500F1"/>
    <w:p w14:paraId="4813E36C" w14:textId="77777777" w:rsidR="000500F1" w:rsidRPr="000500F1" w:rsidRDefault="000500F1" w:rsidP="000500F1">
      <w:r w:rsidRPr="000500F1">
        <w:t>Delivered excellent customer service and fostered innovation by authorizing over 780 permits to 225 organizations to use novel plants and organisms developed using genetic engineering; and completing over 700 inspections of authorized activities.</w:t>
      </w:r>
    </w:p>
    <w:p w14:paraId="3E08908F" w14:textId="1FC543E1" w:rsidR="000500F1" w:rsidRPr="000500F1" w:rsidRDefault="000500F1" w:rsidP="000500F1">
      <w:r w:rsidRPr="000500F1">
        <w:t>Fostered innovation, particularly by small and medium businesses, by issuing responses to 15 regulatory status review requests and initiating an additional 48 requests. Submissions were received for 10 crop species that had not been reviewed under the legacy regulations, and 94 percent of the new submissions were from small and medium-sized companies and academics. Additionally, APHIS responded to 40 requests for confirmation of exempt status, all small or medium-sized developers, expediting innovative product development for agricultural use and domestic and international markets.</w:t>
      </w:r>
    </w:p>
    <w:p w14:paraId="699E8E1F" w14:textId="77777777" w:rsidR="000500F1" w:rsidRPr="000500F1" w:rsidRDefault="000500F1" w:rsidP="000500F1">
      <w:r w:rsidRPr="000500F1">
        <w:t>Further fostered innovation by collaborating with EPA and FDA on implementing President Biden’s Executive Order 14081, “Advancing Biotechnology and Biomanufacturing Innovation for a Sustainable, Safe, and Secure American Bioeconomy” through issuing a Request for Information on regulatory gaps, ambiguities, and uncertainties, issuing a report on the comments received, and assisting developers by posting plain language information on biotechnology product regulation by the three agencies.</w:t>
      </w:r>
    </w:p>
    <w:p w14:paraId="79A48094" w14:textId="77777777" w:rsidR="000500F1" w:rsidRPr="000500F1" w:rsidRDefault="000500F1" w:rsidP="000500F1">
      <w:pPr>
        <w:pStyle w:val="Heading2"/>
        <w:rPr>
          <w:color w:val="000000" w:themeColor="text1"/>
        </w:rPr>
      </w:pPr>
      <w:bookmarkStart w:id="364" w:name="_Toc120529402"/>
      <w:bookmarkStart w:id="365" w:name="_Toc120622113"/>
      <w:bookmarkStart w:id="366" w:name="_Toc123025371"/>
      <w:bookmarkStart w:id="367" w:name="_Toc156552591"/>
      <w:bookmarkStart w:id="368" w:name="_Toc160186004"/>
      <w:r w:rsidRPr="000500F1">
        <w:rPr>
          <w:color w:val="000000" w:themeColor="text1"/>
        </w:rPr>
        <w:t>International Services</w:t>
      </w:r>
      <w:bookmarkEnd w:id="364"/>
      <w:bookmarkEnd w:id="365"/>
      <w:bookmarkEnd w:id="366"/>
      <w:bookmarkEnd w:id="367"/>
      <w:bookmarkEnd w:id="368"/>
    </w:p>
    <w:p w14:paraId="36E59864" w14:textId="77777777" w:rsidR="000500F1" w:rsidRPr="000500F1" w:rsidRDefault="00B2178E" w:rsidP="000500F1">
      <w:hyperlink r:id="rId11" w:history="1">
        <w:r w:rsidR="000500F1" w:rsidRPr="000500F1">
          <w:t>https://www.aphis.usda.gov/aphis/ourfocus/internationalservices</w:t>
        </w:r>
      </w:hyperlink>
      <w:r w:rsidR="000500F1" w:rsidRPr="000500F1">
        <w:t xml:space="preserve"> </w:t>
      </w:r>
    </w:p>
    <w:p w14:paraId="21141104" w14:textId="77777777" w:rsidR="000500F1" w:rsidRPr="000500F1" w:rsidRDefault="000500F1" w:rsidP="000500F1">
      <w:pPr>
        <w:pStyle w:val="Heading3"/>
      </w:pPr>
      <w:bookmarkStart w:id="369" w:name="_Toc120529403"/>
      <w:bookmarkStart w:id="370" w:name="_Toc120622114"/>
      <w:bookmarkStart w:id="371" w:name="_Toc123025372"/>
      <w:bookmarkStart w:id="372" w:name="_Toc156552592"/>
      <w:bookmarkStart w:id="373" w:name="_Toc160186005"/>
      <w:r w:rsidRPr="000500F1">
        <w:t>Mission Statement</w:t>
      </w:r>
      <w:bookmarkEnd w:id="369"/>
      <w:bookmarkEnd w:id="370"/>
      <w:bookmarkEnd w:id="371"/>
      <w:bookmarkEnd w:id="372"/>
      <w:bookmarkEnd w:id="373"/>
    </w:p>
    <w:p w14:paraId="19DD9462" w14:textId="77777777" w:rsidR="000500F1" w:rsidRPr="000500F1" w:rsidRDefault="000500F1" w:rsidP="000500F1">
      <w:r w:rsidRPr="000500F1">
        <w:t xml:space="preserve">The mission of APHIS - International Services (IS) is to protect U.S. agricultural and natural resources by working with foreign governments and international organizations to prevent the spread of high-risk plant pests and animal diseases; facilitate the safe international movement of agricultural commodities through science-based regulations and internationally accepted standards; and enhance global health and U.S. biosecurity through the development of science-based regulatory systems and policies around the world. </w:t>
      </w:r>
    </w:p>
    <w:p w14:paraId="6492237B" w14:textId="77777777" w:rsidR="000500F1" w:rsidRPr="000500F1" w:rsidRDefault="000500F1" w:rsidP="000500F1">
      <w:pPr>
        <w:pStyle w:val="Heading3"/>
      </w:pPr>
      <w:bookmarkStart w:id="374" w:name="_Toc120529404"/>
      <w:bookmarkStart w:id="375" w:name="_Toc120622115"/>
      <w:bookmarkStart w:id="376" w:name="_Toc123025373"/>
      <w:bookmarkStart w:id="377" w:name="_Toc156552593"/>
      <w:bookmarkStart w:id="378" w:name="_Toc160186006"/>
      <w:r w:rsidRPr="000500F1">
        <w:t>Metric Tables</w:t>
      </w:r>
      <w:bookmarkEnd w:id="374"/>
      <w:bookmarkEnd w:id="375"/>
      <w:bookmarkEnd w:id="376"/>
      <w:bookmarkEnd w:id="377"/>
      <w:bookmarkEnd w:id="378"/>
    </w:p>
    <w:p w14:paraId="55680225" w14:textId="77777777" w:rsidR="000500F1" w:rsidRPr="000500F1" w:rsidRDefault="000500F1" w:rsidP="000500F1">
      <w:r w:rsidRPr="000500F1">
        <w:t>International Services did not utilize technology transfer agreements in FY2023.</w:t>
      </w:r>
    </w:p>
    <w:p w14:paraId="122724D4" w14:textId="77777777" w:rsidR="000500F1" w:rsidRPr="000500F1" w:rsidRDefault="000500F1" w:rsidP="000500F1">
      <w:pPr>
        <w:pStyle w:val="Heading3"/>
      </w:pPr>
      <w:bookmarkStart w:id="379" w:name="_Toc120529405"/>
      <w:bookmarkStart w:id="380" w:name="_Toc120622116"/>
      <w:bookmarkStart w:id="381" w:name="_Toc123025374"/>
      <w:bookmarkStart w:id="382" w:name="_Toc156552594"/>
      <w:bookmarkStart w:id="383" w:name="_Toc160186007"/>
      <w:r w:rsidRPr="000500F1">
        <w:t>Success Stories Demonstrating Downstream Outcomes from Technology Transfer Activities</w:t>
      </w:r>
      <w:bookmarkEnd w:id="379"/>
      <w:bookmarkEnd w:id="380"/>
      <w:bookmarkEnd w:id="381"/>
      <w:bookmarkEnd w:id="382"/>
      <w:bookmarkEnd w:id="383"/>
    </w:p>
    <w:p w14:paraId="02BC9543" w14:textId="77777777" w:rsidR="000500F1" w:rsidRPr="000500F1" w:rsidRDefault="000500F1" w:rsidP="000500F1">
      <w:r w:rsidRPr="000500F1">
        <w:t xml:space="preserve">In 2023, the Action Programs Medfly/Mexfly (MOSCAMED) Program coordinated the production and shipment of 6,000 insecticide impregnated wax bait stations, a tool developed and tested in Guatemala and approved by the U.S. Environmental Protection Agency for use in Texas, for a Mexican fruit fly eradication program in southern Texas.  </w:t>
      </w:r>
    </w:p>
    <w:p w14:paraId="17B6E051" w14:textId="77777777" w:rsidR="000500F1" w:rsidRPr="000500F1" w:rsidRDefault="000500F1" w:rsidP="000500F1">
      <w:r w:rsidRPr="000500F1">
        <w:lastRenderedPageBreak/>
        <w:t xml:space="preserve">MOSCAMED provided a training session to the Government of Guatemala’s Programa Integral de Protección Agrícola y Ambiental (PIPAA) on use of geographic information system (GIS) technology  for the control and maintenance of  Medfly free areas to papaya producers in the internationally recognized fruit fly free area of Peten, Guatemala. This support aids growers in meeting health inspection and certification requirements of fresh papayas for export to the United States.   </w:t>
      </w:r>
    </w:p>
    <w:p w14:paraId="5DC84703" w14:textId="77777777" w:rsidR="000500F1" w:rsidRPr="000500F1" w:rsidRDefault="000500F1" w:rsidP="000500F1">
      <w:r w:rsidRPr="000500F1">
        <w:t>IS coordinated and partnered with the United States Forest Service, Counterpart International. and the Association of Private Nature Reserves of Guatemala (ANRPG) to implement a virtual beekeeping course. The course was provided to 30 participants from key MOSCAMED program areas and included two field days and one strategic public facing activity. Participants committed to provide technical assistance in the development of community native beekeeping projects, support the protection and promotion of Guatemalan agroforestry through the production of honey as a cultural tradition, wildlife conservation, and economic growth activity.</w:t>
      </w:r>
    </w:p>
    <w:p w14:paraId="675928C9" w14:textId="77777777" w:rsidR="000500F1" w:rsidRPr="000500F1" w:rsidRDefault="000500F1" w:rsidP="000500F1">
      <w:r w:rsidRPr="000500F1">
        <w:t xml:space="preserve">MOSCAMED collaborated with the Inter-American Institute for Cooperation on Agriculture (IICA) to implement three IICA-funded projects, totaling $370,000, in Guatemala. The "Peach Pollination Project" to improve pollination for increased peach production in a nationally recognized Medfly free area. The "De-Africanization Project – Production and Distribution of Queens," provided docile and highly productive queen bees of European strains and technical assistance to local beekeepers in conflict-prone areas, fostering a positive relationship for the Medfly Program and support safe beekeeping with docile bees. Lastly, the "Parasitic Flies Project" collaborate with the Private Nature Reserves of Guatemala to identify the role of bee-parasitizing flies on the decline of honeybee colonies and to investigate potential solutions to improve hive health and productivity.       </w:t>
      </w:r>
    </w:p>
    <w:p w14:paraId="627E9A08" w14:textId="77777777" w:rsidR="000500F1" w:rsidRPr="000500F1" w:rsidRDefault="000500F1" w:rsidP="000500F1">
      <w:r w:rsidRPr="000500F1">
        <w:t xml:space="preserve">IS provided several GIS mapping and field data evaluation training sessions to personnel in the African Swine Fever (ASF) program in the Dominican Republic. </w:t>
      </w:r>
    </w:p>
    <w:p w14:paraId="2DE81E24" w14:textId="77777777" w:rsidR="000500F1" w:rsidRPr="000500F1" w:rsidRDefault="000500F1" w:rsidP="000500F1">
      <w:r w:rsidRPr="000500F1">
        <w:t xml:space="preserve">IS is collaborating with USDA-Agricultural Research Service (ARS) scientists for the development of a Medfly prediction model. The objective is to create the capacity to predict medfly population size based on biotic and abiotic factors, supporting more effective projections of investments in the same. This ongoing effort included representatives from the MOSCAMED program in Guatemala and the Secretariat of Agriculture and Rural Development (SADER) in Mexico.  </w:t>
      </w:r>
    </w:p>
    <w:p w14:paraId="3CD920DF" w14:textId="77777777" w:rsidR="000500F1" w:rsidRPr="000500F1" w:rsidRDefault="000500F1" w:rsidP="000500F1">
      <w:r w:rsidRPr="000500F1">
        <w:t xml:space="preserve">IS conducted monthly regional technical exchanges to increase the sterile Medfly production levels at the Metapa plant in Tapachula, Mexico.  As a result, Metapa’s weekly production level stabilized, increasing from an initial goal of 450 million pupae to a new target of 650 million pupae per week. Looking ahead to 2024, the weekly target will increase to 850 million pupae. IS engaged in similar support to the Chiapas, Mexico Medfly packing and release facility, accomplishing agreement on 7 out of 14 quality control elements across the regional program and noteworthy progress on the implementation of survival tests in field cages for released adults. </w:t>
      </w:r>
    </w:p>
    <w:p w14:paraId="70CEE406" w14:textId="77777777" w:rsidR="000500F1" w:rsidRPr="000500F1" w:rsidRDefault="000500F1" w:rsidP="000500F1">
      <w:r w:rsidRPr="000500F1">
        <w:t>APHIS Methods Development in Guatemala transferred efficient Mexfly techniques to MOSCAMED to improve Mexfly rearing efficiency, reducing rearing racks while maintaining consistent production.</w:t>
      </w:r>
    </w:p>
    <w:p w14:paraId="4C0EB24A" w14:textId="77777777" w:rsidR="000500F1" w:rsidRPr="000500F1" w:rsidRDefault="000500F1" w:rsidP="000500F1">
      <w:r w:rsidRPr="000500F1">
        <w:t xml:space="preserve">COPEG continues to serve as a valuable resource in development and transfer of technology, protocols, education, and training cooperatively through regional and international organizations to countries interested in increasing capacity to detect, identify, and respond to New World Screwworm (NWS) in </w:t>
      </w:r>
      <w:r w:rsidRPr="000500F1">
        <w:lastRenderedPageBreak/>
        <w:t xml:space="preserve">NWS free-areas and/or to pursue eradication efforts in NWS endemic countries.  In 2023, COPEG was dedicated to the control of the NWS outbreak that expanded to all provinces in Panama and to several areas in Costa Rica. During most of 2023 COPEG’s response to the emergency was increase production, outreach and education and active surveillance. As part of the response COPEG hired 22 inspectors, 5 veterinarians and 3 professionals to develop outreach materials and provide sanitary education to stakeholders. </w:t>
      </w:r>
    </w:p>
    <w:p w14:paraId="6ADAA150" w14:textId="77777777" w:rsidR="000500F1" w:rsidRPr="000500F1" w:rsidRDefault="000500F1" w:rsidP="000500F1">
      <w:r w:rsidRPr="000500F1">
        <w:t>COPEG participated in 30 agricultural events to share information related to NWS prevention. COPEG provided 111 short trainings benefiting 2,799 producers and other related stakeholders, and 5 formal education events focused on NWS detection, prevention and treatment attended by 358 participants. COPEG provided virtual training to over 70 veterinarians from Panama, Nicaragua, and Costa Rica in techniques to identify and diagnose NWS flies and larvae. In addition to training, COPEG issued over 1050 radio campaign adds to spread the message regarding the COPEG mission and the key aspects of NWS prevention.</w:t>
      </w:r>
    </w:p>
    <w:p w14:paraId="606B717F" w14:textId="77777777" w:rsidR="000500F1" w:rsidRPr="000500F1" w:rsidRDefault="000500F1" w:rsidP="000500F1">
      <w:r w:rsidRPr="000500F1">
        <w:t>To enhance detection of cases and prevent further spread, COPEG conducts active surveillance in various livestock operations throughout the country. In October 2023, COPEG visited 1,117 farms in the Chiriquí area, bordering with Costa Rica where a total of 73,400 susceptible animals of various species were inspected for NWS.</w:t>
      </w:r>
    </w:p>
    <w:p w14:paraId="14EE03A9" w14:textId="77777777" w:rsidR="000500F1" w:rsidRPr="000500F1" w:rsidRDefault="000500F1" w:rsidP="000500F1">
      <w:r w:rsidRPr="000500F1">
        <w:t>COPEG continues to partner with ARS on development of a genetically modified (GM) sterile all-male NWS strain expected to improve program delivery and significantly reduce production costs.  Additionally, ARS continues to study the impact of new diet formulations that would facilitate the rearing of sterile insects at the plant at lower costs and with local suppliers that may result in increased availability and sustainability of diet products that are often impacted by other global crisis, such as eggs and the current HPAI outbreaks.</w:t>
      </w:r>
    </w:p>
    <w:p w14:paraId="0A0F1ACD" w14:textId="77777777" w:rsidR="000500F1" w:rsidRPr="000500F1" w:rsidRDefault="000500F1" w:rsidP="000500F1">
      <w:r w:rsidRPr="000500F1">
        <w:t>In 2023, COPEG commenced an IT modernization effort focused on the infrastructure and network that supports the processes and information systems to manage COPEG’s operations. This effort includes strengthening cyber security to make site operations less susceptible to malware, reduce outside threats, and prevent data loss; improving communications and data storage capabilities, and reducing susceptible lapses in operation times and ensure continuity.</w:t>
      </w:r>
    </w:p>
    <w:p w14:paraId="0083EAFD" w14:textId="77777777" w:rsidR="000500F1" w:rsidRPr="000500F1" w:rsidRDefault="000500F1" w:rsidP="000500F1">
      <w:bookmarkStart w:id="384" w:name="_Hlk154038230"/>
      <w:r w:rsidRPr="000500F1">
        <w:t>COPEG continues to work with Uruguay to support NWS eradication program planning. COPEG hosted two 15-person delegations of representatives from Uruguay’s Ministry of Cattle, Agriculture, and Fisheries (MGAP), to visit facilities in Panama, discuss science-based eradication strategies and infrastructure set up for sterile pupae emergence, quality control, and dispersal. In addition, COPEG hosted a delegation of five representatives from MGAP to visit COPEG field operations during an outbreak such an animal quarantine posts, surveillance strategies and dispersal techniques of ground release chambers. </w:t>
      </w:r>
    </w:p>
    <w:bookmarkEnd w:id="384"/>
    <w:p w14:paraId="5FDAAE72" w14:textId="77777777" w:rsidR="000500F1" w:rsidRPr="000500F1" w:rsidRDefault="000500F1" w:rsidP="000500F1">
      <w:r w:rsidRPr="000500F1">
        <w:t xml:space="preserve">COPEG is working on website updates and expanded social media and other mass communication media (i.e., radio and television) to educate the public on COPEG’s mission and stakeholders on the technical aspects of NWS prevention and treatment. </w:t>
      </w:r>
    </w:p>
    <w:p w14:paraId="636330A4" w14:textId="309A92DC" w:rsidR="000500F1" w:rsidRPr="000500F1" w:rsidRDefault="000500F1" w:rsidP="000500F1">
      <w:r w:rsidRPr="000500F1">
        <w:t xml:space="preserve">IS collaborated with PPQ to develop a ‘train the trainer’ program for FAO-IPPC APP (United Nations-Food and Agriculture Organization’s International Plant Protection Convention African Phytosanitary </w:t>
      </w:r>
      <w:r w:rsidRPr="000500F1">
        <w:lastRenderedPageBreak/>
        <w:t xml:space="preserve">Program). An integral major component of the APP focused on training over 60 African plant health personnel. The National Plant Protection Organization (NPPO) representatives will be using surveillance and detection protocols and associated identification and analytical tools on priority pests identified in pest lists generated by the 10 participating African pilot countries. IS Nairobi provided on-hand expertise, and APHIS-IS’ International Technical and Regulatory Capacity Building (ITRCB) branch managed $250,000 funded through an APHIS cooperative agreement with the FAO-IPPC to cover this activity. </w:t>
      </w:r>
    </w:p>
    <w:p w14:paraId="6F4DF817" w14:textId="77777777" w:rsidR="000500F1" w:rsidRPr="000500F1" w:rsidRDefault="000500F1" w:rsidP="000500F1">
      <w:r w:rsidRPr="000500F1">
        <w:t>IS collaborated with APHIS-VS, through its Foreign Animal Disease Diagnostic Laboratory (FADDL) and National Bio- and Agriculture Defense Facility (NBAF) to implement the Global Partnership for Animal and Zoonotic Disease Surveillance (GPAZDS).   APHIS-IS participated in the program’s advisory committee, and another IS veterinarian serves as a member of the symposium committee.</w:t>
      </w:r>
    </w:p>
    <w:p w14:paraId="1D337581" w14:textId="77777777" w:rsidR="000500F1" w:rsidRPr="000500F1" w:rsidRDefault="000500F1" w:rsidP="000500F1">
      <w:r w:rsidRPr="000500F1">
        <w:t>APHIS-IS provided $200,000 to Tuskegee University to support the 8th Pan-African Conference and Workshop on Sanitary/Phytosanitary (SPS) Regulations and Science-based Risk Analysis, held in Nairobi, Kenya. Through this conference, IS trains African scientists working in academia and public and private sectors, and regulators from each of Africa’s four geographic regions (Northern, Eastern, Western, and Southern) in risk analysis principles. The workshops and training sessions have promoted unity among participants, which has led to the formation of the African Network for SPS Regulations and Science-based Risk Analysis to promote African trade relations and facilitate global agricultural trade in Africa. APHIS-IS’ Europe, Africa, and the Middle East region provided subject matter experts to deliver presentations during the workshops, and IS’ ITRCB branch manages the cooperative agreement for this initiative.</w:t>
      </w:r>
    </w:p>
    <w:p w14:paraId="5A2FA61C" w14:textId="77777777" w:rsidR="000500F1" w:rsidRPr="000500F1" w:rsidRDefault="000500F1" w:rsidP="000500F1">
      <w:pPr>
        <w:pStyle w:val="Heading4"/>
        <w:rPr>
          <w:rFonts w:eastAsiaTheme="minorHAnsi"/>
        </w:rPr>
      </w:pPr>
      <w:bookmarkStart w:id="385" w:name="_Toc160186008"/>
      <w:r w:rsidRPr="000500F1">
        <w:t>Japan</w:t>
      </w:r>
      <w:bookmarkEnd w:id="385"/>
    </w:p>
    <w:p w14:paraId="71046E9D" w14:textId="77777777" w:rsidR="000500F1" w:rsidRPr="000500F1" w:rsidRDefault="000500F1" w:rsidP="000500F1">
      <w:r w:rsidRPr="000500F1">
        <w:t>APHIS- IS-Tokyo in collaboration with APHIS-PPQ and FAS, hosted a systems approach in plant health workshop for the Japan Ministry of Agriculture, Forestry, and Fisheries (MAFF) officials and technical experts. PPQ risk management SMEs provided case studies demonstrating a scientific basis to support a systems approach and analysis of currently implemented systems approach protocols. Through the workshop, APHIS supported building MAFF's internal capacity of utilizing and evaluating systems approaches to broaden market access options and expand existing protocols with trading partners.  Case studies included U.S. apples under a systems approach as an alternative to methyl bromide fumigation.</w:t>
      </w:r>
    </w:p>
    <w:p w14:paraId="7594303C" w14:textId="77777777" w:rsidR="000500F1" w:rsidRPr="000500F1" w:rsidRDefault="000500F1" w:rsidP="000500F1">
      <w:r w:rsidRPr="000500F1">
        <w:t>APHIS- IS-Tokyo presented on capacity building activities in Asia and the Pacific to the Global Framework for Transboundary Animal Diseases (GF-TADs) hosted by the World Organization for Animal Health (WOAH) and the Food and Agriculture Organization in Tokyo. The focus of the meeting was to update the regional framework for transboundary animal diseases and avoid the duplication of capacity building efforts in Asia and the Pacific.</w:t>
      </w:r>
    </w:p>
    <w:p w14:paraId="3C06C483" w14:textId="77777777" w:rsidR="000500F1" w:rsidRPr="000500F1" w:rsidRDefault="000500F1" w:rsidP="000500F1">
      <w:r w:rsidRPr="000500F1">
        <w:t xml:space="preserve">APHIS- IS-Tokyo presented a regional perspective of how APHIS is supporting US poultry trade in China, Taiwan, Korea, and Japan to the participants of the USA Poultry and Egg Export Council’s annual global strategy planning meeting. </w:t>
      </w:r>
    </w:p>
    <w:p w14:paraId="6AADAD41" w14:textId="77777777" w:rsidR="000500F1" w:rsidRPr="000500F1" w:rsidRDefault="000500F1" w:rsidP="000500F1">
      <w:pPr>
        <w:pStyle w:val="Heading4"/>
        <w:ind w:left="1152"/>
      </w:pPr>
      <w:bookmarkStart w:id="386" w:name="_Toc160186009"/>
      <w:r w:rsidRPr="000500F1">
        <w:lastRenderedPageBreak/>
        <w:t>Taiwan</w:t>
      </w:r>
      <w:bookmarkEnd w:id="386"/>
    </w:p>
    <w:p w14:paraId="23DC8463" w14:textId="77777777" w:rsidR="000500F1" w:rsidRPr="000500F1" w:rsidRDefault="000500F1" w:rsidP="000500F1">
      <w:r w:rsidRPr="000500F1">
        <w:t>APHIS-IS-Taipei and VS coordinated a site visit to the Gainesville Poultry Laboratory Network in Georgia where APHIS’s National Poultry Improvement Plan (NPIP) Coordinators presented to officials from Taiwan’s Animal and Plant Health Inspection Agency (APHIA) on the NPIP.  The goal of the site visit was to further negotiations to update Taiwan’s Quarantine Requirements for Day-Old Poultry and Hatching Eggs by decreasing the level of regionalization, acceptance of products from NPIP certified flocks, and acceptance of products from approved compartments during an HPAI outbreak in the U.S.</w:t>
      </w:r>
    </w:p>
    <w:p w14:paraId="5DCF8169" w14:textId="77777777" w:rsidR="000500F1" w:rsidRPr="000500F1" w:rsidRDefault="000500F1" w:rsidP="000500F1">
      <w:pPr>
        <w:pStyle w:val="Heading4"/>
        <w:ind w:left="1152"/>
      </w:pPr>
      <w:bookmarkStart w:id="387" w:name="_Toc160186010"/>
      <w:r w:rsidRPr="000500F1">
        <w:t>Latin America and the Caribbean</w:t>
      </w:r>
      <w:bookmarkEnd w:id="387"/>
    </w:p>
    <w:p w14:paraId="7CA482DD" w14:textId="77777777" w:rsidR="000500F1" w:rsidRPr="000500F1" w:rsidRDefault="000500F1" w:rsidP="000500F1">
      <w:r w:rsidRPr="000500F1">
        <w:t xml:space="preserve">In FY 2023, IS and VS continued to work with the Dominican Republic in the control and eradication of African Swine Fever (ASF). A team of four APHIS personnel is in-country to assist the Ministry of Agriculture in the establishment an incident command system to control the outbreak. Through the agreements and workplans with the Organismo Internacional Regional de Sanidad Agropecuaria (OIRSA) and the Inter-American Institute for Cooperation in Agriculture (IICA), APHIS has strengthened diagnostic laboratory and established canine teams at airports and ports. </w:t>
      </w:r>
    </w:p>
    <w:p w14:paraId="4E3D63CD" w14:textId="77777777" w:rsidR="000500F1" w:rsidRPr="000500F1" w:rsidRDefault="000500F1" w:rsidP="000500F1">
      <w:r w:rsidRPr="000500F1">
        <w:t xml:space="preserve">APHIS-IS, in collaboration with IICA, delivered a series of webinars in Latin America and the Caribbean focused on the prevention and control of African Swine Fever. </w:t>
      </w:r>
    </w:p>
    <w:p w14:paraId="242A91B5" w14:textId="77777777" w:rsidR="000500F1" w:rsidRPr="000500F1" w:rsidRDefault="000500F1" w:rsidP="000500F1">
      <w:r w:rsidRPr="000500F1">
        <w:t xml:space="preserve">APHIS-IS Colombia, VS and PPQ, in conjunction with the Global Alliance for Trade Facilitation, delivered a workshop to over 50 Colombian officials on APHIS strategies and tools for optimizing risk management.  </w:t>
      </w:r>
    </w:p>
    <w:p w14:paraId="10248541" w14:textId="77777777" w:rsidR="000500F1" w:rsidRPr="000500F1" w:rsidRDefault="000500F1" w:rsidP="000500F1">
      <w:bookmarkStart w:id="388" w:name="_Hlk153880582"/>
      <w:r w:rsidRPr="000500F1">
        <w:t>APHIS-IS Trinidad in collaboration with the USDA Mollusks Cross Functional Working Group, the Jamaican Ministry of Agriculture and Fisheries and the Caribbean Plant Health Directors (CPHD) Forum, hosted a multi-lingual virtual Giant African Snail Management Webinar (October 2022).</w:t>
      </w:r>
    </w:p>
    <w:p w14:paraId="6418C070" w14:textId="77777777" w:rsidR="000500F1" w:rsidRPr="000500F1" w:rsidRDefault="000500F1" w:rsidP="000500F1">
      <w:r w:rsidRPr="000500F1">
        <w:t xml:space="preserve">IS-Trinidad in collaboration with the National Plant Protection Organization (NPPO) of Trinidad and Tobago, OIRSA, IICA, CIRAD (French Agricultural Research Centre for International Development) , the Food and Agriculture Organization of the United Nations (FAO), Caribbean Animal Heal and Food Safety Association (CAHFSA) and the Musa Technical Working Group (TWG) of the Caribbean Plant Health Directors (CHPD), conducted a Tropical Race 4 (TR4) (fungal disease of bananas) Field Detection Simulation Exercise for the Region, in Trinidad and Tobago. The exercise was led by the OIRSA technicians and was attended by representatives from 12 Caribbean countries. The simulation exercise was designed to evaluate national preparedness and response mechanisms in the event of a TR4 outbreak and identify areas of improvement. This event served as a capacity building event within the region and expand access to technical resources for TR4. </w:t>
      </w:r>
    </w:p>
    <w:bookmarkEnd w:id="388"/>
    <w:p w14:paraId="249B80E0" w14:textId="77777777" w:rsidR="000500F1" w:rsidRPr="000500F1" w:rsidRDefault="000500F1" w:rsidP="000500F1">
      <w:r w:rsidRPr="000500F1">
        <w:t>APHIS-IS assisted seven countries in South and Central America to send Highly Pathogenic Avian Influenza (HPAI) samples to the National Veterinary Sciences Laboratory (NVSL) and Southeast Poultry Research Laboratory (SERPL) for sequencing and characterization of the H5N1 HPAI virus circulating in the region. This work adds to the genetic information and mapping of the disease spread and provides crucial information to countries analyzing the possible usage of HPAI vaccines.</w:t>
      </w:r>
    </w:p>
    <w:p w14:paraId="7CABD256" w14:textId="77777777" w:rsidR="000500F1" w:rsidRPr="000500F1" w:rsidRDefault="000500F1" w:rsidP="000500F1">
      <w:r w:rsidRPr="000500F1">
        <w:lastRenderedPageBreak/>
        <w:t>APHIS organized and delivered the “Bulk-Break Cargo Cold Treatment Training” in Guayaquil, Ecuador to train Peruvian and Ecuadorian specialists on how to proficiently inspect produce undergoing break-bulk cargo cold treatment.</w:t>
      </w:r>
    </w:p>
    <w:p w14:paraId="66B11996" w14:textId="77777777" w:rsidR="000500F1" w:rsidRPr="000500F1" w:rsidRDefault="000500F1" w:rsidP="000500F1">
      <w:r w:rsidRPr="000500F1">
        <w:t>APHIS - IS Brasilia, in conjunction with two APHIS technical advisors, conducted a thorough assessment of the preparedness and response capabilities of Bolivia, Paraguay, and Uruguay in the face of HPAI. The team's visit identified gaps in each country's ability to respond to and mitigate an outbreak of HPAI. In response, the team developed trip reports that addressed these gaps and included suggestions, such as enhancing coordination with the poultry industry, improving wild bird surveillance, and providing indemnification. This capacity-building project was commissioned by the MERCOSUR (Mercado Común del Sur) Council of Agriculture Ministers and the Comité Veterinario Permanente del Cono Sur (CVP), which is comprised of the Chief Veterinary Officers of Argentina, Bolivia, Brazil, Chile, Paraguay, and Uruguay. The main objective of this capacity-building project was to strengthen national programs and transfer U.S. HPAI experience to the region.</w:t>
      </w:r>
    </w:p>
    <w:p w14:paraId="332F8282" w14:textId="77777777" w:rsidR="000500F1" w:rsidRPr="000500F1" w:rsidRDefault="000500F1" w:rsidP="000500F1">
      <w:r w:rsidRPr="000500F1">
        <w:t>In addition, IS provided expertise for the training and strengthening of the network of diagnostic laboratories (RESUDIA) in South America.</w:t>
      </w:r>
    </w:p>
    <w:p w14:paraId="40AE8819" w14:textId="77777777" w:rsidR="000500F1" w:rsidRPr="000500F1" w:rsidRDefault="000500F1" w:rsidP="000500F1">
      <w:pPr>
        <w:pStyle w:val="Heading4"/>
        <w:ind w:left="1152"/>
      </w:pPr>
      <w:bookmarkStart w:id="389" w:name="_Toc160186011"/>
      <w:r w:rsidRPr="000500F1">
        <w:t>Mexico</w:t>
      </w:r>
      <w:bookmarkEnd w:id="389"/>
    </w:p>
    <w:p w14:paraId="02A7FCE1" w14:textId="77777777" w:rsidR="000500F1" w:rsidRPr="000500F1" w:rsidRDefault="000500F1" w:rsidP="000500F1">
      <w:r w:rsidRPr="000500F1">
        <w:t>APHIS VS and IS jointly with Mexico continue to work on the Tuberculosis (TB) vaccination 5-year project in 4 dairies in Mexico. The project evaluates the efficacy of the bacille Calmette-Guerin (BCG) vaccine to control the TB infection of among cattle and from cattle to human populations.</w:t>
      </w:r>
    </w:p>
    <w:p w14:paraId="019CF665" w14:textId="77777777" w:rsidR="000500F1" w:rsidRPr="000500F1" w:rsidRDefault="000500F1" w:rsidP="000500F1">
      <w:r w:rsidRPr="000500F1">
        <w:t>APHIS-VS continues working with the Mexican National Animal Health Laboratory through NVSL on Whole Genome Sequencing of Mycobacterium bovis and the associated bioinformatics to enrich the Mycobacterium bovis North America strain Bank to assist in the molecular epidemiology in the TB eradication effort in US and Mexico.</w:t>
      </w:r>
    </w:p>
    <w:p w14:paraId="7DA52C13" w14:textId="77777777" w:rsidR="000500F1" w:rsidRPr="000500F1" w:rsidRDefault="000500F1" w:rsidP="000500F1">
      <w:r w:rsidRPr="000500F1">
        <w:t>APHIS-WS continues to support Mexico’s efforts to control and monitor for rabies, particularly focused on vampire bat transmission, ASF, and other feral swine diseases. WS funded a project to determine the spread of SARS-CoV2 in both wildlife and domestic animal populations.</w:t>
      </w:r>
    </w:p>
    <w:p w14:paraId="4498CC42" w14:textId="77777777" w:rsidR="000500F1" w:rsidRPr="000500F1" w:rsidRDefault="000500F1" w:rsidP="000500F1">
      <w:pPr>
        <w:pStyle w:val="Heading4"/>
        <w:ind w:left="1152"/>
      </w:pPr>
      <w:bookmarkStart w:id="390" w:name="_Toc160186012"/>
      <w:r w:rsidRPr="000500F1">
        <w:t>India</w:t>
      </w:r>
      <w:bookmarkEnd w:id="390"/>
    </w:p>
    <w:p w14:paraId="34E0D446" w14:textId="77777777" w:rsidR="000500F1" w:rsidRPr="000500F1" w:rsidRDefault="000500F1" w:rsidP="000500F1">
      <w:r w:rsidRPr="000500F1">
        <w:t>APHIS New Delhi and the Davis-Thompson Foundation’s Global Health Pathology Network held an Animal Health &amp; Pathology workshop in Chitwan, Nepal (November 2022). The workshop included case-based examples of various transboundary animal diseases and zoonotic diseases. It offered a discussion-based platform to learn about the situation in Nepal for various diseases and to work through diagnostics and response plans. Participants included Nepali government officials, field/private veterinarians, wildlife veterinarians, academia, FAO, and laboratory veterinarians/technicians.</w:t>
      </w:r>
    </w:p>
    <w:p w14:paraId="303C422B" w14:textId="77777777" w:rsidR="000500F1" w:rsidRPr="000500F1" w:rsidRDefault="000500F1" w:rsidP="000500F1">
      <w:pPr>
        <w:pStyle w:val="Heading4"/>
        <w:ind w:left="1152"/>
      </w:pPr>
      <w:bookmarkStart w:id="391" w:name="_Toc160186013"/>
      <w:bookmarkStart w:id="392" w:name="_Hlk153538690"/>
      <w:r w:rsidRPr="000500F1">
        <w:lastRenderedPageBreak/>
        <w:t>Philippines</w:t>
      </w:r>
      <w:bookmarkEnd w:id="391"/>
    </w:p>
    <w:p w14:paraId="12C34311" w14:textId="77777777" w:rsidR="000500F1" w:rsidRPr="000500F1" w:rsidRDefault="000500F1" w:rsidP="000500F1">
      <w:r w:rsidRPr="000500F1">
        <w:t xml:space="preserve">In FY 2023, the Philippines’ </w:t>
      </w:r>
      <w:bookmarkStart w:id="393" w:name="_Hlk153524400"/>
      <w:r w:rsidRPr="000500F1">
        <w:t xml:space="preserve">Bureau of Animal Industry </w:t>
      </w:r>
      <w:bookmarkEnd w:id="393"/>
      <w:r w:rsidRPr="000500F1">
        <w:t>requested assistance from APHIS Manila to help issue import permits for U.S. poultry more effectively and efficiently. They were facing challenges in determining the counties in which U.S. meat establishments were located. APHIS, in cooperation with the USDA’s Food Safety and Inspection Service was able to provide a complete list of U.S. meat establishments including the counties in which they are located to be used as a tool to facilitate faster processing and approval of Philippine import permits. This ultimately benefitted the Philippines’ Bureau of Animal Industry, APHIS, and U.S. poultry exporters.</w:t>
      </w:r>
      <w:bookmarkEnd w:id="392"/>
    </w:p>
    <w:p w14:paraId="67F095AD" w14:textId="77777777" w:rsidR="000500F1" w:rsidRPr="000500F1" w:rsidRDefault="000500F1" w:rsidP="000500F1">
      <w:pPr>
        <w:pStyle w:val="Heading4"/>
        <w:ind w:left="1152"/>
      </w:pPr>
      <w:bookmarkStart w:id="394" w:name="_Toc160186014"/>
      <w:r w:rsidRPr="000500F1">
        <w:t>Thailand</w:t>
      </w:r>
      <w:bookmarkEnd w:id="394"/>
    </w:p>
    <w:p w14:paraId="13AAF806" w14:textId="77777777" w:rsidR="000500F1" w:rsidRPr="000500F1" w:rsidRDefault="000500F1" w:rsidP="000500F1">
      <w:r w:rsidRPr="000500F1">
        <w:t>In FY 2023 APHIS-IS facilitated technology and information transfer between APHIS’ Plant Protection and Quarantine and Thailand’s Department of Agriculture (DOA) to train Thai officials on conducting dose mapping for pomelo fruit. The successful completion of the dose mapping exercise identified the correct dosage of irradiation to meet SPS requirements and allowed Thai pomelos to gain market access into the U.S. under Thailand’s Preclearance Program. DOA exported the first shipment of pomelos to the U.S. in June 2023 for an event commemorating 190 years of Thai – U.S. Diplomatic Relations in Washington DC. Pomelos were the first addition to Thailand’s Preclearance Program in over 10 years.</w:t>
      </w:r>
    </w:p>
    <w:p w14:paraId="20F9C06B" w14:textId="77777777" w:rsidR="000500F1" w:rsidRPr="000500F1" w:rsidRDefault="000500F1" w:rsidP="000500F1">
      <w:pPr>
        <w:pStyle w:val="Heading4"/>
        <w:ind w:left="1152"/>
      </w:pPr>
      <w:bookmarkStart w:id="395" w:name="_Toc160186015"/>
      <w:bookmarkStart w:id="396" w:name="_Hlk153524231"/>
      <w:r w:rsidRPr="000500F1">
        <w:t>Vietnam</w:t>
      </w:r>
      <w:bookmarkEnd w:id="395"/>
    </w:p>
    <w:p w14:paraId="2857923A" w14:textId="77777777" w:rsidR="000500F1" w:rsidRPr="000500F1" w:rsidRDefault="000500F1" w:rsidP="000500F1">
      <w:r w:rsidRPr="000500F1">
        <w:t xml:space="preserve">In FY 2023 APHIS- IS continued to coordinate animal vaccine technology transfers from ARS to Vietnamese commercial and government partners. In April 2023 APHIS facilitated a visit of ARS African Swine Fever (ASF) experts to Vietnam. This visit resulted in the transfer of a new ASF vaccine strain, along with a new cell line, to the Dabaco Group for development of a potential new generation ASF vaccine.  Additionally, ARS transferred a Classical Swine Fever (CSF) vaccine strain for vaccine development to Dabaco. Finally, Dabaco with APHIS and ARS support signed a collaborative agreement with Zoetis to develop a new Foot and Mouth Disease (FMD) vaccine.  </w:t>
      </w:r>
    </w:p>
    <w:bookmarkEnd w:id="396"/>
    <w:p w14:paraId="42918E3E" w14:textId="77777777" w:rsidR="000500F1" w:rsidRPr="000500F1" w:rsidRDefault="000500F1" w:rsidP="000500F1">
      <w:r w:rsidRPr="000500F1">
        <w:t xml:space="preserve">IS organized and provided expertise on the development of a systems approach training for risk managers and technical staff of the NPPO of Vietnam.  The overall objective was to increase national capacity on the notion of a systems approach to mitigate phytosanitary risk and promote safe agricultural trade.  The exchange increased the capacity and knowledge of technical staff and regulators in phytosanitary and food safety issues. </w:t>
      </w:r>
    </w:p>
    <w:p w14:paraId="650AABD3" w14:textId="77777777" w:rsidR="000500F1" w:rsidRPr="000500F1" w:rsidRDefault="000500F1" w:rsidP="000500F1">
      <w:pPr>
        <w:pStyle w:val="Heading2"/>
        <w:rPr>
          <w:color w:val="000000" w:themeColor="text1"/>
        </w:rPr>
      </w:pPr>
      <w:bookmarkStart w:id="397" w:name="_Toc156552595"/>
      <w:bookmarkStart w:id="398" w:name="_Toc160186016"/>
      <w:bookmarkStart w:id="399" w:name="_Toc120529406"/>
      <w:bookmarkStart w:id="400" w:name="_Toc120622117"/>
      <w:bookmarkStart w:id="401" w:name="_Toc123025375"/>
      <w:r w:rsidRPr="000500F1">
        <w:rPr>
          <w:color w:val="000000" w:themeColor="text1"/>
        </w:rPr>
        <w:t>Plant Protection and Quarantine (PPQ)</w:t>
      </w:r>
      <w:bookmarkEnd w:id="397"/>
      <w:bookmarkEnd w:id="398"/>
      <w:r w:rsidRPr="000500F1">
        <w:rPr>
          <w:color w:val="000000" w:themeColor="text1"/>
        </w:rPr>
        <w:t xml:space="preserve"> </w:t>
      </w:r>
      <w:bookmarkEnd w:id="399"/>
      <w:bookmarkEnd w:id="400"/>
      <w:bookmarkEnd w:id="401"/>
    </w:p>
    <w:bookmarkStart w:id="402" w:name="_Hlk132612451"/>
    <w:p w14:paraId="656EAC8B" w14:textId="77777777" w:rsidR="000500F1" w:rsidRPr="000500F1" w:rsidRDefault="000500F1" w:rsidP="000500F1">
      <w:r w:rsidRPr="000500F1">
        <w:fldChar w:fldCharType="begin"/>
      </w:r>
      <w:r w:rsidRPr="000500F1">
        <w:instrText xml:space="preserve"> HYPERLINK "http://www.aphis.usda.gov/plant_health/index.shtml" </w:instrText>
      </w:r>
      <w:r w:rsidRPr="000500F1">
        <w:fldChar w:fldCharType="separate"/>
      </w:r>
      <w:r w:rsidRPr="000500F1">
        <w:t>http://www.aphis.usda.gov/plant_health/index.shtml</w:t>
      </w:r>
      <w:r w:rsidRPr="000500F1">
        <w:fldChar w:fldCharType="end"/>
      </w:r>
    </w:p>
    <w:p w14:paraId="61DE4A1A" w14:textId="77777777" w:rsidR="000500F1" w:rsidRPr="000500F1" w:rsidRDefault="000500F1" w:rsidP="000500F1">
      <w:pPr>
        <w:pStyle w:val="Heading3"/>
      </w:pPr>
      <w:bookmarkStart w:id="403" w:name="_Toc120529407"/>
      <w:bookmarkStart w:id="404" w:name="_Toc120622118"/>
      <w:bookmarkStart w:id="405" w:name="_Toc123025376"/>
      <w:bookmarkStart w:id="406" w:name="_Toc156552596"/>
      <w:bookmarkStart w:id="407" w:name="_Toc160186017"/>
      <w:bookmarkEnd w:id="402"/>
      <w:r w:rsidRPr="000500F1">
        <w:lastRenderedPageBreak/>
        <w:t>Mission Statement</w:t>
      </w:r>
      <w:bookmarkEnd w:id="403"/>
      <w:bookmarkEnd w:id="404"/>
      <w:bookmarkEnd w:id="405"/>
      <w:bookmarkEnd w:id="406"/>
      <w:bookmarkEnd w:id="407"/>
    </w:p>
    <w:p w14:paraId="27CDC015" w14:textId="77777777" w:rsidR="000500F1" w:rsidRPr="000500F1" w:rsidRDefault="000500F1" w:rsidP="000500F1">
      <w:pPr>
        <w:rPr>
          <w:lang w:val="en"/>
        </w:rPr>
      </w:pPr>
      <w:r w:rsidRPr="000500F1">
        <w:rPr>
          <w:lang w:val="en"/>
        </w:rPr>
        <w:t xml:space="preserve">APHIS’ Plant Protection and Quarantine (PPQ) program safeguards U.S. agriculture and natural resources against the entry, establishment, and spread of economically and environmentally significant pests, and facilitates the safe trade of agricultural products. </w:t>
      </w:r>
    </w:p>
    <w:p w14:paraId="1B4EAA0A" w14:textId="77777777" w:rsidR="000500F1" w:rsidRPr="000500F1" w:rsidRDefault="000500F1" w:rsidP="000500F1">
      <w:pPr>
        <w:pStyle w:val="Heading3"/>
      </w:pPr>
      <w:bookmarkStart w:id="408" w:name="_Toc120529408"/>
      <w:bookmarkStart w:id="409" w:name="_Toc120622119"/>
      <w:bookmarkStart w:id="410" w:name="_Toc123025377"/>
      <w:bookmarkStart w:id="411" w:name="_Toc156552597"/>
      <w:bookmarkStart w:id="412" w:name="_Toc160186018"/>
      <w:r w:rsidRPr="000500F1">
        <w:t>Metric Tables</w:t>
      </w:r>
      <w:bookmarkEnd w:id="408"/>
      <w:bookmarkEnd w:id="409"/>
      <w:bookmarkEnd w:id="410"/>
      <w:bookmarkEnd w:id="411"/>
      <w:bookmarkEnd w:id="412"/>
      <w:r w:rsidRPr="000500F1">
        <w:t xml:space="preserve"> </w:t>
      </w:r>
    </w:p>
    <w:p w14:paraId="33DE1541" w14:textId="77777777" w:rsidR="000500F1" w:rsidRPr="000500F1" w:rsidRDefault="000500F1" w:rsidP="000500F1">
      <w:r w:rsidRPr="000500F1">
        <w:t>Plant Protection and Quarantine did not utilize technology transfer agreements in FY2023.</w:t>
      </w:r>
    </w:p>
    <w:p w14:paraId="24F31EF4" w14:textId="77777777" w:rsidR="000500F1" w:rsidRPr="000500F1" w:rsidRDefault="000500F1" w:rsidP="000500F1">
      <w:pPr>
        <w:pStyle w:val="Heading3"/>
      </w:pPr>
      <w:bookmarkStart w:id="413" w:name="_Toc120529409"/>
      <w:bookmarkStart w:id="414" w:name="_Toc120622120"/>
      <w:bookmarkStart w:id="415" w:name="_Toc123025378"/>
      <w:bookmarkStart w:id="416" w:name="_Toc156552598"/>
      <w:bookmarkStart w:id="417" w:name="_Toc160186019"/>
      <w:bookmarkStart w:id="418" w:name="_Hlk57887220"/>
      <w:r w:rsidRPr="000500F1">
        <w:t>Success Stories Demonstrating Downstream Outcomes from Technology Transfer Activities</w:t>
      </w:r>
      <w:bookmarkEnd w:id="413"/>
      <w:bookmarkEnd w:id="414"/>
      <w:bookmarkEnd w:id="415"/>
      <w:bookmarkEnd w:id="416"/>
      <w:bookmarkEnd w:id="417"/>
    </w:p>
    <w:p w14:paraId="1DF74C23" w14:textId="1B0E17DF" w:rsidR="000500F1" w:rsidRPr="000500F1" w:rsidRDefault="000500F1" w:rsidP="000500F1">
      <w:bookmarkStart w:id="419" w:name="_Hlk157407577"/>
      <w:r w:rsidRPr="000500F1">
        <w:t>PPQ’s Identification Technology Program (ITP) provides technology-based pest identification products including image libraries, taxonomic tools, interactive keys, mobile apps, and pest survey screening aids.  ITP also offers training and development support for producing these identification products. As of FY23, over 100 of the program’s identification products are available via an open-access searchable portal (</w:t>
      </w:r>
      <w:hyperlink r:id="rId12" w:history="1">
        <w:r w:rsidRPr="000500F1">
          <w:t>https://idtools.org</w:t>
        </w:r>
      </w:hyperlink>
      <w:r w:rsidRPr="000500F1">
        <w:t xml:space="preserve">). ITP’s imageID, a searchable database of pest images to facilitate identification of pests intercepted at ports, continues to be expanded, and currently has over 160,000 pest images to assist with port operations. These products are used by APHIS scientists as well as scientists, inspectors, and surveyors in Customs and Border Protection, in State departments of agriculture, in domestic and international academic institutions, and by national and regional plant protection organizations to screen and identify plant pests </w:t>
      </w:r>
      <w:r w:rsidR="00541F1F" w:rsidRPr="000500F1">
        <w:t>offshore</w:t>
      </w:r>
      <w:r w:rsidRPr="000500F1">
        <w:t xml:space="preserve">, at our ports, and domestically. </w:t>
      </w:r>
    </w:p>
    <w:p w14:paraId="6A3E8ECA" w14:textId="77777777" w:rsidR="000500F1" w:rsidRPr="000500F1" w:rsidRDefault="000500F1" w:rsidP="000500F1">
      <w:pPr>
        <w:pStyle w:val="Heading4"/>
      </w:pPr>
      <w:bookmarkStart w:id="420" w:name="_Toc160186020"/>
      <w:bookmarkStart w:id="421" w:name="_Toc120529410"/>
      <w:bookmarkStart w:id="422" w:name="_Toc120622121"/>
      <w:bookmarkStart w:id="423" w:name="_Toc123025379"/>
      <w:bookmarkEnd w:id="418"/>
      <w:bookmarkEnd w:id="419"/>
      <w:r w:rsidRPr="000500F1">
        <w:t>Biological control programs for invasive pests</w:t>
      </w:r>
      <w:bookmarkEnd w:id="420"/>
    </w:p>
    <w:p w14:paraId="7CF8BA3D" w14:textId="77777777" w:rsidR="000500F1" w:rsidRPr="000500F1" w:rsidRDefault="000500F1" w:rsidP="000500F1">
      <w:r w:rsidRPr="000500F1">
        <w:t>PPQ biological control research focuses on developing technologies that support the safe use of biological control organisms to help mitigate the impacts of introduced invasive weeds and plant pests. Two major PPQ program targets are biological control agents for Asian citrus psyllid and emerald ash borer.</w:t>
      </w:r>
    </w:p>
    <w:p w14:paraId="6D0DB4B6" w14:textId="77777777" w:rsidR="000500F1" w:rsidRPr="000500F1" w:rsidRDefault="000500F1" w:rsidP="000500F1">
      <w:r w:rsidRPr="000500F1">
        <w:t xml:space="preserve">The Asian citrus psyllid (ACP) has invaded citrus-growing areas in the United States and is a vector of a bacterium that causes citrus greening disease or Huanglongbing (HLB). A key component to a management program is aggressive control of the ACP vector, Tamarixia radiata. This insect is a species-specific ectoparasitoid of the ACP that was imported from Pakistan after satisfying APHIS PPQ permitting requirements for field release in Texas. The PPQ Insect Management and Molecular Diagnostics Laboratory (IMMDL) developed the technology to mass produce and release T. radiata using a field insectary cage approach for the biological control of ACP in south Texas. In FY 2023 PPQ S&amp;T completed a comprehensive rearing, release, and monitoring manual for T. radiata, a significant milestone contributing to the accomplishments of the program. Since the project began in 2011, over 15.7 million parasitoids have been produced by IMMDL for field release in Texas, Louisiana, and Mexico border areas.  In addition, the rearing technology was transferred to partners in California, which have now developed the capacity to release over 3 million parasitoids per year. Also in </w:t>
      </w:r>
      <w:r w:rsidRPr="000500F1">
        <w:lastRenderedPageBreak/>
        <w:t>California, PPQ and the Citrus Research Board are conducting augmentative releases of three predator species, Chrysoperla comanche, Rhyzobius lophanthe, and Diomus pumilio as an additional method of suppressing ACP in residential citrus.</w:t>
      </w:r>
    </w:p>
    <w:p w14:paraId="41DAA261" w14:textId="77777777" w:rsidR="000500F1" w:rsidRPr="000500F1" w:rsidRDefault="000500F1" w:rsidP="000500F1">
      <w:r w:rsidRPr="000500F1">
        <w:t>The emerald ash borer (EAB) is a destructive wood-boring pest of ash trees. PPQ has supported long term efforts to establish emerald ash borer biocontrol agents to protect ash forest resources in cooperation with state partners. New research on EAB biological control agents has identified species that climatologically adapt to cooler or warmer U.S. regions and surrounding areas. Ongoing field evaluation of these EAB biological control agents are determining best management practices for their operational release. This discovery allows the program to better target biocontrol releases, while protecting the next generation of ash trees in eastern region forests. The EAB biocontrol rearing facility in Brighton, Michigan, produced four different parasitoid species in FY 2023 and released over 486,624 insects at 160 sites, in 125 counties, in 25 states. The cumulative release total for the EAB program is biological control agents releases in 453 counties in 32 states and the District of Columbia. To date, parasitoids have been recovered in 23 states and two Canadian provinces. This means the wasps are establishing, reproducing, and killing EAB.</w:t>
      </w:r>
    </w:p>
    <w:p w14:paraId="7B942B3E" w14:textId="77777777" w:rsidR="000500F1" w:rsidRPr="000500F1" w:rsidRDefault="000500F1" w:rsidP="000500F1">
      <w:pPr>
        <w:pStyle w:val="Heading4"/>
      </w:pPr>
      <w:bookmarkStart w:id="424" w:name="_Toc160186021"/>
      <w:r w:rsidRPr="000500F1">
        <w:t>Management Tools for Emergency Program Pests</w:t>
      </w:r>
      <w:bookmarkEnd w:id="424"/>
    </w:p>
    <w:p w14:paraId="7E4BD8B7" w14:textId="77777777" w:rsidR="000500F1" w:rsidRPr="000500F1" w:rsidRDefault="000500F1" w:rsidP="000500F1">
      <w:r w:rsidRPr="000500F1">
        <w:t xml:space="preserve">PPQ conducts emergency response operations to respond to new pest outbreaks and continues to support development and transfer of new tools to respond to exotic fruit fly introductions, box tree moth, and spotted lanternfly. PPQ S&amp;T has led the research to develop new detection and response tools to these pests, in collaboration with state and federal partners. Recent advances for fruit fly response includes the development of new protocols for male annihilation technique that reduces the application density. PPQ worked closely with Agricultural Research Service and State Departments of Agriculture to field test and validate the new protocol for use in Oriental fruit fly eradication programs. The new protocol reduces costs and improves the efficiency of Oriental fruit fly eradication programs. </w:t>
      </w:r>
    </w:p>
    <w:p w14:paraId="3EC5D399" w14:textId="77777777" w:rsidR="000500F1" w:rsidRPr="000500F1" w:rsidRDefault="000500F1" w:rsidP="000500F1">
      <w:r w:rsidRPr="000500F1">
        <w:t>Box tree moth is an invasive pest that can heavily damage and kill boxwood plants (Buxus species). PPQ is working with cooperators to develop efficient trapping and mitigation tools. PPQ supported studies led to the modification of lures from 1mg to 3mg shown to be more effective in trapping adult males. This information on the sensitivity of lures was incorporated into improved survey models to improve the effectiveness of PPQ and State trapping efforts to detect this invasive moth.</w:t>
      </w:r>
    </w:p>
    <w:p w14:paraId="46537CCF" w14:textId="77777777" w:rsidR="000500F1" w:rsidRPr="000500F1" w:rsidRDefault="000500F1" w:rsidP="000500F1">
      <w:r w:rsidRPr="000500F1">
        <w:t xml:space="preserve">For spotted lanternfly, which attacks several tree and fruit crops, PPQ has developed multiple effective insecticide application methods for host trees that have been transferred to state and federal cooperators and are being applied in the program. In FY 2023, S&amp;T continued operationalizing the use of golden pest spray oil (a product that is 93 percent food-grade soybean oil registered with the Environmental Protection Agency and certified for organic use) as a control method on the pest’s egg masses to prevent pest spread. S&amp;T also developed and deployed a data collection tool for field use, improving accuracy and replacing paper data sheets, to collect data from the treatment monitoring sites. PPQ S&amp;T is continuing to improve management methods for these and other pests in order to support response and recovery efforts with state partners. </w:t>
      </w:r>
    </w:p>
    <w:p w14:paraId="0BE7DE14" w14:textId="77777777" w:rsidR="000500F1" w:rsidRPr="000500F1" w:rsidRDefault="000500F1" w:rsidP="000500F1"/>
    <w:p w14:paraId="593F66AD" w14:textId="77777777" w:rsidR="000500F1" w:rsidRPr="000500F1" w:rsidRDefault="000500F1" w:rsidP="000500F1">
      <w:pPr>
        <w:pStyle w:val="Heading4"/>
      </w:pPr>
      <w:bookmarkStart w:id="425" w:name="_Toc160186022"/>
      <w:r w:rsidRPr="000500F1">
        <w:lastRenderedPageBreak/>
        <w:t>Regulatory diagnostics for National Plant Diagnostic Network</w:t>
      </w:r>
      <w:bookmarkEnd w:id="425"/>
    </w:p>
    <w:p w14:paraId="7052EAA3" w14:textId="77777777" w:rsidR="000500F1" w:rsidRPr="000500F1" w:rsidRDefault="000500F1" w:rsidP="000500F1">
      <w:r w:rsidRPr="000500F1">
        <w:t xml:space="preserve">Since 2004, the PPQ Plant Pathogen Confirmatory Diagnostics Laboratory (PPCDL) has provided hands-on, advanced molecular diagnostic workshops to members of the National Plant Diagnostic Network (NPDN), State Departments of Agriculture, and Federal and commercial laboratories to provide trainings on PPQ-approved and validated testing protocols for pathogens of regulatory significance that are known to affect a number of ornamental crops, specialty crops, and forest ecosystems in the United States. The 2023 workshop season used a hybrid approach, offering both virtual and in-person trainings, which resulted in the largest number of workshops offered in a single season. In total, eleven workshops were held over a seven-week period, which provided training to 162 participants (48 of these in-person).  These workshops have not only enhanced the molecular plant diagnostic capability in the United States, but also prepared U.S. diagnosticians to provide surge capacity in the event of an unexpected plant pathogen outbreak or a national agricultural emergency. </w:t>
      </w:r>
    </w:p>
    <w:p w14:paraId="38006FB8" w14:textId="77777777" w:rsidR="000500F1" w:rsidRPr="000500F1" w:rsidRDefault="000500F1" w:rsidP="000500F1">
      <w:r w:rsidRPr="000500F1">
        <w:t xml:space="preserve">In addition, PPCDL manages PPQ’s Plant Pathogen Diagnostic Certification Program (PPDCP), formerly known as the National Plant Protection Laboratory Accreditation Program (NPPLAP). PPDCP certifies NPDN, State, Federal, and commercial laboratories to perform regulatory diagnostics . The PPDCP offers flexible scope certification via proficiency testing (PT), focusing on common diagnostic technologies applicable to many plant pathogens and protocol-specific interpretive PT (iPT) panels. The combination of both will expand certifications of the labs to serve many PPQ domestic, emergency, and exclusion programs. In FY 2023, the PPDCP completed the first round of huanglongbing (HLB) iPT that resulted in extending certification of 29 diagnosticians from 12 laboratories for one additional year. PPDCP also facilitates continual improvement of the programs by incorporating quality management training and new diagnostic techniques into the program. </w:t>
      </w:r>
    </w:p>
    <w:p w14:paraId="115F8E52" w14:textId="77777777" w:rsidR="000500F1" w:rsidRPr="000500F1" w:rsidRDefault="000500F1" w:rsidP="000500F1">
      <w:pPr>
        <w:pStyle w:val="Heading2"/>
        <w:rPr>
          <w:color w:val="000000" w:themeColor="text1"/>
        </w:rPr>
      </w:pPr>
      <w:bookmarkStart w:id="426" w:name="_Toc156552599"/>
      <w:bookmarkStart w:id="427" w:name="_Toc160186023"/>
      <w:r w:rsidRPr="000500F1">
        <w:rPr>
          <w:color w:val="000000" w:themeColor="text1"/>
        </w:rPr>
        <w:t>Veterinary Services</w:t>
      </w:r>
      <w:bookmarkEnd w:id="421"/>
      <w:bookmarkEnd w:id="422"/>
      <w:bookmarkEnd w:id="423"/>
      <w:r w:rsidRPr="000500F1">
        <w:rPr>
          <w:color w:val="000000" w:themeColor="text1"/>
        </w:rPr>
        <w:t xml:space="preserve"> (VS)</w:t>
      </w:r>
      <w:bookmarkEnd w:id="426"/>
      <w:bookmarkEnd w:id="427"/>
    </w:p>
    <w:bookmarkStart w:id="428" w:name="_Hlk132612497"/>
    <w:p w14:paraId="19E3AB65" w14:textId="77777777" w:rsidR="000500F1" w:rsidRPr="000500F1" w:rsidRDefault="000500F1" w:rsidP="000500F1">
      <w:r w:rsidRPr="000500F1">
        <w:fldChar w:fldCharType="begin"/>
      </w:r>
      <w:r w:rsidRPr="000500F1">
        <w:instrText xml:space="preserve"> HYPERLINK "http://www.aphis.usda.gov/animal_health/index.shtml" </w:instrText>
      </w:r>
      <w:r w:rsidRPr="000500F1">
        <w:fldChar w:fldCharType="separate"/>
      </w:r>
      <w:r w:rsidRPr="000500F1">
        <w:t>http://www.aphis.usda.gov/animal_health/index.shtml</w:t>
      </w:r>
      <w:bookmarkEnd w:id="428"/>
      <w:r w:rsidRPr="000500F1">
        <w:fldChar w:fldCharType="end"/>
      </w:r>
    </w:p>
    <w:p w14:paraId="4E32FFBB" w14:textId="77777777" w:rsidR="000500F1" w:rsidRPr="000500F1" w:rsidRDefault="000500F1" w:rsidP="000500F1">
      <w:pPr>
        <w:pStyle w:val="Heading3"/>
      </w:pPr>
      <w:bookmarkStart w:id="429" w:name="_Toc120529411"/>
      <w:bookmarkStart w:id="430" w:name="_Toc120622122"/>
      <w:bookmarkStart w:id="431" w:name="_Toc123025380"/>
      <w:bookmarkStart w:id="432" w:name="_Toc156552600"/>
      <w:bookmarkStart w:id="433" w:name="_Toc160186024"/>
      <w:r w:rsidRPr="000500F1">
        <w:t>Mission Statement</w:t>
      </w:r>
      <w:bookmarkEnd w:id="429"/>
      <w:bookmarkEnd w:id="430"/>
      <w:bookmarkEnd w:id="431"/>
      <w:bookmarkEnd w:id="432"/>
      <w:bookmarkEnd w:id="433"/>
    </w:p>
    <w:p w14:paraId="15899210" w14:textId="77777777" w:rsidR="000500F1" w:rsidRPr="000500F1" w:rsidRDefault="000500F1" w:rsidP="000500F1">
      <w:r w:rsidRPr="000500F1">
        <w:rPr>
          <w:lang w:val="en"/>
        </w:rPr>
        <w:t xml:space="preserve">As the recognized animal health leader and trusted partner, VS </w:t>
      </w:r>
      <w:r w:rsidRPr="000500F1">
        <w:t>protects and improves the health, quality, and marketability of our Nation’s animals, animal products, and veterinary biologics by preventing, controlling, and/or eliminating animal diseases, and by monitoring and promoting animal health and productivity.</w:t>
      </w:r>
      <w:r w:rsidRPr="000500F1">
        <w:rPr>
          <w:lang w:val="en"/>
        </w:rPr>
        <w:t xml:space="preserve"> </w:t>
      </w:r>
      <w:r w:rsidRPr="000500F1">
        <w:t>VS authorities derive from the Animal Health Protection Act and the Virus-Serum-Toxin Act. VS integrates One Health principles with USDA business objectives by contributing leadership, expertise, infrastructure, networks, and systems to collaborate effectively with local, State, Tribal, national, and international partners. VS’s comprehensive and integrated surveillance activities support our national goals for animal disease prevention, detection, and early response.</w:t>
      </w:r>
    </w:p>
    <w:p w14:paraId="142ECA08" w14:textId="77777777" w:rsidR="000500F1" w:rsidRPr="000500F1" w:rsidRDefault="000500F1" w:rsidP="000500F1">
      <w:pPr>
        <w:pStyle w:val="Heading3"/>
      </w:pPr>
      <w:bookmarkStart w:id="434" w:name="_Toc120529412"/>
      <w:bookmarkStart w:id="435" w:name="_Toc120622123"/>
      <w:bookmarkStart w:id="436" w:name="_Toc123025381"/>
      <w:bookmarkStart w:id="437" w:name="_Toc156552601"/>
      <w:bookmarkStart w:id="438" w:name="_Toc160186025"/>
      <w:bookmarkStart w:id="439" w:name="VSmission"/>
      <w:r w:rsidRPr="000500F1">
        <w:t>Metric Tables</w:t>
      </w:r>
      <w:bookmarkEnd w:id="434"/>
      <w:bookmarkEnd w:id="435"/>
      <w:bookmarkEnd w:id="436"/>
      <w:bookmarkEnd w:id="437"/>
      <w:bookmarkEnd w:id="438"/>
      <w:r w:rsidRPr="000500F1">
        <w:t xml:space="preserve"> </w:t>
      </w:r>
      <w:bookmarkEnd w:id="439"/>
    </w:p>
    <w:p w14:paraId="620962D4" w14:textId="77777777" w:rsidR="000500F1" w:rsidRPr="000500F1" w:rsidRDefault="000500F1" w:rsidP="000500F1">
      <w:r w:rsidRPr="000500F1">
        <w:t>TABLE 1. Collaborative Relationships for Research and Development – Veterinary Services</w:t>
      </w:r>
    </w:p>
    <w:tbl>
      <w:tblPr>
        <w:tblStyle w:val="TableGrid"/>
        <w:tblW w:w="5000" w:type="pct"/>
        <w:tblLook w:val="04A0" w:firstRow="1" w:lastRow="0" w:firstColumn="1" w:lastColumn="0" w:noHBand="0" w:noVBand="1"/>
        <w:tblDescription w:val="Sample table for template instructions"/>
      </w:tblPr>
      <w:tblGrid>
        <w:gridCol w:w="4759"/>
        <w:gridCol w:w="1097"/>
        <w:gridCol w:w="1097"/>
        <w:gridCol w:w="1097"/>
        <w:gridCol w:w="1012"/>
        <w:gridCol w:w="1008"/>
      </w:tblGrid>
      <w:tr w:rsidR="000500F1" w:rsidRPr="000500F1" w14:paraId="25A9AD2C" w14:textId="77777777" w:rsidTr="00145812">
        <w:trPr>
          <w:tblHeader/>
        </w:trPr>
        <w:tc>
          <w:tcPr>
            <w:tcW w:w="4759" w:type="dxa"/>
            <w:shd w:val="clear" w:color="auto" w:fill="A6A6A6" w:themeFill="background1" w:themeFillShade="A6"/>
          </w:tcPr>
          <w:p w14:paraId="1D215BA0" w14:textId="77777777" w:rsidR="000500F1" w:rsidRPr="000500F1" w:rsidRDefault="000500F1" w:rsidP="000500F1">
            <w:pPr>
              <w:rPr>
                <w:lang w:eastAsia="x-none"/>
              </w:rPr>
            </w:pPr>
            <w:r w:rsidRPr="000500F1">
              <w:rPr>
                <w:lang w:eastAsia="x-none"/>
              </w:rPr>
              <w:lastRenderedPageBreak/>
              <w:t>Agreement</w:t>
            </w:r>
          </w:p>
        </w:tc>
        <w:tc>
          <w:tcPr>
            <w:tcW w:w="1097" w:type="dxa"/>
            <w:shd w:val="clear" w:color="auto" w:fill="A6A6A6" w:themeFill="background1" w:themeFillShade="A6"/>
          </w:tcPr>
          <w:p w14:paraId="23C4BF3A" w14:textId="77777777" w:rsidR="000500F1" w:rsidRPr="000500F1" w:rsidRDefault="000500F1" w:rsidP="000500F1">
            <w:pPr>
              <w:rPr>
                <w:lang w:eastAsia="x-none"/>
              </w:rPr>
            </w:pPr>
            <w:r w:rsidRPr="000500F1">
              <w:rPr>
                <w:lang w:eastAsia="x-none"/>
              </w:rPr>
              <w:t>FY 2019</w:t>
            </w:r>
          </w:p>
        </w:tc>
        <w:tc>
          <w:tcPr>
            <w:tcW w:w="1097" w:type="dxa"/>
            <w:shd w:val="clear" w:color="auto" w:fill="A6A6A6" w:themeFill="background1" w:themeFillShade="A6"/>
          </w:tcPr>
          <w:p w14:paraId="4DE8CD17" w14:textId="77777777" w:rsidR="000500F1" w:rsidRPr="000500F1" w:rsidRDefault="000500F1" w:rsidP="000500F1">
            <w:pPr>
              <w:rPr>
                <w:lang w:eastAsia="x-none"/>
              </w:rPr>
            </w:pPr>
            <w:r w:rsidRPr="000500F1">
              <w:rPr>
                <w:lang w:eastAsia="x-none"/>
              </w:rPr>
              <w:t>FY 2020</w:t>
            </w:r>
          </w:p>
        </w:tc>
        <w:tc>
          <w:tcPr>
            <w:tcW w:w="1097" w:type="dxa"/>
            <w:shd w:val="clear" w:color="auto" w:fill="A6A6A6" w:themeFill="background1" w:themeFillShade="A6"/>
          </w:tcPr>
          <w:p w14:paraId="7710CDF5" w14:textId="77777777" w:rsidR="000500F1" w:rsidRPr="000500F1" w:rsidRDefault="000500F1" w:rsidP="000500F1">
            <w:pPr>
              <w:rPr>
                <w:lang w:eastAsia="x-none"/>
              </w:rPr>
            </w:pPr>
            <w:r w:rsidRPr="000500F1">
              <w:rPr>
                <w:lang w:eastAsia="x-none"/>
              </w:rPr>
              <w:t>FY 2021</w:t>
            </w:r>
          </w:p>
        </w:tc>
        <w:tc>
          <w:tcPr>
            <w:tcW w:w="1012" w:type="dxa"/>
            <w:shd w:val="clear" w:color="auto" w:fill="A6A6A6" w:themeFill="background1" w:themeFillShade="A6"/>
          </w:tcPr>
          <w:p w14:paraId="5ABA31B4" w14:textId="77777777" w:rsidR="000500F1" w:rsidRPr="000500F1" w:rsidRDefault="000500F1" w:rsidP="000500F1">
            <w:pPr>
              <w:rPr>
                <w:lang w:eastAsia="x-none"/>
              </w:rPr>
            </w:pPr>
            <w:r w:rsidRPr="000500F1">
              <w:rPr>
                <w:lang w:eastAsia="x-none"/>
              </w:rPr>
              <w:t>FY 2022</w:t>
            </w:r>
          </w:p>
        </w:tc>
        <w:tc>
          <w:tcPr>
            <w:tcW w:w="1008" w:type="dxa"/>
            <w:shd w:val="clear" w:color="auto" w:fill="A6A6A6" w:themeFill="background1" w:themeFillShade="A6"/>
          </w:tcPr>
          <w:p w14:paraId="3411B06A" w14:textId="77777777" w:rsidR="000500F1" w:rsidRPr="000500F1" w:rsidRDefault="000500F1" w:rsidP="000500F1">
            <w:pPr>
              <w:rPr>
                <w:highlight w:val="yellow"/>
                <w:lang w:eastAsia="x-none"/>
              </w:rPr>
            </w:pPr>
            <w:r w:rsidRPr="000500F1">
              <w:rPr>
                <w:lang w:eastAsia="x-none"/>
              </w:rPr>
              <w:t>FY 2023</w:t>
            </w:r>
          </w:p>
        </w:tc>
      </w:tr>
      <w:tr w:rsidR="000500F1" w:rsidRPr="000500F1" w14:paraId="50C6E983" w14:textId="77777777" w:rsidTr="00145812">
        <w:tc>
          <w:tcPr>
            <w:tcW w:w="4759" w:type="dxa"/>
          </w:tcPr>
          <w:p w14:paraId="79654294" w14:textId="77777777" w:rsidR="000500F1" w:rsidRPr="000500F1" w:rsidRDefault="000500F1" w:rsidP="000500F1">
            <w:r w:rsidRPr="000500F1">
              <w:t>CRADAs, Total Active</w:t>
            </w:r>
          </w:p>
        </w:tc>
        <w:tc>
          <w:tcPr>
            <w:tcW w:w="1097" w:type="dxa"/>
          </w:tcPr>
          <w:p w14:paraId="3CB8208D" w14:textId="77777777" w:rsidR="000500F1" w:rsidRPr="000500F1" w:rsidRDefault="000500F1" w:rsidP="000500F1">
            <w:r w:rsidRPr="000500F1">
              <w:t>0</w:t>
            </w:r>
          </w:p>
        </w:tc>
        <w:tc>
          <w:tcPr>
            <w:tcW w:w="1097" w:type="dxa"/>
          </w:tcPr>
          <w:p w14:paraId="7EC59391" w14:textId="77777777" w:rsidR="000500F1" w:rsidRPr="000500F1" w:rsidRDefault="000500F1" w:rsidP="000500F1">
            <w:r w:rsidRPr="000500F1">
              <w:t>1</w:t>
            </w:r>
          </w:p>
        </w:tc>
        <w:tc>
          <w:tcPr>
            <w:tcW w:w="1097" w:type="dxa"/>
          </w:tcPr>
          <w:p w14:paraId="7CBB136A" w14:textId="77777777" w:rsidR="000500F1" w:rsidRPr="000500F1" w:rsidRDefault="000500F1" w:rsidP="000500F1">
            <w:r w:rsidRPr="000500F1">
              <w:t>0</w:t>
            </w:r>
          </w:p>
        </w:tc>
        <w:tc>
          <w:tcPr>
            <w:tcW w:w="1012" w:type="dxa"/>
          </w:tcPr>
          <w:p w14:paraId="2FE4BF85" w14:textId="77777777" w:rsidR="000500F1" w:rsidRPr="000500F1" w:rsidRDefault="000500F1" w:rsidP="000500F1">
            <w:r w:rsidRPr="000500F1">
              <w:t>4</w:t>
            </w:r>
          </w:p>
        </w:tc>
        <w:tc>
          <w:tcPr>
            <w:tcW w:w="1008" w:type="dxa"/>
          </w:tcPr>
          <w:p w14:paraId="75942E73" w14:textId="77777777" w:rsidR="000500F1" w:rsidRPr="000500F1" w:rsidRDefault="000500F1" w:rsidP="000500F1">
            <w:r w:rsidRPr="000500F1">
              <w:t>0</w:t>
            </w:r>
          </w:p>
        </w:tc>
      </w:tr>
      <w:tr w:rsidR="000500F1" w:rsidRPr="000500F1" w14:paraId="4D7E0A62" w14:textId="77777777" w:rsidTr="00145812">
        <w:tc>
          <w:tcPr>
            <w:tcW w:w="4759" w:type="dxa"/>
            <w:vAlign w:val="bottom"/>
          </w:tcPr>
          <w:p w14:paraId="79F92A9E" w14:textId="77777777" w:rsidR="000500F1" w:rsidRPr="000500F1" w:rsidRDefault="000500F1" w:rsidP="000500F1">
            <w:r w:rsidRPr="000500F1">
              <w:t xml:space="preserve">- New, executed </w:t>
            </w:r>
          </w:p>
        </w:tc>
        <w:tc>
          <w:tcPr>
            <w:tcW w:w="1097" w:type="dxa"/>
          </w:tcPr>
          <w:p w14:paraId="66E4DC0B" w14:textId="77777777" w:rsidR="000500F1" w:rsidRPr="000500F1" w:rsidRDefault="000500F1" w:rsidP="000500F1">
            <w:r w:rsidRPr="000500F1">
              <w:t>0</w:t>
            </w:r>
          </w:p>
        </w:tc>
        <w:tc>
          <w:tcPr>
            <w:tcW w:w="1097" w:type="dxa"/>
          </w:tcPr>
          <w:p w14:paraId="74DA7A85" w14:textId="77777777" w:rsidR="000500F1" w:rsidRPr="000500F1" w:rsidRDefault="000500F1" w:rsidP="000500F1">
            <w:r w:rsidRPr="000500F1">
              <w:t>1</w:t>
            </w:r>
          </w:p>
        </w:tc>
        <w:tc>
          <w:tcPr>
            <w:tcW w:w="1097" w:type="dxa"/>
          </w:tcPr>
          <w:p w14:paraId="7C9B2910" w14:textId="77777777" w:rsidR="000500F1" w:rsidRPr="000500F1" w:rsidRDefault="000500F1" w:rsidP="000500F1">
            <w:r w:rsidRPr="000500F1">
              <w:t>0</w:t>
            </w:r>
          </w:p>
        </w:tc>
        <w:tc>
          <w:tcPr>
            <w:tcW w:w="1012" w:type="dxa"/>
          </w:tcPr>
          <w:p w14:paraId="6783489D" w14:textId="77777777" w:rsidR="000500F1" w:rsidRPr="000500F1" w:rsidRDefault="000500F1" w:rsidP="000500F1">
            <w:r w:rsidRPr="000500F1">
              <w:t>1</w:t>
            </w:r>
          </w:p>
        </w:tc>
        <w:tc>
          <w:tcPr>
            <w:tcW w:w="1008" w:type="dxa"/>
          </w:tcPr>
          <w:p w14:paraId="3285AE57" w14:textId="77777777" w:rsidR="000500F1" w:rsidRPr="000500F1" w:rsidRDefault="000500F1" w:rsidP="000500F1">
            <w:r w:rsidRPr="000500F1">
              <w:t>0</w:t>
            </w:r>
          </w:p>
        </w:tc>
      </w:tr>
      <w:tr w:rsidR="000500F1" w:rsidRPr="000500F1" w14:paraId="2AD3AC37" w14:textId="77777777" w:rsidTr="00145812">
        <w:tc>
          <w:tcPr>
            <w:tcW w:w="4759" w:type="dxa"/>
            <w:vAlign w:val="bottom"/>
          </w:tcPr>
          <w:p w14:paraId="77613614" w14:textId="77777777" w:rsidR="000500F1" w:rsidRPr="000500F1" w:rsidRDefault="000500F1" w:rsidP="000500F1">
            <w:r w:rsidRPr="000500F1">
              <w:t xml:space="preserve">▪Amendments, total active </w:t>
            </w:r>
          </w:p>
        </w:tc>
        <w:tc>
          <w:tcPr>
            <w:tcW w:w="1097" w:type="dxa"/>
          </w:tcPr>
          <w:p w14:paraId="67648D5B" w14:textId="77777777" w:rsidR="000500F1" w:rsidRPr="000500F1" w:rsidRDefault="000500F1" w:rsidP="000500F1">
            <w:r w:rsidRPr="000500F1">
              <w:t>0</w:t>
            </w:r>
          </w:p>
        </w:tc>
        <w:tc>
          <w:tcPr>
            <w:tcW w:w="1097" w:type="dxa"/>
          </w:tcPr>
          <w:p w14:paraId="178FD213" w14:textId="77777777" w:rsidR="000500F1" w:rsidRPr="000500F1" w:rsidRDefault="000500F1" w:rsidP="000500F1">
            <w:r w:rsidRPr="000500F1">
              <w:t>0</w:t>
            </w:r>
          </w:p>
        </w:tc>
        <w:tc>
          <w:tcPr>
            <w:tcW w:w="1097" w:type="dxa"/>
          </w:tcPr>
          <w:p w14:paraId="037AD99B" w14:textId="77777777" w:rsidR="000500F1" w:rsidRPr="000500F1" w:rsidRDefault="000500F1" w:rsidP="000500F1">
            <w:r w:rsidRPr="000500F1">
              <w:t>0</w:t>
            </w:r>
          </w:p>
        </w:tc>
        <w:tc>
          <w:tcPr>
            <w:tcW w:w="1012" w:type="dxa"/>
          </w:tcPr>
          <w:p w14:paraId="1AFAB35A" w14:textId="77777777" w:rsidR="000500F1" w:rsidRPr="000500F1" w:rsidRDefault="000500F1" w:rsidP="000500F1">
            <w:r w:rsidRPr="000500F1">
              <w:t>0</w:t>
            </w:r>
          </w:p>
        </w:tc>
        <w:tc>
          <w:tcPr>
            <w:tcW w:w="1008" w:type="dxa"/>
          </w:tcPr>
          <w:p w14:paraId="1EBF4556" w14:textId="77777777" w:rsidR="000500F1" w:rsidRPr="000500F1" w:rsidRDefault="000500F1" w:rsidP="000500F1">
            <w:r w:rsidRPr="000500F1">
              <w:t>0</w:t>
            </w:r>
          </w:p>
        </w:tc>
      </w:tr>
      <w:tr w:rsidR="000500F1" w:rsidRPr="000500F1" w14:paraId="19BB3EE3" w14:textId="77777777" w:rsidTr="00145812">
        <w:tc>
          <w:tcPr>
            <w:tcW w:w="4759" w:type="dxa"/>
            <w:vAlign w:val="bottom"/>
          </w:tcPr>
          <w:p w14:paraId="158287C2" w14:textId="77777777" w:rsidR="000500F1" w:rsidRPr="000500F1" w:rsidRDefault="000500F1" w:rsidP="000500F1">
            <w:r w:rsidRPr="000500F1">
              <w:t xml:space="preserve">- New, executed </w:t>
            </w:r>
          </w:p>
        </w:tc>
        <w:tc>
          <w:tcPr>
            <w:tcW w:w="1097" w:type="dxa"/>
          </w:tcPr>
          <w:p w14:paraId="4B9EE5C8" w14:textId="77777777" w:rsidR="000500F1" w:rsidRPr="000500F1" w:rsidRDefault="000500F1" w:rsidP="000500F1">
            <w:r w:rsidRPr="000500F1">
              <w:t>0</w:t>
            </w:r>
          </w:p>
        </w:tc>
        <w:tc>
          <w:tcPr>
            <w:tcW w:w="1097" w:type="dxa"/>
          </w:tcPr>
          <w:p w14:paraId="29E20E5D" w14:textId="77777777" w:rsidR="000500F1" w:rsidRPr="000500F1" w:rsidRDefault="000500F1" w:rsidP="000500F1">
            <w:r w:rsidRPr="000500F1">
              <w:t>0</w:t>
            </w:r>
          </w:p>
        </w:tc>
        <w:tc>
          <w:tcPr>
            <w:tcW w:w="1097" w:type="dxa"/>
          </w:tcPr>
          <w:p w14:paraId="604DBE0E" w14:textId="77777777" w:rsidR="000500F1" w:rsidRPr="000500F1" w:rsidRDefault="000500F1" w:rsidP="000500F1">
            <w:r w:rsidRPr="000500F1">
              <w:t>0</w:t>
            </w:r>
          </w:p>
        </w:tc>
        <w:tc>
          <w:tcPr>
            <w:tcW w:w="1012" w:type="dxa"/>
          </w:tcPr>
          <w:p w14:paraId="218108BD" w14:textId="77777777" w:rsidR="000500F1" w:rsidRPr="000500F1" w:rsidRDefault="000500F1" w:rsidP="000500F1">
            <w:r w:rsidRPr="000500F1">
              <w:t>0</w:t>
            </w:r>
          </w:p>
        </w:tc>
        <w:tc>
          <w:tcPr>
            <w:tcW w:w="1008" w:type="dxa"/>
          </w:tcPr>
          <w:p w14:paraId="6E38F27B" w14:textId="77777777" w:rsidR="000500F1" w:rsidRPr="000500F1" w:rsidRDefault="000500F1" w:rsidP="000500F1">
            <w:r w:rsidRPr="000500F1">
              <w:t>0</w:t>
            </w:r>
          </w:p>
        </w:tc>
      </w:tr>
      <w:tr w:rsidR="000500F1" w:rsidRPr="000500F1" w14:paraId="54FD20B6" w14:textId="77777777" w:rsidTr="00145812">
        <w:tc>
          <w:tcPr>
            <w:tcW w:w="4759" w:type="dxa"/>
            <w:vAlign w:val="bottom"/>
          </w:tcPr>
          <w:p w14:paraId="3F685B03" w14:textId="77777777" w:rsidR="000500F1" w:rsidRPr="000500F1" w:rsidRDefault="000500F1" w:rsidP="000500F1">
            <w:r w:rsidRPr="000500F1">
              <w:t xml:space="preserve">▪ Traditional CRADAs, total active </w:t>
            </w:r>
          </w:p>
        </w:tc>
        <w:tc>
          <w:tcPr>
            <w:tcW w:w="1097" w:type="dxa"/>
          </w:tcPr>
          <w:p w14:paraId="2178660C" w14:textId="77777777" w:rsidR="000500F1" w:rsidRPr="000500F1" w:rsidRDefault="000500F1" w:rsidP="000500F1">
            <w:r w:rsidRPr="000500F1">
              <w:t>0</w:t>
            </w:r>
          </w:p>
        </w:tc>
        <w:tc>
          <w:tcPr>
            <w:tcW w:w="1097" w:type="dxa"/>
          </w:tcPr>
          <w:p w14:paraId="22EF99AD" w14:textId="77777777" w:rsidR="000500F1" w:rsidRPr="000500F1" w:rsidRDefault="000500F1" w:rsidP="000500F1">
            <w:r w:rsidRPr="000500F1">
              <w:t>0</w:t>
            </w:r>
          </w:p>
        </w:tc>
        <w:tc>
          <w:tcPr>
            <w:tcW w:w="1097" w:type="dxa"/>
          </w:tcPr>
          <w:p w14:paraId="5CE747FB" w14:textId="77777777" w:rsidR="000500F1" w:rsidRPr="000500F1" w:rsidRDefault="000500F1" w:rsidP="000500F1">
            <w:r w:rsidRPr="000500F1">
              <w:t>0</w:t>
            </w:r>
          </w:p>
        </w:tc>
        <w:tc>
          <w:tcPr>
            <w:tcW w:w="1012" w:type="dxa"/>
          </w:tcPr>
          <w:p w14:paraId="2FC142A0" w14:textId="77777777" w:rsidR="000500F1" w:rsidRPr="000500F1" w:rsidRDefault="000500F1" w:rsidP="000500F1">
            <w:r w:rsidRPr="000500F1">
              <w:t>4</w:t>
            </w:r>
          </w:p>
        </w:tc>
        <w:tc>
          <w:tcPr>
            <w:tcW w:w="1008" w:type="dxa"/>
          </w:tcPr>
          <w:p w14:paraId="2425B0D2" w14:textId="77777777" w:rsidR="000500F1" w:rsidRPr="000500F1" w:rsidRDefault="000500F1" w:rsidP="000500F1">
            <w:r w:rsidRPr="000500F1">
              <w:t>0</w:t>
            </w:r>
          </w:p>
        </w:tc>
      </w:tr>
      <w:tr w:rsidR="000500F1" w:rsidRPr="000500F1" w14:paraId="0E4F856A" w14:textId="77777777" w:rsidTr="00145812">
        <w:tc>
          <w:tcPr>
            <w:tcW w:w="4759" w:type="dxa"/>
            <w:vAlign w:val="bottom"/>
          </w:tcPr>
          <w:p w14:paraId="0DDCB758" w14:textId="77777777" w:rsidR="000500F1" w:rsidRPr="000500F1" w:rsidRDefault="000500F1" w:rsidP="000500F1">
            <w:r w:rsidRPr="000500F1">
              <w:t xml:space="preserve">- New, executed </w:t>
            </w:r>
          </w:p>
        </w:tc>
        <w:tc>
          <w:tcPr>
            <w:tcW w:w="1097" w:type="dxa"/>
          </w:tcPr>
          <w:p w14:paraId="67725A8C" w14:textId="77777777" w:rsidR="000500F1" w:rsidRPr="000500F1" w:rsidRDefault="000500F1" w:rsidP="000500F1">
            <w:r w:rsidRPr="000500F1">
              <w:t>0</w:t>
            </w:r>
          </w:p>
        </w:tc>
        <w:tc>
          <w:tcPr>
            <w:tcW w:w="1097" w:type="dxa"/>
          </w:tcPr>
          <w:p w14:paraId="290893D0" w14:textId="77777777" w:rsidR="000500F1" w:rsidRPr="000500F1" w:rsidRDefault="000500F1" w:rsidP="000500F1">
            <w:r w:rsidRPr="000500F1">
              <w:t>0</w:t>
            </w:r>
          </w:p>
        </w:tc>
        <w:tc>
          <w:tcPr>
            <w:tcW w:w="1097" w:type="dxa"/>
          </w:tcPr>
          <w:p w14:paraId="491B5C11" w14:textId="77777777" w:rsidR="000500F1" w:rsidRPr="000500F1" w:rsidRDefault="000500F1" w:rsidP="000500F1">
            <w:r w:rsidRPr="000500F1">
              <w:t>0</w:t>
            </w:r>
          </w:p>
        </w:tc>
        <w:tc>
          <w:tcPr>
            <w:tcW w:w="1012" w:type="dxa"/>
          </w:tcPr>
          <w:p w14:paraId="39A7D949" w14:textId="77777777" w:rsidR="000500F1" w:rsidRPr="000500F1" w:rsidRDefault="000500F1" w:rsidP="000500F1">
            <w:r w:rsidRPr="000500F1">
              <w:t>1</w:t>
            </w:r>
          </w:p>
        </w:tc>
        <w:tc>
          <w:tcPr>
            <w:tcW w:w="1008" w:type="dxa"/>
          </w:tcPr>
          <w:p w14:paraId="77478894" w14:textId="77777777" w:rsidR="000500F1" w:rsidRPr="000500F1" w:rsidRDefault="000500F1" w:rsidP="000500F1">
            <w:r w:rsidRPr="000500F1">
              <w:t>0</w:t>
            </w:r>
          </w:p>
        </w:tc>
      </w:tr>
      <w:tr w:rsidR="000500F1" w:rsidRPr="000500F1" w14:paraId="73603B0D" w14:textId="77777777" w:rsidTr="00145812">
        <w:tc>
          <w:tcPr>
            <w:tcW w:w="4759" w:type="dxa"/>
            <w:vAlign w:val="bottom"/>
          </w:tcPr>
          <w:p w14:paraId="1BBDD980" w14:textId="77777777" w:rsidR="000500F1" w:rsidRPr="000500F1" w:rsidRDefault="000500F1" w:rsidP="000500F1">
            <w:r w:rsidRPr="000500F1">
              <w:t xml:space="preserve">▪ Small Business Cooperators, total active </w:t>
            </w:r>
          </w:p>
        </w:tc>
        <w:tc>
          <w:tcPr>
            <w:tcW w:w="1097" w:type="dxa"/>
          </w:tcPr>
          <w:p w14:paraId="5D4DBA7F" w14:textId="77777777" w:rsidR="000500F1" w:rsidRPr="000500F1" w:rsidRDefault="000500F1" w:rsidP="000500F1">
            <w:r w:rsidRPr="000500F1">
              <w:t>0</w:t>
            </w:r>
          </w:p>
        </w:tc>
        <w:tc>
          <w:tcPr>
            <w:tcW w:w="1097" w:type="dxa"/>
          </w:tcPr>
          <w:p w14:paraId="09F8806B" w14:textId="77777777" w:rsidR="000500F1" w:rsidRPr="000500F1" w:rsidRDefault="000500F1" w:rsidP="000500F1">
            <w:r w:rsidRPr="000500F1">
              <w:t>1</w:t>
            </w:r>
          </w:p>
        </w:tc>
        <w:tc>
          <w:tcPr>
            <w:tcW w:w="1097" w:type="dxa"/>
          </w:tcPr>
          <w:p w14:paraId="1D633A07" w14:textId="77777777" w:rsidR="000500F1" w:rsidRPr="000500F1" w:rsidRDefault="000500F1" w:rsidP="000500F1">
            <w:r w:rsidRPr="000500F1">
              <w:t>0</w:t>
            </w:r>
          </w:p>
        </w:tc>
        <w:tc>
          <w:tcPr>
            <w:tcW w:w="1012" w:type="dxa"/>
          </w:tcPr>
          <w:p w14:paraId="02B5D804" w14:textId="77777777" w:rsidR="000500F1" w:rsidRPr="000500F1" w:rsidRDefault="000500F1" w:rsidP="000500F1">
            <w:r w:rsidRPr="000500F1">
              <w:t>0</w:t>
            </w:r>
          </w:p>
        </w:tc>
        <w:tc>
          <w:tcPr>
            <w:tcW w:w="1008" w:type="dxa"/>
          </w:tcPr>
          <w:p w14:paraId="152CD125" w14:textId="77777777" w:rsidR="000500F1" w:rsidRPr="000500F1" w:rsidRDefault="000500F1" w:rsidP="000500F1">
            <w:r w:rsidRPr="000500F1">
              <w:t>0</w:t>
            </w:r>
          </w:p>
        </w:tc>
      </w:tr>
      <w:tr w:rsidR="000500F1" w:rsidRPr="000500F1" w14:paraId="3388717A" w14:textId="77777777" w:rsidTr="00145812">
        <w:tc>
          <w:tcPr>
            <w:tcW w:w="4759" w:type="dxa"/>
            <w:vAlign w:val="bottom"/>
          </w:tcPr>
          <w:p w14:paraId="4DC664EC" w14:textId="77777777" w:rsidR="000500F1" w:rsidRPr="000500F1" w:rsidRDefault="000500F1" w:rsidP="000500F1">
            <w:r w:rsidRPr="000500F1">
              <w:t xml:space="preserve">- New, executed </w:t>
            </w:r>
          </w:p>
        </w:tc>
        <w:tc>
          <w:tcPr>
            <w:tcW w:w="1097" w:type="dxa"/>
          </w:tcPr>
          <w:p w14:paraId="4F1A8DAC" w14:textId="77777777" w:rsidR="000500F1" w:rsidRPr="000500F1" w:rsidRDefault="000500F1" w:rsidP="000500F1">
            <w:r w:rsidRPr="000500F1">
              <w:t>0</w:t>
            </w:r>
          </w:p>
        </w:tc>
        <w:tc>
          <w:tcPr>
            <w:tcW w:w="1097" w:type="dxa"/>
          </w:tcPr>
          <w:p w14:paraId="48B9D474" w14:textId="77777777" w:rsidR="000500F1" w:rsidRPr="000500F1" w:rsidRDefault="000500F1" w:rsidP="000500F1">
            <w:r w:rsidRPr="000500F1">
              <w:t>1</w:t>
            </w:r>
          </w:p>
        </w:tc>
        <w:tc>
          <w:tcPr>
            <w:tcW w:w="1097" w:type="dxa"/>
          </w:tcPr>
          <w:p w14:paraId="1C183F3C" w14:textId="77777777" w:rsidR="000500F1" w:rsidRPr="000500F1" w:rsidRDefault="000500F1" w:rsidP="000500F1">
            <w:r w:rsidRPr="000500F1">
              <w:t>0</w:t>
            </w:r>
          </w:p>
        </w:tc>
        <w:tc>
          <w:tcPr>
            <w:tcW w:w="1012" w:type="dxa"/>
          </w:tcPr>
          <w:p w14:paraId="693E9326" w14:textId="77777777" w:rsidR="000500F1" w:rsidRPr="000500F1" w:rsidRDefault="000500F1" w:rsidP="000500F1">
            <w:r w:rsidRPr="000500F1">
              <w:t>0</w:t>
            </w:r>
          </w:p>
        </w:tc>
        <w:tc>
          <w:tcPr>
            <w:tcW w:w="1008" w:type="dxa"/>
          </w:tcPr>
          <w:p w14:paraId="209FF50B" w14:textId="77777777" w:rsidR="000500F1" w:rsidRPr="000500F1" w:rsidRDefault="000500F1" w:rsidP="000500F1">
            <w:r w:rsidRPr="000500F1">
              <w:t>0</w:t>
            </w:r>
          </w:p>
        </w:tc>
      </w:tr>
      <w:tr w:rsidR="000500F1" w:rsidRPr="000500F1" w14:paraId="49574FB9" w14:textId="77777777" w:rsidTr="00145812">
        <w:tc>
          <w:tcPr>
            <w:tcW w:w="4759" w:type="dxa"/>
            <w:vAlign w:val="bottom"/>
          </w:tcPr>
          <w:p w14:paraId="14761DEE" w14:textId="77777777" w:rsidR="000500F1" w:rsidRPr="000500F1" w:rsidRDefault="000500F1" w:rsidP="000500F1">
            <w:r w:rsidRPr="000500F1">
              <w:t xml:space="preserve">▪ Foreign Cooperators, total active </w:t>
            </w:r>
          </w:p>
        </w:tc>
        <w:tc>
          <w:tcPr>
            <w:tcW w:w="1097" w:type="dxa"/>
          </w:tcPr>
          <w:p w14:paraId="1266E750" w14:textId="77777777" w:rsidR="000500F1" w:rsidRPr="000500F1" w:rsidRDefault="000500F1" w:rsidP="000500F1">
            <w:r w:rsidRPr="000500F1">
              <w:t>0</w:t>
            </w:r>
          </w:p>
        </w:tc>
        <w:tc>
          <w:tcPr>
            <w:tcW w:w="1097" w:type="dxa"/>
          </w:tcPr>
          <w:p w14:paraId="10C4B637" w14:textId="77777777" w:rsidR="000500F1" w:rsidRPr="000500F1" w:rsidRDefault="000500F1" w:rsidP="000500F1">
            <w:r w:rsidRPr="000500F1">
              <w:t>0</w:t>
            </w:r>
          </w:p>
        </w:tc>
        <w:tc>
          <w:tcPr>
            <w:tcW w:w="1097" w:type="dxa"/>
          </w:tcPr>
          <w:p w14:paraId="658F20C3" w14:textId="77777777" w:rsidR="000500F1" w:rsidRPr="000500F1" w:rsidRDefault="000500F1" w:rsidP="000500F1">
            <w:r w:rsidRPr="000500F1">
              <w:t>0</w:t>
            </w:r>
          </w:p>
        </w:tc>
        <w:tc>
          <w:tcPr>
            <w:tcW w:w="1012" w:type="dxa"/>
          </w:tcPr>
          <w:p w14:paraId="3EE8CF4D" w14:textId="77777777" w:rsidR="000500F1" w:rsidRPr="000500F1" w:rsidRDefault="000500F1" w:rsidP="000500F1">
            <w:r w:rsidRPr="000500F1">
              <w:t>0</w:t>
            </w:r>
          </w:p>
        </w:tc>
        <w:tc>
          <w:tcPr>
            <w:tcW w:w="1008" w:type="dxa"/>
          </w:tcPr>
          <w:p w14:paraId="04659D7C" w14:textId="77777777" w:rsidR="000500F1" w:rsidRPr="000500F1" w:rsidRDefault="000500F1" w:rsidP="000500F1">
            <w:r w:rsidRPr="000500F1">
              <w:t>0</w:t>
            </w:r>
          </w:p>
        </w:tc>
      </w:tr>
      <w:tr w:rsidR="000500F1" w:rsidRPr="000500F1" w14:paraId="7FCA013D" w14:textId="77777777" w:rsidTr="00145812">
        <w:tc>
          <w:tcPr>
            <w:tcW w:w="4759" w:type="dxa"/>
            <w:vAlign w:val="bottom"/>
          </w:tcPr>
          <w:p w14:paraId="359A5675" w14:textId="77777777" w:rsidR="000500F1" w:rsidRPr="000500F1" w:rsidRDefault="000500F1" w:rsidP="000500F1">
            <w:r w:rsidRPr="000500F1">
              <w:t xml:space="preserve">- New, executed </w:t>
            </w:r>
          </w:p>
        </w:tc>
        <w:tc>
          <w:tcPr>
            <w:tcW w:w="1097" w:type="dxa"/>
          </w:tcPr>
          <w:p w14:paraId="7CF38FB5" w14:textId="77777777" w:rsidR="000500F1" w:rsidRPr="000500F1" w:rsidRDefault="000500F1" w:rsidP="000500F1">
            <w:r w:rsidRPr="000500F1">
              <w:t>0</w:t>
            </w:r>
          </w:p>
        </w:tc>
        <w:tc>
          <w:tcPr>
            <w:tcW w:w="1097" w:type="dxa"/>
          </w:tcPr>
          <w:p w14:paraId="26DCFE5A" w14:textId="77777777" w:rsidR="000500F1" w:rsidRPr="000500F1" w:rsidRDefault="000500F1" w:rsidP="000500F1">
            <w:r w:rsidRPr="000500F1">
              <w:t>0</w:t>
            </w:r>
          </w:p>
        </w:tc>
        <w:tc>
          <w:tcPr>
            <w:tcW w:w="1097" w:type="dxa"/>
          </w:tcPr>
          <w:p w14:paraId="0716963F" w14:textId="77777777" w:rsidR="000500F1" w:rsidRPr="000500F1" w:rsidRDefault="000500F1" w:rsidP="000500F1">
            <w:r w:rsidRPr="000500F1">
              <w:t>0</w:t>
            </w:r>
          </w:p>
        </w:tc>
        <w:tc>
          <w:tcPr>
            <w:tcW w:w="1012" w:type="dxa"/>
          </w:tcPr>
          <w:p w14:paraId="088E904F" w14:textId="77777777" w:rsidR="000500F1" w:rsidRPr="000500F1" w:rsidRDefault="000500F1" w:rsidP="000500F1">
            <w:r w:rsidRPr="000500F1">
              <w:t>0</w:t>
            </w:r>
          </w:p>
        </w:tc>
        <w:tc>
          <w:tcPr>
            <w:tcW w:w="1008" w:type="dxa"/>
          </w:tcPr>
          <w:p w14:paraId="6042DA9F" w14:textId="77777777" w:rsidR="000500F1" w:rsidRPr="000500F1" w:rsidRDefault="000500F1" w:rsidP="000500F1">
            <w:r w:rsidRPr="000500F1">
              <w:t>0</w:t>
            </w:r>
          </w:p>
        </w:tc>
      </w:tr>
      <w:tr w:rsidR="000500F1" w:rsidRPr="000500F1" w14:paraId="0E02F8A5" w14:textId="77777777" w:rsidTr="00145812">
        <w:tc>
          <w:tcPr>
            <w:tcW w:w="4759" w:type="dxa"/>
            <w:vAlign w:val="bottom"/>
          </w:tcPr>
          <w:p w14:paraId="039E8E8E" w14:textId="77777777" w:rsidR="000500F1" w:rsidRPr="000500F1" w:rsidRDefault="000500F1" w:rsidP="000500F1">
            <w:r w:rsidRPr="000500F1">
              <w:t>▪ Confidentiality Agreements</w:t>
            </w:r>
          </w:p>
        </w:tc>
        <w:tc>
          <w:tcPr>
            <w:tcW w:w="1097" w:type="dxa"/>
          </w:tcPr>
          <w:p w14:paraId="74CF87C5" w14:textId="77777777" w:rsidR="000500F1" w:rsidRPr="000500F1" w:rsidRDefault="000500F1" w:rsidP="000500F1">
            <w:r w:rsidRPr="000500F1">
              <w:t>29</w:t>
            </w:r>
          </w:p>
        </w:tc>
        <w:tc>
          <w:tcPr>
            <w:tcW w:w="1097" w:type="dxa"/>
          </w:tcPr>
          <w:p w14:paraId="58987485" w14:textId="77777777" w:rsidR="000500F1" w:rsidRPr="000500F1" w:rsidRDefault="000500F1" w:rsidP="000500F1">
            <w:r w:rsidRPr="000500F1">
              <w:t>35</w:t>
            </w:r>
          </w:p>
        </w:tc>
        <w:tc>
          <w:tcPr>
            <w:tcW w:w="1097" w:type="dxa"/>
          </w:tcPr>
          <w:p w14:paraId="6BBAF824" w14:textId="77777777" w:rsidR="000500F1" w:rsidRPr="000500F1" w:rsidRDefault="000500F1" w:rsidP="000500F1">
            <w:r w:rsidRPr="000500F1">
              <w:t>19</w:t>
            </w:r>
          </w:p>
        </w:tc>
        <w:tc>
          <w:tcPr>
            <w:tcW w:w="1012" w:type="dxa"/>
          </w:tcPr>
          <w:p w14:paraId="7ECE7782" w14:textId="77777777" w:rsidR="000500F1" w:rsidRPr="000500F1" w:rsidRDefault="000500F1" w:rsidP="000500F1">
            <w:r w:rsidRPr="000500F1">
              <w:t>2</w:t>
            </w:r>
          </w:p>
        </w:tc>
        <w:tc>
          <w:tcPr>
            <w:tcW w:w="1008" w:type="dxa"/>
          </w:tcPr>
          <w:p w14:paraId="51CBAEEF" w14:textId="77777777" w:rsidR="000500F1" w:rsidRPr="000500F1" w:rsidRDefault="000500F1" w:rsidP="000500F1">
            <w:r w:rsidRPr="000500F1">
              <w:t>0</w:t>
            </w:r>
          </w:p>
        </w:tc>
      </w:tr>
      <w:tr w:rsidR="000500F1" w:rsidRPr="000500F1" w14:paraId="461938BF" w14:textId="77777777" w:rsidTr="00145812">
        <w:tc>
          <w:tcPr>
            <w:tcW w:w="4759" w:type="dxa"/>
            <w:vAlign w:val="bottom"/>
          </w:tcPr>
          <w:p w14:paraId="2309820C" w14:textId="77777777" w:rsidR="000500F1" w:rsidRPr="000500F1" w:rsidRDefault="000500F1" w:rsidP="000500F1">
            <w:r w:rsidRPr="000500F1">
              <w:t>- New, executed</w:t>
            </w:r>
          </w:p>
        </w:tc>
        <w:tc>
          <w:tcPr>
            <w:tcW w:w="1097" w:type="dxa"/>
          </w:tcPr>
          <w:p w14:paraId="3ECED15D" w14:textId="77777777" w:rsidR="000500F1" w:rsidRPr="000500F1" w:rsidRDefault="000500F1" w:rsidP="000500F1">
            <w:r w:rsidRPr="000500F1">
              <w:t>29</w:t>
            </w:r>
          </w:p>
        </w:tc>
        <w:tc>
          <w:tcPr>
            <w:tcW w:w="1097" w:type="dxa"/>
          </w:tcPr>
          <w:p w14:paraId="1F42AFCF" w14:textId="77777777" w:rsidR="000500F1" w:rsidRPr="000500F1" w:rsidRDefault="000500F1" w:rsidP="000500F1">
            <w:r w:rsidRPr="000500F1">
              <w:t>35</w:t>
            </w:r>
          </w:p>
        </w:tc>
        <w:tc>
          <w:tcPr>
            <w:tcW w:w="1097" w:type="dxa"/>
          </w:tcPr>
          <w:p w14:paraId="5C5F5590" w14:textId="77777777" w:rsidR="000500F1" w:rsidRPr="000500F1" w:rsidRDefault="000500F1" w:rsidP="000500F1">
            <w:r w:rsidRPr="000500F1">
              <w:t>19</w:t>
            </w:r>
          </w:p>
        </w:tc>
        <w:tc>
          <w:tcPr>
            <w:tcW w:w="1012" w:type="dxa"/>
          </w:tcPr>
          <w:p w14:paraId="50626C73" w14:textId="77777777" w:rsidR="000500F1" w:rsidRPr="000500F1" w:rsidRDefault="000500F1" w:rsidP="000500F1">
            <w:r w:rsidRPr="000500F1">
              <w:t>2</w:t>
            </w:r>
          </w:p>
        </w:tc>
        <w:tc>
          <w:tcPr>
            <w:tcW w:w="1008" w:type="dxa"/>
          </w:tcPr>
          <w:p w14:paraId="6AE74A45" w14:textId="77777777" w:rsidR="000500F1" w:rsidRPr="000500F1" w:rsidRDefault="000500F1" w:rsidP="000500F1">
            <w:r w:rsidRPr="000500F1">
              <w:t>0</w:t>
            </w:r>
          </w:p>
        </w:tc>
      </w:tr>
      <w:tr w:rsidR="000500F1" w:rsidRPr="000500F1" w14:paraId="04C0709C" w14:textId="77777777" w:rsidTr="00145812">
        <w:tc>
          <w:tcPr>
            <w:tcW w:w="4759" w:type="dxa"/>
            <w:vAlign w:val="bottom"/>
          </w:tcPr>
          <w:p w14:paraId="50A2BEA5" w14:textId="77777777" w:rsidR="000500F1" w:rsidRPr="000500F1" w:rsidRDefault="000500F1" w:rsidP="000500F1">
            <w:r w:rsidRPr="000500F1">
              <w:t>▪ Material Transfer Agreements</w:t>
            </w:r>
          </w:p>
        </w:tc>
        <w:tc>
          <w:tcPr>
            <w:tcW w:w="1097" w:type="dxa"/>
          </w:tcPr>
          <w:p w14:paraId="0E788FD1" w14:textId="77777777" w:rsidR="000500F1" w:rsidRPr="000500F1" w:rsidRDefault="000500F1" w:rsidP="000500F1">
            <w:r w:rsidRPr="000500F1">
              <w:t>44</w:t>
            </w:r>
          </w:p>
        </w:tc>
        <w:tc>
          <w:tcPr>
            <w:tcW w:w="1097" w:type="dxa"/>
          </w:tcPr>
          <w:p w14:paraId="42321087" w14:textId="77777777" w:rsidR="000500F1" w:rsidRPr="000500F1" w:rsidRDefault="000500F1" w:rsidP="000500F1">
            <w:r w:rsidRPr="000500F1">
              <w:t>37</w:t>
            </w:r>
          </w:p>
        </w:tc>
        <w:tc>
          <w:tcPr>
            <w:tcW w:w="1097" w:type="dxa"/>
          </w:tcPr>
          <w:p w14:paraId="15B0EF73" w14:textId="77777777" w:rsidR="000500F1" w:rsidRPr="000500F1" w:rsidRDefault="000500F1" w:rsidP="000500F1">
            <w:r w:rsidRPr="000500F1">
              <w:t>48</w:t>
            </w:r>
          </w:p>
        </w:tc>
        <w:tc>
          <w:tcPr>
            <w:tcW w:w="1012" w:type="dxa"/>
          </w:tcPr>
          <w:p w14:paraId="3FDED18A" w14:textId="77777777" w:rsidR="000500F1" w:rsidRPr="000500F1" w:rsidRDefault="000500F1" w:rsidP="000500F1">
            <w:r w:rsidRPr="000500F1">
              <w:t>19</w:t>
            </w:r>
          </w:p>
        </w:tc>
        <w:tc>
          <w:tcPr>
            <w:tcW w:w="1008" w:type="dxa"/>
          </w:tcPr>
          <w:p w14:paraId="62196EE7" w14:textId="77777777" w:rsidR="000500F1" w:rsidRPr="000500F1" w:rsidRDefault="000500F1" w:rsidP="000500F1">
            <w:r w:rsidRPr="000500F1">
              <w:t>145</w:t>
            </w:r>
          </w:p>
        </w:tc>
      </w:tr>
      <w:tr w:rsidR="000500F1" w:rsidRPr="000500F1" w14:paraId="36EBB766" w14:textId="77777777" w:rsidTr="00145812">
        <w:tc>
          <w:tcPr>
            <w:tcW w:w="4759" w:type="dxa"/>
            <w:vAlign w:val="bottom"/>
          </w:tcPr>
          <w:p w14:paraId="65ACB83B" w14:textId="77777777" w:rsidR="000500F1" w:rsidRPr="000500F1" w:rsidRDefault="000500F1" w:rsidP="000500F1">
            <w:r w:rsidRPr="000500F1">
              <w:t xml:space="preserve">- New, executed </w:t>
            </w:r>
          </w:p>
        </w:tc>
        <w:tc>
          <w:tcPr>
            <w:tcW w:w="1097" w:type="dxa"/>
          </w:tcPr>
          <w:p w14:paraId="2E24AC0A" w14:textId="77777777" w:rsidR="000500F1" w:rsidRPr="000500F1" w:rsidRDefault="000500F1" w:rsidP="000500F1"/>
        </w:tc>
        <w:tc>
          <w:tcPr>
            <w:tcW w:w="1097" w:type="dxa"/>
          </w:tcPr>
          <w:p w14:paraId="4FE8D818" w14:textId="77777777" w:rsidR="000500F1" w:rsidRPr="000500F1" w:rsidRDefault="000500F1" w:rsidP="000500F1"/>
        </w:tc>
        <w:tc>
          <w:tcPr>
            <w:tcW w:w="1097" w:type="dxa"/>
          </w:tcPr>
          <w:p w14:paraId="32B6F01B" w14:textId="77777777" w:rsidR="000500F1" w:rsidRPr="000500F1" w:rsidRDefault="000500F1" w:rsidP="000500F1"/>
        </w:tc>
        <w:tc>
          <w:tcPr>
            <w:tcW w:w="1012" w:type="dxa"/>
          </w:tcPr>
          <w:p w14:paraId="2F25F80D" w14:textId="77777777" w:rsidR="000500F1" w:rsidRPr="000500F1" w:rsidRDefault="000500F1" w:rsidP="000500F1"/>
        </w:tc>
        <w:tc>
          <w:tcPr>
            <w:tcW w:w="1008" w:type="dxa"/>
          </w:tcPr>
          <w:p w14:paraId="5EA9E60F" w14:textId="77777777" w:rsidR="000500F1" w:rsidRPr="000500F1" w:rsidRDefault="000500F1" w:rsidP="000500F1">
            <w:r w:rsidRPr="000500F1">
              <w:t>34</w:t>
            </w:r>
          </w:p>
        </w:tc>
      </w:tr>
      <w:tr w:rsidR="000500F1" w:rsidRPr="000500F1" w14:paraId="1D0EF6F2" w14:textId="77777777" w:rsidTr="00145812">
        <w:tc>
          <w:tcPr>
            <w:tcW w:w="4759" w:type="dxa"/>
            <w:vAlign w:val="bottom"/>
          </w:tcPr>
          <w:p w14:paraId="0BE797C1" w14:textId="77777777" w:rsidR="000500F1" w:rsidRPr="000500F1" w:rsidRDefault="000500F1" w:rsidP="000500F1">
            <w:r w:rsidRPr="000500F1">
              <w:t>- Material Transfer Research Agreements</w:t>
            </w:r>
          </w:p>
        </w:tc>
        <w:tc>
          <w:tcPr>
            <w:tcW w:w="1097" w:type="dxa"/>
          </w:tcPr>
          <w:p w14:paraId="4EB57678" w14:textId="77777777" w:rsidR="000500F1" w:rsidRPr="000500F1" w:rsidRDefault="000500F1" w:rsidP="000500F1">
            <w:r w:rsidRPr="000500F1">
              <w:t>0</w:t>
            </w:r>
          </w:p>
        </w:tc>
        <w:tc>
          <w:tcPr>
            <w:tcW w:w="1097" w:type="dxa"/>
          </w:tcPr>
          <w:p w14:paraId="228EABA4" w14:textId="77777777" w:rsidR="000500F1" w:rsidRPr="000500F1" w:rsidRDefault="000500F1" w:rsidP="000500F1">
            <w:r w:rsidRPr="000500F1">
              <w:t>6</w:t>
            </w:r>
          </w:p>
        </w:tc>
        <w:tc>
          <w:tcPr>
            <w:tcW w:w="1097" w:type="dxa"/>
          </w:tcPr>
          <w:p w14:paraId="565B8872" w14:textId="77777777" w:rsidR="000500F1" w:rsidRPr="000500F1" w:rsidRDefault="000500F1" w:rsidP="000500F1">
            <w:r w:rsidRPr="000500F1">
              <w:t>18</w:t>
            </w:r>
          </w:p>
        </w:tc>
        <w:tc>
          <w:tcPr>
            <w:tcW w:w="1012" w:type="dxa"/>
          </w:tcPr>
          <w:p w14:paraId="108E5D67" w14:textId="77777777" w:rsidR="000500F1" w:rsidRPr="000500F1" w:rsidRDefault="000500F1" w:rsidP="000500F1">
            <w:r w:rsidRPr="000500F1">
              <w:t>22</w:t>
            </w:r>
          </w:p>
        </w:tc>
        <w:tc>
          <w:tcPr>
            <w:tcW w:w="1008" w:type="dxa"/>
          </w:tcPr>
          <w:p w14:paraId="40A1DFAE" w14:textId="77777777" w:rsidR="000500F1" w:rsidRPr="000500F1" w:rsidRDefault="000500F1" w:rsidP="000500F1">
            <w:r w:rsidRPr="000500F1">
              <w:t>0</w:t>
            </w:r>
          </w:p>
        </w:tc>
      </w:tr>
      <w:tr w:rsidR="000500F1" w:rsidRPr="000500F1" w14:paraId="6D65C623" w14:textId="77777777" w:rsidTr="00145812">
        <w:tc>
          <w:tcPr>
            <w:tcW w:w="4759" w:type="dxa"/>
            <w:vAlign w:val="bottom"/>
          </w:tcPr>
          <w:p w14:paraId="6224687F" w14:textId="77777777" w:rsidR="000500F1" w:rsidRPr="000500F1" w:rsidRDefault="000500F1" w:rsidP="000500F1">
            <w:r w:rsidRPr="000500F1">
              <w:t>- New, executed</w:t>
            </w:r>
          </w:p>
        </w:tc>
        <w:tc>
          <w:tcPr>
            <w:tcW w:w="1097" w:type="dxa"/>
          </w:tcPr>
          <w:p w14:paraId="29C9AE06" w14:textId="77777777" w:rsidR="000500F1" w:rsidRPr="000500F1" w:rsidRDefault="000500F1" w:rsidP="000500F1"/>
        </w:tc>
        <w:tc>
          <w:tcPr>
            <w:tcW w:w="1097" w:type="dxa"/>
          </w:tcPr>
          <w:p w14:paraId="3925E682" w14:textId="77777777" w:rsidR="000500F1" w:rsidRPr="000500F1" w:rsidRDefault="000500F1" w:rsidP="000500F1"/>
        </w:tc>
        <w:tc>
          <w:tcPr>
            <w:tcW w:w="1097" w:type="dxa"/>
          </w:tcPr>
          <w:p w14:paraId="7E08EA41" w14:textId="77777777" w:rsidR="000500F1" w:rsidRPr="000500F1" w:rsidRDefault="000500F1" w:rsidP="000500F1"/>
        </w:tc>
        <w:tc>
          <w:tcPr>
            <w:tcW w:w="1012" w:type="dxa"/>
          </w:tcPr>
          <w:p w14:paraId="370FC86F" w14:textId="77777777" w:rsidR="000500F1" w:rsidRPr="000500F1" w:rsidRDefault="000500F1" w:rsidP="000500F1"/>
        </w:tc>
        <w:tc>
          <w:tcPr>
            <w:tcW w:w="1008" w:type="dxa"/>
          </w:tcPr>
          <w:p w14:paraId="738917DF" w14:textId="77777777" w:rsidR="000500F1" w:rsidRPr="000500F1" w:rsidRDefault="000500F1" w:rsidP="000500F1">
            <w:r w:rsidRPr="000500F1">
              <w:t>0</w:t>
            </w:r>
          </w:p>
        </w:tc>
      </w:tr>
      <w:tr w:rsidR="000500F1" w:rsidRPr="000500F1" w14:paraId="20155695" w14:textId="77777777" w:rsidTr="00145812">
        <w:tc>
          <w:tcPr>
            <w:tcW w:w="4759" w:type="dxa"/>
            <w:vAlign w:val="bottom"/>
          </w:tcPr>
          <w:p w14:paraId="746F1DEE" w14:textId="77777777" w:rsidR="000500F1" w:rsidRPr="000500F1" w:rsidRDefault="000500F1" w:rsidP="000500F1">
            <w:r w:rsidRPr="000500F1">
              <w:t xml:space="preserve">▪ Other Agreements, total active </w:t>
            </w:r>
          </w:p>
        </w:tc>
        <w:tc>
          <w:tcPr>
            <w:tcW w:w="1097" w:type="dxa"/>
          </w:tcPr>
          <w:p w14:paraId="65DC1EFB" w14:textId="77777777" w:rsidR="000500F1" w:rsidRPr="000500F1" w:rsidRDefault="000500F1" w:rsidP="000500F1">
            <w:r w:rsidRPr="000500F1">
              <w:t>63</w:t>
            </w:r>
          </w:p>
        </w:tc>
        <w:tc>
          <w:tcPr>
            <w:tcW w:w="1097" w:type="dxa"/>
          </w:tcPr>
          <w:p w14:paraId="489D7633" w14:textId="77777777" w:rsidR="000500F1" w:rsidRPr="000500F1" w:rsidRDefault="000500F1" w:rsidP="000500F1">
            <w:r w:rsidRPr="000500F1">
              <w:t>149</w:t>
            </w:r>
          </w:p>
        </w:tc>
        <w:tc>
          <w:tcPr>
            <w:tcW w:w="1097" w:type="dxa"/>
          </w:tcPr>
          <w:p w14:paraId="5BCC5566" w14:textId="77777777" w:rsidR="000500F1" w:rsidRPr="000500F1" w:rsidRDefault="000500F1" w:rsidP="000500F1">
            <w:r w:rsidRPr="000500F1">
              <w:t>405</w:t>
            </w:r>
          </w:p>
        </w:tc>
        <w:tc>
          <w:tcPr>
            <w:tcW w:w="1012" w:type="dxa"/>
          </w:tcPr>
          <w:p w14:paraId="48F4FFD9" w14:textId="77777777" w:rsidR="000500F1" w:rsidRPr="000500F1" w:rsidRDefault="000500F1" w:rsidP="000500F1">
            <w:r w:rsidRPr="000500F1">
              <w:t>1253</w:t>
            </w:r>
          </w:p>
        </w:tc>
        <w:tc>
          <w:tcPr>
            <w:tcW w:w="1008" w:type="dxa"/>
          </w:tcPr>
          <w:p w14:paraId="7A0800D8" w14:textId="77777777" w:rsidR="000500F1" w:rsidRPr="000500F1" w:rsidRDefault="000500F1" w:rsidP="000500F1">
            <w:r w:rsidRPr="000500F1">
              <w:t>1058</w:t>
            </w:r>
          </w:p>
        </w:tc>
      </w:tr>
      <w:tr w:rsidR="000500F1" w:rsidRPr="000500F1" w14:paraId="53A46095" w14:textId="77777777" w:rsidTr="00145812">
        <w:tc>
          <w:tcPr>
            <w:tcW w:w="4759" w:type="dxa"/>
            <w:vAlign w:val="bottom"/>
          </w:tcPr>
          <w:p w14:paraId="6DA74C32" w14:textId="77777777" w:rsidR="000500F1" w:rsidRPr="000500F1" w:rsidRDefault="000500F1" w:rsidP="000500F1">
            <w:r w:rsidRPr="000500F1">
              <w:t xml:space="preserve">- New, executed </w:t>
            </w:r>
          </w:p>
        </w:tc>
        <w:tc>
          <w:tcPr>
            <w:tcW w:w="1097" w:type="dxa"/>
          </w:tcPr>
          <w:p w14:paraId="4623119A" w14:textId="77777777" w:rsidR="000500F1" w:rsidRPr="000500F1" w:rsidRDefault="000500F1" w:rsidP="000500F1"/>
        </w:tc>
        <w:tc>
          <w:tcPr>
            <w:tcW w:w="1097" w:type="dxa"/>
          </w:tcPr>
          <w:p w14:paraId="4A67091A" w14:textId="77777777" w:rsidR="000500F1" w:rsidRPr="000500F1" w:rsidRDefault="000500F1" w:rsidP="000500F1"/>
        </w:tc>
        <w:tc>
          <w:tcPr>
            <w:tcW w:w="1097" w:type="dxa"/>
          </w:tcPr>
          <w:p w14:paraId="6DD50136" w14:textId="77777777" w:rsidR="000500F1" w:rsidRPr="000500F1" w:rsidRDefault="000500F1" w:rsidP="000500F1"/>
        </w:tc>
        <w:tc>
          <w:tcPr>
            <w:tcW w:w="1012" w:type="dxa"/>
          </w:tcPr>
          <w:p w14:paraId="1F9C5B7F" w14:textId="77777777" w:rsidR="000500F1" w:rsidRPr="000500F1" w:rsidRDefault="000500F1" w:rsidP="000500F1"/>
        </w:tc>
        <w:tc>
          <w:tcPr>
            <w:tcW w:w="1008" w:type="dxa"/>
          </w:tcPr>
          <w:p w14:paraId="4C6ED9BF" w14:textId="77777777" w:rsidR="000500F1" w:rsidRPr="000500F1" w:rsidRDefault="000500F1" w:rsidP="000500F1">
            <w:r w:rsidRPr="000500F1">
              <w:t>349</w:t>
            </w:r>
          </w:p>
        </w:tc>
      </w:tr>
      <w:tr w:rsidR="000500F1" w:rsidRPr="000500F1" w14:paraId="278EFC53" w14:textId="77777777" w:rsidTr="00145812">
        <w:tc>
          <w:tcPr>
            <w:tcW w:w="4759" w:type="dxa"/>
            <w:vAlign w:val="bottom"/>
          </w:tcPr>
          <w:p w14:paraId="641A190E" w14:textId="77777777" w:rsidR="000500F1" w:rsidRPr="000500F1" w:rsidRDefault="000500F1" w:rsidP="000500F1">
            <w:r w:rsidRPr="000500F1">
              <w:t>● Publications</w:t>
            </w:r>
          </w:p>
        </w:tc>
        <w:tc>
          <w:tcPr>
            <w:tcW w:w="1097" w:type="dxa"/>
          </w:tcPr>
          <w:p w14:paraId="584021A0" w14:textId="77777777" w:rsidR="000500F1" w:rsidRPr="000500F1" w:rsidRDefault="000500F1" w:rsidP="000500F1"/>
        </w:tc>
        <w:tc>
          <w:tcPr>
            <w:tcW w:w="1097" w:type="dxa"/>
          </w:tcPr>
          <w:p w14:paraId="2F56D469" w14:textId="77777777" w:rsidR="000500F1" w:rsidRPr="000500F1" w:rsidRDefault="000500F1" w:rsidP="000500F1"/>
        </w:tc>
        <w:tc>
          <w:tcPr>
            <w:tcW w:w="1097" w:type="dxa"/>
          </w:tcPr>
          <w:p w14:paraId="311F9F74" w14:textId="77777777" w:rsidR="000500F1" w:rsidRPr="000500F1" w:rsidRDefault="000500F1" w:rsidP="000500F1"/>
        </w:tc>
        <w:tc>
          <w:tcPr>
            <w:tcW w:w="1012" w:type="dxa"/>
          </w:tcPr>
          <w:p w14:paraId="253500C8" w14:textId="77777777" w:rsidR="000500F1" w:rsidRPr="000500F1" w:rsidRDefault="000500F1" w:rsidP="000500F1"/>
        </w:tc>
        <w:tc>
          <w:tcPr>
            <w:tcW w:w="1008" w:type="dxa"/>
          </w:tcPr>
          <w:p w14:paraId="7D6BB1C0" w14:textId="77777777" w:rsidR="000500F1" w:rsidRPr="000500F1" w:rsidRDefault="000500F1" w:rsidP="000500F1"/>
        </w:tc>
      </w:tr>
      <w:tr w:rsidR="000500F1" w:rsidRPr="000500F1" w14:paraId="18A99C96" w14:textId="77777777" w:rsidTr="00145812">
        <w:tc>
          <w:tcPr>
            <w:tcW w:w="4759" w:type="dxa"/>
            <w:vAlign w:val="bottom"/>
          </w:tcPr>
          <w:p w14:paraId="3372D372" w14:textId="77777777" w:rsidR="000500F1" w:rsidRPr="000500F1" w:rsidRDefault="000500F1" w:rsidP="000500F1">
            <w:r w:rsidRPr="000500F1">
              <w:t>-Peer-Reviewed (Indexed) Publications</w:t>
            </w:r>
          </w:p>
        </w:tc>
        <w:tc>
          <w:tcPr>
            <w:tcW w:w="1097" w:type="dxa"/>
          </w:tcPr>
          <w:p w14:paraId="57268757" w14:textId="77777777" w:rsidR="000500F1" w:rsidRPr="000500F1" w:rsidRDefault="000500F1" w:rsidP="000500F1">
            <w:r w:rsidRPr="000500F1">
              <w:t>56</w:t>
            </w:r>
          </w:p>
        </w:tc>
        <w:tc>
          <w:tcPr>
            <w:tcW w:w="1097" w:type="dxa"/>
          </w:tcPr>
          <w:p w14:paraId="7C230705" w14:textId="77777777" w:rsidR="000500F1" w:rsidRPr="000500F1" w:rsidRDefault="000500F1" w:rsidP="000500F1">
            <w:r w:rsidRPr="000500F1">
              <w:t>74</w:t>
            </w:r>
          </w:p>
        </w:tc>
        <w:tc>
          <w:tcPr>
            <w:tcW w:w="1097" w:type="dxa"/>
          </w:tcPr>
          <w:p w14:paraId="66D132AA" w14:textId="77777777" w:rsidR="000500F1" w:rsidRPr="000500F1" w:rsidRDefault="000500F1" w:rsidP="000500F1">
            <w:r w:rsidRPr="000500F1">
              <w:t>59</w:t>
            </w:r>
          </w:p>
        </w:tc>
        <w:tc>
          <w:tcPr>
            <w:tcW w:w="1012" w:type="dxa"/>
          </w:tcPr>
          <w:p w14:paraId="02919AAC" w14:textId="77777777" w:rsidR="000500F1" w:rsidRPr="000500F1" w:rsidRDefault="000500F1" w:rsidP="000500F1">
            <w:r w:rsidRPr="000500F1">
              <w:t>99</w:t>
            </w:r>
          </w:p>
        </w:tc>
        <w:tc>
          <w:tcPr>
            <w:tcW w:w="1008" w:type="dxa"/>
          </w:tcPr>
          <w:p w14:paraId="26E77614" w14:textId="77777777" w:rsidR="000500F1" w:rsidRPr="000500F1" w:rsidRDefault="000500F1" w:rsidP="000500F1">
            <w:r w:rsidRPr="000500F1">
              <w:t>66</w:t>
            </w:r>
          </w:p>
        </w:tc>
      </w:tr>
      <w:tr w:rsidR="000500F1" w:rsidRPr="000500F1" w14:paraId="6E12D868" w14:textId="77777777" w:rsidTr="00145812">
        <w:tc>
          <w:tcPr>
            <w:tcW w:w="4759" w:type="dxa"/>
            <w:vAlign w:val="bottom"/>
          </w:tcPr>
          <w:p w14:paraId="3DE8DD44" w14:textId="77777777" w:rsidR="000500F1" w:rsidRPr="000500F1" w:rsidRDefault="000500F1" w:rsidP="000500F1">
            <w:r w:rsidRPr="000500F1">
              <w:t xml:space="preserve">-Non-Indexed Publications </w:t>
            </w:r>
          </w:p>
        </w:tc>
        <w:tc>
          <w:tcPr>
            <w:tcW w:w="1097" w:type="dxa"/>
          </w:tcPr>
          <w:p w14:paraId="297D4B14" w14:textId="77777777" w:rsidR="000500F1" w:rsidRPr="000500F1" w:rsidRDefault="000500F1" w:rsidP="000500F1">
            <w:r w:rsidRPr="000500F1">
              <w:t>0</w:t>
            </w:r>
          </w:p>
        </w:tc>
        <w:tc>
          <w:tcPr>
            <w:tcW w:w="1097" w:type="dxa"/>
          </w:tcPr>
          <w:p w14:paraId="46B5FBC8" w14:textId="77777777" w:rsidR="000500F1" w:rsidRPr="000500F1" w:rsidRDefault="000500F1" w:rsidP="000500F1">
            <w:r w:rsidRPr="000500F1">
              <w:t>0</w:t>
            </w:r>
          </w:p>
        </w:tc>
        <w:tc>
          <w:tcPr>
            <w:tcW w:w="1097" w:type="dxa"/>
          </w:tcPr>
          <w:p w14:paraId="4E89065D" w14:textId="77777777" w:rsidR="000500F1" w:rsidRPr="000500F1" w:rsidRDefault="000500F1" w:rsidP="000500F1">
            <w:r w:rsidRPr="000500F1">
              <w:t>1</w:t>
            </w:r>
          </w:p>
        </w:tc>
        <w:tc>
          <w:tcPr>
            <w:tcW w:w="1012" w:type="dxa"/>
          </w:tcPr>
          <w:p w14:paraId="79C60E66" w14:textId="77777777" w:rsidR="000500F1" w:rsidRPr="000500F1" w:rsidRDefault="000500F1" w:rsidP="000500F1">
            <w:r w:rsidRPr="000500F1">
              <w:t>0</w:t>
            </w:r>
          </w:p>
        </w:tc>
        <w:tc>
          <w:tcPr>
            <w:tcW w:w="1008" w:type="dxa"/>
          </w:tcPr>
          <w:p w14:paraId="3E235F7B" w14:textId="77777777" w:rsidR="000500F1" w:rsidRPr="000500F1" w:rsidRDefault="000500F1" w:rsidP="000500F1">
            <w:r w:rsidRPr="000500F1">
              <w:t>62</w:t>
            </w:r>
          </w:p>
        </w:tc>
      </w:tr>
    </w:tbl>
    <w:p w14:paraId="64050F1B" w14:textId="77777777" w:rsidR="000500F1" w:rsidRPr="000500F1" w:rsidRDefault="000500F1" w:rsidP="000500F1"/>
    <w:p w14:paraId="31216C6E" w14:textId="77777777" w:rsidR="000500F1" w:rsidRPr="000500F1" w:rsidRDefault="000500F1" w:rsidP="000500F1">
      <w:pPr>
        <w:pStyle w:val="Heading3"/>
      </w:pPr>
      <w:bookmarkStart w:id="440" w:name="_Toc120529413"/>
      <w:bookmarkStart w:id="441" w:name="_Toc120622124"/>
      <w:bookmarkStart w:id="442" w:name="_Toc123025382"/>
      <w:bookmarkStart w:id="443" w:name="_Toc156552602"/>
      <w:bookmarkStart w:id="444" w:name="_Toc160186026"/>
      <w:r w:rsidRPr="000500F1">
        <w:lastRenderedPageBreak/>
        <w:t>Success Stories Demonstrating Downstream Outcomes from Technology Transfer Activities</w:t>
      </w:r>
      <w:bookmarkEnd w:id="440"/>
      <w:bookmarkEnd w:id="441"/>
      <w:bookmarkEnd w:id="442"/>
      <w:bookmarkEnd w:id="443"/>
      <w:bookmarkEnd w:id="444"/>
      <w:r w:rsidRPr="000500F1">
        <w:t xml:space="preserve"> </w:t>
      </w:r>
    </w:p>
    <w:p w14:paraId="474882C8" w14:textId="77777777" w:rsidR="005E29D7" w:rsidRDefault="000500F1" w:rsidP="000500F1">
      <w:r w:rsidRPr="000500F1">
        <w:rPr>
          <w:noProof/>
        </w:rPr>
        <w:drawing>
          <wp:inline distT="0" distB="0" distL="0" distR="0" wp14:anchorId="5B8AD000" wp14:editId="4157982F">
            <wp:extent cx="3088640" cy="1630680"/>
            <wp:effectExtent l="0" t="0" r="0" b="7620"/>
            <wp:docPr id="522304234" name="Picture 522304234" descr="National Center for Animal Health">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04234" name="Picture 522304234" descr="National Center for Animal Health">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8640" cy="1630680"/>
                    </a:xfrm>
                    <a:prstGeom prst="rect">
                      <a:avLst/>
                    </a:prstGeom>
                    <a:noFill/>
                    <a:ln>
                      <a:noFill/>
                    </a:ln>
                  </pic:spPr>
                </pic:pic>
              </a:graphicData>
            </a:graphic>
          </wp:inline>
        </w:drawing>
      </w:r>
    </w:p>
    <w:p w14:paraId="6A4987D5" w14:textId="587623CE" w:rsidR="000500F1" w:rsidRPr="000500F1" w:rsidRDefault="000500F1" w:rsidP="000500F1">
      <w:r w:rsidRPr="000500F1">
        <w:t xml:space="preserve">APHIS-VS transfers technology to State and international animal health agencies, animal owners, animal industry, and domestic and international universities via a variety of methods, including collaborations. Recent examples include: </w:t>
      </w:r>
    </w:p>
    <w:p w14:paraId="21ECE859" w14:textId="77777777" w:rsidR="000500F1" w:rsidRPr="000500F1" w:rsidRDefault="000500F1" w:rsidP="000500F1">
      <w:r w:rsidRPr="000500F1">
        <w:t>VS participated virtually in the American College of Veterinary Pathologists annual meeting. The conference included lectures focused on SARS-CoV-2/COVID-19, digital pathology, and molecular diagnostics. VS provided a presentation titled, Biosecurity in the Veterinary Laboratory Assessing the Known Unknown.</w:t>
      </w:r>
    </w:p>
    <w:p w14:paraId="189A5C60" w14:textId="77777777" w:rsidR="000500F1" w:rsidRPr="000500F1" w:rsidRDefault="000500F1" w:rsidP="000500F1">
      <w:r w:rsidRPr="000500F1">
        <w:t xml:space="preserve">VS collaborated with the Centers for Disease Control and Prevention (CDC) through an Interagency agreement to support SARS-CoV-2 surveillance testing in National Animal Health Laboratory Network (NAHLN) laboratories. </w:t>
      </w:r>
    </w:p>
    <w:p w14:paraId="74D691A2" w14:textId="77777777" w:rsidR="000500F1" w:rsidRPr="000500F1" w:rsidRDefault="000500F1" w:rsidP="000500F1">
      <w:r w:rsidRPr="000500F1">
        <w:t xml:space="preserve">VS laboratory continues to serve as a Food and Agriculture Organization – World Organisation for Animal Health (FAO-WOAH) Rinderpest Holding Facility Category A. The FAO-WOAH Rinderpest Joint Advisory Committee has reviewed the report of the site inspection to the VS facility which took place on November 15-18, 2022, and recommended to FAO and WOAH on January 11, 2023, that the Laboratory is approved as a FAO-WOAH Rinderpest Holding Facility Category A for fourth term, until May 31, 2026. </w:t>
      </w:r>
    </w:p>
    <w:p w14:paraId="669DEDFC" w14:textId="77777777" w:rsidR="000500F1" w:rsidRPr="000500F1" w:rsidRDefault="000500F1" w:rsidP="000500F1">
      <w:r w:rsidRPr="000500F1">
        <w:t>VS laboratory completed the FAO and WOAH approved project of rinderpest virus containing materials sequencing and destruction. VS personnel participated in the WOAH Global Conference on Emergency Management. The conference discussed emergency preparedness involving multiple sectors and how this can be operationalized. The highlights included how to bridge the gaps between animal health and security, and how these two sectors can support each other in the emergency management of deliberate biological events such as Agro-crime and Agro-terrorism.</w:t>
      </w:r>
    </w:p>
    <w:p w14:paraId="53BFB962" w14:textId="77777777" w:rsidR="000500F1" w:rsidRPr="000500F1" w:rsidRDefault="000500F1" w:rsidP="000500F1">
      <w:r w:rsidRPr="000500F1">
        <w:t>VS collaborated with the Department of Justice to develop a working plan of action for material considered to be evidence that may contain animal pathogens to be tested at the National Veterinary Services Laboratories (NVSL), as well as preserved for future use in the case.</w:t>
      </w:r>
    </w:p>
    <w:p w14:paraId="7D37C076" w14:textId="77777777" w:rsidR="000500F1" w:rsidRPr="000500F1" w:rsidRDefault="000500F1" w:rsidP="000500F1">
      <w:r w:rsidRPr="000500F1">
        <w:t xml:space="preserve">VS collaborated with public health veterinarians at the Texas Department of Public Health to enable broader work between veterinary and public health veterinarians to protect both public and animal health. </w:t>
      </w:r>
    </w:p>
    <w:p w14:paraId="5EDF633B" w14:textId="77777777" w:rsidR="000500F1" w:rsidRPr="000500F1" w:rsidRDefault="000500F1" w:rsidP="000500F1">
      <w:r w:rsidRPr="000500F1">
        <w:lastRenderedPageBreak/>
        <w:t>VS collaborated on tuberculosis (TB) projects with the Agricultural Research Service (ARS) National Animal Disease Center, Michigan Department of Natural Resources, Michigan Department of Agriculture and Rural Development, Michigan State University, Canadian Food Inspection Agency (CFIA), and the Texas Animal Health Commission.</w:t>
      </w:r>
    </w:p>
    <w:p w14:paraId="3AEEABB8" w14:textId="77777777" w:rsidR="000500F1" w:rsidRPr="000500F1" w:rsidRDefault="000500F1" w:rsidP="000500F1">
      <w:r w:rsidRPr="000500F1">
        <w:t>VS developed a Brucella speciating real-time PCR assay to replace the current AMOS assay. This project is being conducted in collaboration with CFIA. CFIA is sending the primers/probes and protocol to NVSL.</w:t>
      </w:r>
    </w:p>
    <w:p w14:paraId="713E9126" w14:textId="77777777" w:rsidR="000500F1" w:rsidRPr="000500F1" w:rsidRDefault="000500F1" w:rsidP="000500F1">
      <w:r w:rsidRPr="000500F1">
        <w:t>VS worked with the CDC Division of Tuberculosis Elimination to identify the source of Tuberculosis in human surgery patients.</w:t>
      </w:r>
    </w:p>
    <w:p w14:paraId="085360CF" w14:textId="77777777" w:rsidR="000500F1" w:rsidRPr="000500F1" w:rsidRDefault="000500F1" w:rsidP="000500F1">
      <w:r w:rsidRPr="000500F1">
        <w:t>VS worked with the CDC Zoonoses Prevention and Import Regulation Team to identify and characterize Mycobacterium tuberculosis complex organisms responsible for TB in non-human primates from imported primates. VS also provided guidance developing protocols for TB culture for owners.</w:t>
      </w:r>
    </w:p>
    <w:p w14:paraId="01B59E60" w14:textId="77777777" w:rsidR="000500F1" w:rsidRPr="000500F1" w:rsidRDefault="000500F1" w:rsidP="000500F1">
      <w:r w:rsidRPr="000500F1">
        <w:t>VS worked with medical supply companies, American Association of Tissue Banks, and the Centers for Disease Control to develop guidelines for detecting Mycobacterium tuberculosis in non-standard tissues.</w:t>
      </w:r>
    </w:p>
    <w:p w14:paraId="2F896CB1" w14:textId="77777777" w:rsidR="000500F1" w:rsidRPr="000500F1" w:rsidRDefault="000500F1" w:rsidP="000500F1">
      <w:r w:rsidRPr="000500F1">
        <w:t>VS worked with International Research Consortium on Animal Health, Bovine Tuberculosis to develop a strategic plan to eliminate TB in animals.</w:t>
      </w:r>
    </w:p>
    <w:p w14:paraId="461B9566" w14:textId="77777777" w:rsidR="000500F1" w:rsidRPr="000500F1" w:rsidRDefault="000500F1" w:rsidP="000500F1">
      <w:r w:rsidRPr="000500F1">
        <w:t>VS developed a bank of well characterized serum from Brucella ovis infected sheep. The development of this serum bank was at the request of state and industry officials.</w:t>
      </w:r>
    </w:p>
    <w:p w14:paraId="2B3F4565" w14:textId="77777777" w:rsidR="000500F1" w:rsidRPr="000500F1" w:rsidRDefault="000500F1" w:rsidP="000500F1">
      <w:r w:rsidRPr="000500F1">
        <w:t>VS has developed a tool, vSNP, for whole genome sequencing used in disease tracing and outbreak investigations and provided training on it. vSNP is a command-line tool that is free to the public and available for all to use. Users from around the world have shown interest in using and learning more on how NVSL uses vSNP to effectively trace disease. NVSL benefits being involved in this training because it is helping others to evaluate their data effectively, having both direct and indirect benefits to our own disease tracing as well as helps establish NVSL as a leader in bioinformatics, disease tracing, and as subject matter experts.</w:t>
      </w:r>
    </w:p>
    <w:p w14:paraId="3555F747" w14:textId="77777777" w:rsidR="000500F1" w:rsidRPr="000500F1" w:rsidRDefault="000500F1" w:rsidP="000500F1">
      <w:r w:rsidRPr="000500F1">
        <w:t>VS evaluated oral fluid based African swine fever (ASF) diagnosis and surveillance through international collaboration. The initial evaluation in oral fluid based ASF diagnosis and surveillance through international collaboration has been completed in Romania and Vietnam. Further sampling and analysis to meet WOAH validation guidelines is ongoing.</w:t>
      </w:r>
    </w:p>
    <w:p w14:paraId="3DFC327D" w14:textId="77777777" w:rsidR="000500F1" w:rsidRPr="000500F1" w:rsidRDefault="000500F1" w:rsidP="000500F1">
      <w:r w:rsidRPr="000500F1">
        <w:t xml:space="preserve">VS developed and validated an African swine fever virus – Classical swine fever (CSF) virus multiplex real-time RT-PCR assay. This novel multiplex PCR was approved and deployed to NAHLN, Puerto Rico, and the Dominican Republic laboratories for uses in disease diagnosis and surveillance. </w:t>
      </w:r>
    </w:p>
    <w:p w14:paraId="0F29BB22" w14:textId="77777777" w:rsidR="000500F1" w:rsidRPr="000500F1" w:rsidRDefault="000500F1" w:rsidP="000500F1">
      <w:r w:rsidRPr="000500F1">
        <w:t>VS successfully validated foot-and-mouth disease virus (FMDV) 3B DIVA antibody ELISA and PrioCheck antibody ELISA using a USDA – Department of Homeland Security interagency CRADA fund. Two ELISAs are currently approved for uses in disease diagnosis and surveillance in NAHLN laboratories and the VS Foreign Animal Disease Diagnostic Laboratory (FADDL).</w:t>
      </w:r>
    </w:p>
    <w:p w14:paraId="4EFCB309" w14:textId="77777777" w:rsidR="000500F1" w:rsidRPr="000500F1" w:rsidRDefault="000500F1" w:rsidP="000500F1">
      <w:r w:rsidRPr="000500F1">
        <w:lastRenderedPageBreak/>
        <w:t>VS laboratories evaluated two ASF Lateral Flow Tests. Per these evaluation results, two assays were not recommended for uses in disease diagnosis and surveillance until further improvement by the vendors.</w:t>
      </w:r>
    </w:p>
    <w:p w14:paraId="4F6D3623" w14:textId="77777777" w:rsidR="000500F1" w:rsidRPr="000500F1" w:rsidRDefault="000500F1" w:rsidP="000500F1">
      <w:r w:rsidRPr="000500F1">
        <w:t>Four Japanese encephalitis virus (JEV) real-time RT-PCR assays were evaluated in analytical sensitivity and inclusivity. The best performance assay was selected for standard operating procedure (SOP) development. The selected protocol and technique were transferred to NVSL and the National Bio and Agro-Defense Facility (NBAF).</w:t>
      </w:r>
    </w:p>
    <w:p w14:paraId="2BC2BCB3" w14:textId="77777777" w:rsidR="000500F1" w:rsidRPr="000500F1" w:rsidRDefault="000500F1" w:rsidP="000500F1">
      <w:r w:rsidRPr="000500F1">
        <w:t>VS developed proficiency test (PT) panels and SOPs for ASF and CSF antibody ELISAs. The panels and SOPs were transferred to NAHLN laboratories for disease surveillance use.</w:t>
      </w:r>
    </w:p>
    <w:p w14:paraId="68CDECA7" w14:textId="77777777" w:rsidR="000500F1" w:rsidRPr="000500F1" w:rsidRDefault="000500F1" w:rsidP="000500F1">
      <w:r w:rsidRPr="000500F1">
        <w:t>Import Export Domestic Transfer Safety (IEDTS) tests including 20 import projects, seven export projects, and five domestic transfer projects have been completed. Safety-tested materials were transferred to customers. VS is establishing and identifying novel foreign animal diseases diagnostic assays and procedures in collaboration with Romania (University of Agricultural Science and Veterinary Medicine Cluj-Napoca), CFIA, the Food and Drug Administration (FDA), Kansas State University, University of Missouri, John Hopkins University, University of Minnesota, and industry.</w:t>
      </w:r>
    </w:p>
    <w:p w14:paraId="3EFCA367" w14:textId="6FC8E661" w:rsidR="000500F1" w:rsidRPr="000500F1" w:rsidRDefault="000500F1" w:rsidP="000500F1">
      <w:r w:rsidRPr="000500F1">
        <w:t xml:space="preserve">VS expanded analytic capabilities to include geospatial-temporal mapping for epidemiological surveillance, outbreak </w:t>
      </w:r>
      <w:r w:rsidR="00541F1F" w:rsidRPr="000500F1">
        <w:t>tracking</w:t>
      </w:r>
      <w:r w:rsidRPr="000500F1">
        <w:t xml:space="preserve"> and reporting. These analyses will enable strong collaborations with VS international partners for genomic disease surveillance.</w:t>
      </w:r>
    </w:p>
    <w:p w14:paraId="7D156CFF" w14:textId="77777777" w:rsidR="000500F1" w:rsidRPr="000500F1" w:rsidRDefault="000500F1" w:rsidP="000500F1">
      <w:r w:rsidRPr="000500F1">
        <w:t>VS continues to actively support international collaboration with the goal of enhancing U.S. preparedness against transboundary animal and zoonotic disease threats as one of the key cornerstones for the National Biodefense Strategy. NVSL has a partnership on the genomic surveillance of ASFV in West Africa, trained seven staff of the African Center of Excellence for Genomics of Infectious Diseases, and supports the Center in bioinformatic analysis of ASFV genome sequences.</w:t>
      </w:r>
    </w:p>
    <w:p w14:paraId="3A0376E3" w14:textId="77777777" w:rsidR="000500F1" w:rsidRPr="000500F1" w:rsidRDefault="000500F1" w:rsidP="000500F1">
      <w:r w:rsidRPr="000500F1">
        <w:t xml:space="preserve">VS partnered with Cornell University on a Defense Threat Reduction Agency, housed within the Department of Defense, funded project on ASFV surveillance in Uganda. NVSL is providing scientific and technical support, molecular detection (PCR), sequencing, and advice on implementation of field studies. </w:t>
      </w:r>
    </w:p>
    <w:p w14:paraId="31F4ACDF" w14:textId="77777777" w:rsidR="000500F1" w:rsidRPr="000500F1" w:rsidRDefault="000500F1" w:rsidP="000500F1">
      <w:r w:rsidRPr="000500F1">
        <w:t>VS participated in the development of a joint public dashboard for antimicrobial susceptibility testing results with the Food and Drug Administration’s (FDA) VetLIRN. Data from cats and dogs were provided for publication and are publicly available on the FDA website.</w:t>
      </w:r>
    </w:p>
    <w:p w14:paraId="1298A8A7" w14:textId="77777777" w:rsidR="000500F1" w:rsidRPr="000500F1" w:rsidRDefault="000500F1" w:rsidP="000500F1">
      <w:r w:rsidRPr="000500F1">
        <w:t>VS participated in the 10th International Filovirus Symposium. VS presented on “Infection of domestic pigs with non-human primate-derived Reston virus results in a spectrum of pulmonary disease and intraspecies transmission”. Attendees included academia and industry.</w:t>
      </w:r>
    </w:p>
    <w:p w14:paraId="058AC6A5" w14:textId="77777777" w:rsidR="000500F1" w:rsidRPr="000500F1" w:rsidRDefault="000500F1" w:rsidP="000500F1">
      <w:r w:rsidRPr="000500F1">
        <w:t>VS hosted the Foreign Animal Disease Diagnostic (FADD) School. The FADD School is a training program dedicated to providing hands-on and in-depth training in major foreign animal diseases of concern to the USDA to state and federal animal health officials.</w:t>
      </w:r>
    </w:p>
    <w:p w14:paraId="37F34F5B" w14:textId="77777777" w:rsidR="000500F1" w:rsidRPr="000500F1" w:rsidRDefault="000500F1" w:rsidP="000500F1">
      <w:r w:rsidRPr="000500F1">
        <w:t xml:space="preserve">VS presented “Current status of FMD Diagnostic Testing Capabilities, Challenges” at the Bovine Germplasm Meeting in Madison, Wisconsin. </w:t>
      </w:r>
    </w:p>
    <w:p w14:paraId="0C381E5E" w14:textId="77777777" w:rsidR="000500F1" w:rsidRPr="000500F1" w:rsidRDefault="000500F1" w:rsidP="000500F1">
      <w:r w:rsidRPr="000500F1">
        <w:lastRenderedPageBreak/>
        <w:t xml:space="preserve">VS continues to work with CDC and state partners regarding the transmission of zoonotic TB from people to animals. VS continues to characterize the source of bTB, to the extent possible, when the disease is detected in U.S. cattle herds and share bTB isolate data with the public health community whenever possible to promote increased understanding of zoonotic bTB. </w:t>
      </w:r>
    </w:p>
    <w:p w14:paraId="5FF1BA7D" w14:textId="77777777" w:rsidR="000500F1" w:rsidRPr="000500F1" w:rsidRDefault="000500F1" w:rsidP="000500F1">
      <w:r w:rsidRPr="000500F1">
        <w:t>VS participated and presented at the National Poultry Improvement Program (NPIP) Biennial General Conference Committee Meeting. Agenda items focused on new diagnostic technology can be effectively applied to the improvement of poultry and poultry products throughout the country.</w:t>
      </w:r>
    </w:p>
    <w:p w14:paraId="578C2C0B" w14:textId="77777777" w:rsidR="000500F1" w:rsidRPr="000500F1" w:rsidRDefault="000500F1" w:rsidP="000500F1">
      <w:r w:rsidRPr="000500F1">
        <w:t>VS participated and presented at the University of California Davis Education Conference on One Health for Food Safety, Agriculture, and Animal Health, which was co-hosted by the China Agricultural University College of Veterinary Medicine. </w:t>
      </w:r>
    </w:p>
    <w:p w14:paraId="37828BA5" w14:textId="77777777" w:rsidR="000500F1" w:rsidRPr="000500F1" w:rsidRDefault="000500F1" w:rsidP="000500F1">
      <w:r w:rsidRPr="000500F1">
        <w:t xml:space="preserve">VS participated in the United States Animal Health Association and the Annual Meeting of the American Association of Veterinary Laboratory Diagnosticians, sharing scientific expertise and findings with a broad audience of state, federal and industry stakeholders on many topics related to the work VS accomplished over the last several years. </w:t>
      </w:r>
    </w:p>
    <w:p w14:paraId="26341721" w14:textId="77777777" w:rsidR="000500F1" w:rsidRPr="000500F1" w:rsidRDefault="000500F1" w:rsidP="000500F1">
      <w:r w:rsidRPr="000500F1">
        <w:t xml:space="preserve">VS participated in the Iowa State University James D. McKean Swine Disease Conference. Focus topics were porcine reproductive disease, Streptococcus suis, porcine circovirus Type 2, Mycoplasma and E. coli. Biosecurity and the threat of foreign animal diseases were also topics of discussion. </w:t>
      </w:r>
    </w:p>
    <w:p w14:paraId="37680CD4" w14:textId="77777777" w:rsidR="000500F1" w:rsidRPr="000500F1" w:rsidRDefault="000500F1" w:rsidP="000500F1">
      <w:r w:rsidRPr="000500F1">
        <w:t>VS participated in a virtual meeting with representatives from the National Milk Producers Federation and presented Vaccine Banks Overview for FMD Preparedness.</w:t>
      </w:r>
    </w:p>
    <w:p w14:paraId="2DC0F191" w14:textId="77777777" w:rsidR="000500F1" w:rsidRPr="000500F1" w:rsidRDefault="000500F1" w:rsidP="000500F1">
      <w:r w:rsidRPr="000500F1">
        <w:t>VS participated in the USDA sponsored Scialog: Mitigating Zoonotic Threats. The workshop brought together 50 early career scientists from various disciplines to form multidisciplinary teams and obtain funding to tackle critical zoonotic disease challenges.</w:t>
      </w:r>
    </w:p>
    <w:p w14:paraId="5E000544" w14:textId="77777777" w:rsidR="000500F1" w:rsidRPr="000500F1" w:rsidRDefault="000500F1" w:rsidP="000500F1">
      <w:r w:rsidRPr="000500F1">
        <w:t xml:space="preserve">VS personnel have served as subject matter experts on the SARS-CoV-2 Interagency Risk Assessment Meeting (SCIRAM). The SCIRAM is charged with improving the process for tracking the evolution of SARS-CoV-2 and scientifically evaluating the changes that may be relevant for diagnostic assays, vaccines, or therapeutics to enhance the agility and effectiveness of the U.S. to respond to the COVID-19 pandemic. The SCIRAM has six key working groups: </w:t>
      </w:r>
    </w:p>
    <w:p w14:paraId="483C8BE3" w14:textId="77777777" w:rsidR="00957FC9" w:rsidRDefault="000500F1" w:rsidP="00695E0D">
      <w:pPr>
        <w:pStyle w:val="ListParagraph"/>
        <w:numPr>
          <w:ilvl w:val="0"/>
          <w:numId w:val="26"/>
        </w:numPr>
      </w:pPr>
      <w:r w:rsidRPr="000500F1">
        <w:t>Genomic Surveillance &amp; Bioinformatics Working Group,</w:t>
      </w:r>
    </w:p>
    <w:p w14:paraId="75178913" w14:textId="77777777" w:rsidR="00957FC9" w:rsidRDefault="000500F1" w:rsidP="00695E0D">
      <w:pPr>
        <w:pStyle w:val="ListParagraph"/>
        <w:numPr>
          <w:ilvl w:val="0"/>
          <w:numId w:val="26"/>
        </w:numPr>
      </w:pPr>
      <w:r w:rsidRPr="000500F1">
        <w:t xml:space="preserve">Virus Characterization &amp; Pathogenesis Working Group, </w:t>
      </w:r>
    </w:p>
    <w:p w14:paraId="19DCEECD" w14:textId="77777777" w:rsidR="00957FC9" w:rsidRDefault="000500F1" w:rsidP="00695E0D">
      <w:pPr>
        <w:pStyle w:val="ListParagraph"/>
        <w:numPr>
          <w:ilvl w:val="0"/>
          <w:numId w:val="26"/>
        </w:numPr>
      </w:pPr>
      <w:r w:rsidRPr="000500F1">
        <w:t xml:space="preserve">Diagnostics Working Group, </w:t>
      </w:r>
    </w:p>
    <w:p w14:paraId="59DFC21E" w14:textId="77777777" w:rsidR="00957FC9" w:rsidRDefault="000500F1" w:rsidP="00695E0D">
      <w:pPr>
        <w:pStyle w:val="ListParagraph"/>
        <w:numPr>
          <w:ilvl w:val="0"/>
          <w:numId w:val="26"/>
        </w:numPr>
      </w:pPr>
      <w:r w:rsidRPr="000500F1">
        <w:t xml:space="preserve">Vaccines Working Group, </w:t>
      </w:r>
    </w:p>
    <w:p w14:paraId="3B0BB426" w14:textId="77777777" w:rsidR="00957FC9" w:rsidRDefault="000500F1" w:rsidP="00695E0D">
      <w:pPr>
        <w:pStyle w:val="ListParagraph"/>
        <w:numPr>
          <w:ilvl w:val="0"/>
          <w:numId w:val="26"/>
        </w:numPr>
      </w:pPr>
      <w:r w:rsidRPr="000500F1">
        <w:t xml:space="preserve">Therapeutics Working Group, and </w:t>
      </w:r>
    </w:p>
    <w:p w14:paraId="3B5CFDF2" w14:textId="31523D70" w:rsidR="000500F1" w:rsidRPr="000500F1" w:rsidRDefault="000500F1" w:rsidP="00695E0D">
      <w:pPr>
        <w:pStyle w:val="ListParagraph"/>
        <w:numPr>
          <w:ilvl w:val="0"/>
          <w:numId w:val="26"/>
        </w:numPr>
      </w:pPr>
      <w:r w:rsidRPr="000500F1">
        <w:t xml:space="preserve">One Health Genomics Working Group. </w:t>
      </w:r>
    </w:p>
    <w:p w14:paraId="7987112A" w14:textId="77777777" w:rsidR="000500F1" w:rsidRPr="000500F1" w:rsidRDefault="000500F1" w:rsidP="000500F1">
      <w:r w:rsidRPr="000500F1">
        <w:t xml:space="preserve">VS personnel have served as co-lead for the SARS-CoV-2 One Health Genomics Working Group, one of six working groups of the SCIRAM. The genomics working group is charged with monitoring SARS-CoV-2 outbreaks and emergence of new viral strains and mutations of concern through One Health investigations that involve linked human and animal cases to understand the transmission dynamics in animal populations and between human and animal populations; the risks associated with host shift events in the emergence of new viral strains; the research and science needed to evaluate how the </w:t>
      </w:r>
      <w:r w:rsidRPr="000500F1">
        <w:lastRenderedPageBreak/>
        <w:t xml:space="preserve">zoonotic nature of SARS-CoV-2 will impact human and animal populations; and other relevant topics as needs arise. </w:t>
      </w:r>
    </w:p>
    <w:p w14:paraId="4DAA79CF" w14:textId="77777777" w:rsidR="000500F1" w:rsidRPr="000500F1" w:rsidRDefault="000500F1" w:rsidP="000500F1">
      <w:r w:rsidRPr="000500F1">
        <w:t xml:space="preserve">VS personnel collaborated with CFIA regarding development and harmonization of glanders diagnostic reagents. This collaboration is part of a larger VS effort to improve equine import testing. VS shared its current status of glanders antigen production, which is in the proof-of-concept agent inactivation phase; and CFIA confirmed that they use an analogous (nearly identical) inactivation procedure. Both VS and CFIA recognized the extreme limitation of available samples of glanders serum, and efforts are ongoing to arrange sample exchange between the two countries for assay development and validation. </w:t>
      </w:r>
    </w:p>
    <w:p w14:paraId="200FD64A" w14:textId="77777777" w:rsidR="000500F1" w:rsidRPr="000500F1" w:rsidRDefault="000500F1" w:rsidP="000500F1">
      <w:r w:rsidRPr="000500F1">
        <w:t>VS personnel presented on the status of a collaboration with the German Friedrich Loeffler Institute (FLI), whereby VS has sent equipment, reagents, and a small set of samples to FLI to have them evaluate a western blot platform and complement fixation protocol with FLI’s large serum bank. The western blot evaluation was successful indicating that the VS-developed modification of the procedure was superior (manuscript submitted for publication); and the platform is being incorporated into the VS equine import protocol.</w:t>
      </w:r>
    </w:p>
    <w:p w14:paraId="1A9C916D" w14:textId="77777777" w:rsidR="000500F1" w:rsidRPr="000500F1" w:rsidRDefault="000500F1" w:rsidP="000500F1">
      <w:r w:rsidRPr="000500F1">
        <w:t xml:space="preserve">VS personnel have developed and prepared Bluetongue virus (BTV) real-time RT-PCR PT panels, the first time a BTV real-time RT-PCR PT panel was made in VS. PT panels are used to demonstrate competency of individual operators regarding specific testing quality and technical performance of the assay. BTV causes a viral disease affecting domestic and wild ruminants. BT is a disease listed under the WOAH Terrestrial Animal Health Code and must be reported to the WOAH. In countries where BTV is endemic the impact is largely on loss of trade due to restrictions and the costs of surveillance, health testing, and vaccination. </w:t>
      </w:r>
    </w:p>
    <w:p w14:paraId="0383D373" w14:textId="77777777" w:rsidR="000500F1" w:rsidRPr="000500F1" w:rsidRDefault="000500F1" w:rsidP="000500F1">
      <w:r w:rsidRPr="000500F1">
        <w:t xml:space="preserve">VS personnel participated on a One Health team comprised of representatives from the CDC, the Agricultural Research Service (ARS), the APHIS Wildlife Services, and VS to conduct a Leptospira surveillance study in Puerto Rico. The study led to better understand transmission of pathogenic leptospires from wildlife to humans following the devastation resulting from hurricanes. Results provide information on Leptospira prevalence and the animal sources of human cases. </w:t>
      </w:r>
    </w:p>
    <w:p w14:paraId="735395E0" w14:textId="77777777" w:rsidR="000500F1" w:rsidRPr="000500F1" w:rsidRDefault="000500F1" w:rsidP="000500F1">
      <w:r w:rsidRPr="000500F1">
        <w:t xml:space="preserve">VS collated, analyzed, and published data on their first Tableau dashboards on antimicrobial resistance which are accessible to the public on USDA websites. The dashboards provide users with interactive features to explore patterns, drill into details of the data, control data displays and download data. Additionally, the data-based figures can be modified by updating the underlying data, automating what were previously manual and time-consuming report preparation tasks. The AMR dashboard is visible at </w:t>
      </w:r>
      <w:hyperlink r:id="rId14" w:history="1">
        <w:r w:rsidRPr="000500F1">
          <w:t>https://www.aphis.usda.gov/aphis/dashboards/tableau/amr</w:t>
        </w:r>
      </w:hyperlink>
      <w:r w:rsidRPr="000500F1">
        <w:t xml:space="preserve">. </w:t>
      </w:r>
    </w:p>
    <w:p w14:paraId="68A9ADEE" w14:textId="77777777" w:rsidR="000500F1" w:rsidRPr="000500F1" w:rsidRDefault="000500F1" w:rsidP="000500F1">
      <w:r w:rsidRPr="000500F1">
        <w:t xml:space="preserve">VS collated, analyzed, and published data on a Tableau dashboard on SARS-CoV2 confirmed cases in animals in the U.S. which is accessible to the public on USDA websites. The dashboard, and all USDA information about SARS-CoV-2 in animals, is found here: </w:t>
      </w:r>
      <w:hyperlink r:id="rId15" w:history="1">
        <w:r w:rsidRPr="000500F1">
          <w:t>https://www.aphis.usda.gov/aphis/ourfocus/onehealth/one-health-sarscov2-in-animals</w:t>
        </w:r>
      </w:hyperlink>
      <w:r w:rsidRPr="000500F1">
        <w:t xml:space="preserve">. NVSL is responsible for conducting confirmatory testing, and VS One Health Coordination cooperatively leads case investigation with CDC’s One Health Office. </w:t>
      </w:r>
    </w:p>
    <w:p w14:paraId="50827188" w14:textId="77777777" w:rsidR="000500F1" w:rsidRPr="000500F1" w:rsidRDefault="000500F1" w:rsidP="000500F1">
      <w:r w:rsidRPr="000500F1">
        <w:t xml:space="preserve">VS personnel have participated and presented in a variety of scientific meetings of the Biosafety Level 4 Zoonotic Laboratory Network (BSL4ZNet). The BSL4ZNet was established in 2016 as a network of </w:t>
      </w:r>
      <w:r w:rsidRPr="000500F1">
        <w:lastRenderedPageBreak/>
        <w:t>animal and public health organizations from five countries, including Australia, Canada, Germany, the United Kingdom, and the United States established to respond to current and emerging high-consequence bio-threats through strong international partnerships, institutional cooperation and knowledge sharing, and scientific excellence and training in the global high-containment laboratory community. The Network is currently coordinated by the Office of the Chief Science Operating Officer, Science Branch, CFIA, Canada.</w:t>
      </w:r>
    </w:p>
    <w:p w14:paraId="374A41BA" w14:textId="77777777" w:rsidR="000500F1" w:rsidRPr="000500F1" w:rsidRDefault="000500F1" w:rsidP="000500F1">
      <w:r w:rsidRPr="000500F1">
        <w:t xml:space="preserve">VS personnel participated in a technical meeting with the African Center of Excellence for Genomics of Infectious Diseases (ACEGID) to facilitate the transfer of NVSL’s Foreign Animal Disease Diagnostic Laboratory’s ASF-FAST technology to the ACEGID. The meeting discussed a broad range of technical issues including sample types, bioinformatics and software capabilities needed for the technology transfer. VS personnel have provided the following: the ASF-FAST published article, genome sequencing protocols, list of consumables and reagents, and a brief presentation of the ASF-FAST technology. Bioinformatics teams of both institutions will meet to assess existing capacity at ACEGID for data analysis including potential internet connectivity issues to facilitate virtual trainings and the information transfer process.  </w:t>
      </w:r>
    </w:p>
    <w:p w14:paraId="36C855D0" w14:textId="77777777" w:rsidR="000500F1" w:rsidRPr="000500F1" w:rsidRDefault="000500F1" w:rsidP="000500F1">
      <w:r w:rsidRPr="000500F1">
        <w:t>VS has established bilateral cooperative agreements with Honduras, Costa Rica, and Guatemala as part of the world M. bovis characterization project to obtain representative samples from Central America. Secondary objectives for these agreements involve improving Central American laboratory capacity by providing training on diagnostic procedures for bovine tuberculosis, including a focus on bacteriologic and molecular procedures such as isolation of M. bovis on solid media, sample processing for direct PCR for detection of M. bovis directly from tissue, acid-fast staining, tube reading, mycobacterial DNA extraction and real time PCR.</w:t>
      </w:r>
    </w:p>
    <w:p w14:paraId="3E90CCDA" w14:textId="77777777" w:rsidR="000500F1" w:rsidRPr="000500F1" w:rsidRDefault="000500F1" w:rsidP="000500F1">
      <w:r w:rsidRPr="000500F1">
        <w:t xml:space="preserve">In the fall and in the spring, VS participated, virtually, in the Institute for International Cooperation in Animal Biologics (IICAB). Online sessions of the Collaborating Centre of Diagnosis of Animal Diseases (WOAH), Veterinary Biologics Training Program were posted. A live Question and Answer session was also held. This program gave participants an overview of the USDA regulatory processes assuring the purity, safety, potency, and efficacy of veterinary biologics. VS representatives presented information on the requirements and processes for licensing and testing of veterinary biological products and the inspection and compliance process for production, release, and post-marketing surveillance. The program is made available to both domestic and international attendees is co-sponsored by the Iowa State University College of Veterinary Medicine and USDA, CVB.  For further information on this program visit </w:t>
      </w:r>
      <w:hyperlink r:id="rId16" w:history="1">
        <w:r w:rsidRPr="000500F1">
          <w:t>IICAB - Institute for International Cooperation in Animal Biologics (iastate.edu)</w:t>
        </w:r>
      </w:hyperlink>
      <w:r w:rsidRPr="000500F1">
        <w:t>.</w:t>
      </w:r>
    </w:p>
    <w:p w14:paraId="540F9B30" w14:textId="77777777" w:rsidR="000500F1" w:rsidRPr="000500F1" w:rsidRDefault="000500F1" w:rsidP="000500F1">
      <w:r w:rsidRPr="000500F1">
        <w:t>VS, Center for Veterinary Biologics (CVB) staff participated throughout the fiscal year in meetings and collaborations with the Animal Health Institute (AHI), Veterinary Biologicals Section (VBS). The CVB representatives met with AHI members in several working group sessions, as well as participated in the General Sessions multiple times a year to provide updates on current projects and initiatives at the CVB. Additionally, the CVB Directors will meet with the VBS Steering Committee to provide insight into current initiatives and further collaborative discussion between industry and the CVB. CVB is also participating in an AHI-led Innovation Taskforce.</w:t>
      </w:r>
    </w:p>
    <w:p w14:paraId="19405E79" w14:textId="77777777" w:rsidR="000500F1" w:rsidRPr="000500F1" w:rsidRDefault="000500F1" w:rsidP="000500F1">
      <w:r w:rsidRPr="000500F1">
        <w:t xml:space="preserve">VS CVB staff participated throughout the fiscal year in meetings and collaborations with the Association of Veterinary Biologics Companies (AVBC). Representatives from the CVB attended the </w:t>
      </w:r>
      <w:r w:rsidRPr="000500F1">
        <w:lastRenderedPageBreak/>
        <w:t>open session and the CVB Directors and additional staff members provided updates to on-going CVB initiatives. The AVBC supports and promotes the Code of Federal Regulations Title 9 approach to veterinary biologics regulation and inspection. They represent industry interests in any activity for the development of product manufacturing and testing standards.</w:t>
      </w:r>
    </w:p>
    <w:p w14:paraId="5574F909" w14:textId="77777777" w:rsidR="000500F1" w:rsidRPr="000500F1" w:rsidRDefault="000500F1" w:rsidP="000500F1"/>
    <w:p w14:paraId="0382A723" w14:textId="77777777" w:rsidR="000500F1" w:rsidRPr="000500F1" w:rsidRDefault="000500F1" w:rsidP="000500F1">
      <w:r w:rsidRPr="000500F1">
        <w:t xml:space="preserve">VS held a virtual meeting with the California Wool Growers Association to discuss permitting of veterinary biologics. </w:t>
      </w:r>
    </w:p>
    <w:p w14:paraId="6CD7D647" w14:textId="77777777" w:rsidR="000500F1" w:rsidRPr="000500F1" w:rsidRDefault="000500F1" w:rsidP="000500F1">
      <w:r w:rsidRPr="000500F1">
        <w:t xml:space="preserve">VS participated in a virtual meeting with the Agriculture Compounds and Veterinary Medicines personnel of the New Zealand Food Safety Authority on regulatory structures, information gathering, and international harmonization efforts. </w:t>
      </w:r>
    </w:p>
    <w:p w14:paraId="2F445183" w14:textId="77777777" w:rsidR="000500F1" w:rsidRPr="000500F1" w:rsidRDefault="000500F1" w:rsidP="000500F1">
      <w:r w:rsidRPr="000500F1">
        <w:t>VS participated, virtually, in the America Veterinary Medical Association (AVMA) Council on Biologics and Therapeutic Agents and Clinical Practitioners Advisory Committee meeting. The agenda included information on current/emerging biologics and therapeutic issues.</w:t>
      </w:r>
    </w:p>
    <w:p w14:paraId="6AF7E1D5" w14:textId="77777777" w:rsidR="000500F1" w:rsidRPr="000500F1" w:rsidRDefault="000500F1" w:rsidP="000500F1">
      <w:r w:rsidRPr="000500F1">
        <w:t>VS participated virtually in the AVMA Committee on Antimicrobials discussing current antimicrobial use, jurisprudence, and policy.</w:t>
      </w:r>
    </w:p>
    <w:p w14:paraId="429FA103" w14:textId="77777777" w:rsidR="000500F1" w:rsidRPr="000500F1" w:rsidRDefault="000500F1" w:rsidP="000500F1">
      <w:r w:rsidRPr="000500F1">
        <w:t>VS participated in International Cooperation on Harmonisation of Technical Requirements for Registration of Veterinary Medicinal Products (VICH) Outreach Forum virtual Meeting. The VICH Outreach Forum is a VICH initiative with the main objective of providing a basis for wider international harmonization of technical requirements, improve information exchange and raise awareness of VICH and VICH guidelines with non-VICH countries/regions. The Outreach Forum is composed of countries and regional organizations that have expressed an interest in the work of VICH and are motivated to participate in the activities of the VICH Outreach Forum. Currently approximately 14 countries and four regional organizations are participating (or are invited).</w:t>
      </w:r>
    </w:p>
    <w:p w14:paraId="00F0DB04" w14:textId="77777777" w:rsidR="000500F1" w:rsidRPr="000500F1" w:rsidRDefault="000500F1" w:rsidP="000500F1">
      <w:r w:rsidRPr="000500F1">
        <w:t>VS attended the Council on Biologic and Therapeutic Agents (COBTA) held at the AVMA headquarters in Schaumburg, Illinois. VS provided an overview of CVB licensing requirements, as well as provided the AVMA with an update of recent CVB activities.</w:t>
      </w:r>
    </w:p>
    <w:p w14:paraId="330EE3A6" w14:textId="77777777" w:rsidR="000500F1" w:rsidRPr="000500F1" w:rsidRDefault="000500F1" w:rsidP="000500F1">
      <w:r w:rsidRPr="000500F1">
        <w:t>VS participated in the WOAH Focal Point Seminar and the Committee of the Americas for the Harmonization of Registration and Control of Veterinary Medicines (CAMEVET) meeting held virtually. VS serves as the official delegate for USDA at the WOAH Focal Point Seminar and the CAMEVET. As part of this meeting, an update for the U.S. on the diagnostic test kits guidance was provided. VS works collaboratively with regulatory counterparts from all the countries of the Americas (North, South, and Central). VS will also represent the USDA as the WOAH Focal Point for veterinary medicinal products, and the USDA Collaborating Centre for Vaccine Evaluation in the Americas.</w:t>
      </w:r>
    </w:p>
    <w:p w14:paraId="5D401DD0" w14:textId="77777777" w:rsidR="000500F1" w:rsidRPr="000500F1" w:rsidRDefault="000500F1" w:rsidP="000500F1">
      <w:r w:rsidRPr="000500F1">
        <w:t>A VS representative participated virtually in the American Association of Swine Veterinarians Committee on Influenza.</w:t>
      </w:r>
    </w:p>
    <w:p w14:paraId="7FC496FA" w14:textId="77777777" w:rsidR="000500F1" w:rsidRPr="000500F1" w:rsidRDefault="000500F1" w:rsidP="000500F1">
      <w:r w:rsidRPr="000500F1">
        <w:t xml:space="preserve">VS expanded the use of the Decision Tracker application beyond APHIS. Decision Tracker is an application used for workflow processes, as well as management of policies, documents, and knowledge. It was developed in-house by a Marketing and Regulatory Programs, Information </w:t>
      </w:r>
      <w:r w:rsidRPr="000500F1">
        <w:lastRenderedPageBreak/>
        <w:t>Technology developer working closely with the CVB to build a tool to manage their policy document process and increase knowledge management. During the design phase it was quickly realized that a tool like this could have multiple uses outside of the original scope if built in a more global manner. It went live in late 2020 and has been successfully used by the CVB since. The CVB, Program Information Management and Security, provided many demonstrations of Decision Tracker to other work units outside of the CVB with the thought that others could benefit from this useful application. The Agricultural Marketing Service Specialty Crops Program began using Decision Tracker in their Associate Deputy Administrator’s office.</w:t>
      </w:r>
    </w:p>
    <w:p w14:paraId="33E0F83F" w14:textId="77777777" w:rsidR="000500F1" w:rsidRPr="000500F1" w:rsidRDefault="000500F1" w:rsidP="000500F1">
      <w:r w:rsidRPr="000500F1">
        <w:t>VS hosted a representative of REFEYN, Inc., who provided the presentation titled, “The Power of Light; simplifying biomolecule characterization” to several VS staff members with virtual attendance as an option. Ms. Shields’ presentation provided details about the application of REFEYN’s product by the use of mass photometry. In a separate presentation, REFEYN, Inc. demonstrated how the TwoMP mass photometers could be used in characterization of proteins in terms of proteins molecular weight depending on their sizes as monomers or dimers, trimers, tetramers etc., and detection of protein-protein interactions (antigen-antibody). A few samples of pure proteins (antigens and antibodies) and polymerase chain reaction products (deoxyribonucleic acid) were selected for characterization. The data obtained by use of the TwoMP mass photometers will be shared by REFEYN representatives and with the CVB laboratory staff via a scheduled Teams Meeting, followed by discussion. The presentation and demonstrations help laboratory staff in their evaluation of biologics processes.</w:t>
      </w:r>
    </w:p>
    <w:p w14:paraId="58A05370" w14:textId="77777777" w:rsidR="000500F1" w:rsidRPr="000500F1" w:rsidRDefault="000500F1" w:rsidP="000500F1">
      <w:r w:rsidRPr="000500F1">
        <w:t>A VS representative attended the annual Cority Connect - Environmental, Health, Safety and Quality Management Conference. The overall objective of the conference was to identify new technologies, emerging business trends and demonstrate how Cority strives to bring strategic innovation and opportunities to organizations to improve safety, sustainability, worker health and operational excellence. The conference provided USDA and other Cority users the opportunity to network with one another, participate in hands-on training with subject matter experts, and learn how the Cority EHS software can empower healthier, safer, and more sustainable organizations.</w:t>
      </w:r>
    </w:p>
    <w:p w14:paraId="19ADE5A1" w14:textId="77777777" w:rsidR="000500F1" w:rsidRPr="000500F1" w:rsidRDefault="000500F1" w:rsidP="000500F1">
      <w:r w:rsidRPr="000500F1">
        <w:t>VS attended Western Poultry Disease Conference. This conference has representatives from biologic firms, poultry clinicians, diagnosticians, graduate students, poultry residents and veterinary students attending. Topics included many presentations regarding highly pathogenic avian influenza, as well as other diseases effecting poultry.</w:t>
      </w:r>
    </w:p>
    <w:p w14:paraId="3F4F0138" w14:textId="77777777" w:rsidR="000500F1" w:rsidRPr="000500F1" w:rsidRDefault="000500F1" w:rsidP="000500F1">
      <w:r w:rsidRPr="000500F1">
        <w:t xml:space="preserve">VS presented at the National Cattleman’s Beef Association (NCBA). CVB provided a virtual webinar presentation entitled: “New Vaccine Technologies Webinar: CVB Safety Evaluations of New Vaccines”. A question-and-answer session followed the webinar. </w:t>
      </w:r>
    </w:p>
    <w:p w14:paraId="54EE8FDE" w14:textId="77777777" w:rsidR="000500F1" w:rsidRPr="000500F1" w:rsidRDefault="000500F1" w:rsidP="000500F1">
      <w:r w:rsidRPr="000500F1">
        <w:t>VS presented “Influenza A Virus Vaccine Options for Swine”, at the Swine Stakeholder Workshop.</w:t>
      </w:r>
    </w:p>
    <w:p w14:paraId="5F121F46" w14:textId="77777777" w:rsidR="000500F1" w:rsidRPr="000500F1" w:rsidRDefault="000500F1" w:rsidP="000500F1">
      <w:r w:rsidRPr="000500F1">
        <w:t>VS attended and presented at the World Vaccine Congress 2023. CVB provided a presentation during the Veterinary Session, titled, “USDA Regulatory Processes and Challenges for Licensing New Veterinary Vaccine Technologies”.</w:t>
      </w:r>
    </w:p>
    <w:p w14:paraId="5546A249" w14:textId="77777777" w:rsidR="000500F1" w:rsidRPr="000500F1" w:rsidRDefault="000500F1" w:rsidP="000500F1">
      <w:r w:rsidRPr="000500F1">
        <w:t xml:space="preserve">VS held In Vitro Potency Testing for Clostridium Chauvoei Training. Several VS provided a presentation at the 2023 Northeastern U.S. Animal Health Association Annual Meeting. A Center for Veterinary </w:t>
      </w:r>
      <w:r w:rsidRPr="000500F1">
        <w:lastRenderedPageBreak/>
        <w:t>Biologics staff member provided a virtual presentation entitled, “Vaccines for emerging animal diseases Regulatory Tools for Approval of Veterinary Biologics”.</w:t>
      </w:r>
    </w:p>
    <w:p w14:paraId="11CCACE7" w14:textId="77777777" w:rsidR="000500F1" w:rsidRPr="000500F1" w:rsidRDefault="000500F1" w:rsidP="000500F1">
      <w:r w:rsidRPr="000500F1">
        <w:t xml:space="preserve">CVB provided a three-day training to the Federal Laboratory for Agriculture Defense in Brazil. The training provided was focused on in vitro potency testing for Clostridium chauvoei, with instructions to perform hands-on laboratory technique and data analysis. CVB focused on teaching methods to develop them into useful assays in the future which is beneficial in reducing animal use in regulatory testing for Clostridium chauvoei vaccines in Brazil. </w:t>
      </w:r>
    </w:p>
    <w:p w14:paraId="7411E059" w14:textId="77777777" w:rsidR="000500F1" w:rsidRPr="000500F1" w:rsidRDefault="000500F1" w:rsidP="000500F1">
      <w:r w:rsidRPr="000500F1">
        <w:t>A VS representative attended the American Industrial Hygiene Association Conference. The conference is held to evaluate the latest industrial hygiene and safety technologies and solutions.</w:t>
      </w:r>
    </w:p>
    <w:p w14:paraId="6CD8ACA4" w14:textId="77777777" w:rsidR="000500F1" w:rsidRPr="000500F1" w:rsidRDefault="000500F1" w:rsidP="000500F1">
      <w:r w:rsidRPr="000500F1">
        <w:t>A VS representative provided a presentation entitled, “Vaccines for Emerging Animal Diseases Regulatory Tools for Approval of Veterinary Biologics” on the National Assembly of State Animal Health Officials Conference Call.</w:t>
      </w:r>
    </w:p>
    <w:p w14:paraId="4F640896" w14:textId="77777777" w:rsidR="000500F1" w:rsidRPr="000500F1" w:rsidRDefault="000500F1" w:rsidP="000500F1">
      <w:r w:rsidRPr="000500F1">
        <w:t xml:space="preserve">A VS representative, with the National Centers for Animal Health, Safety and Security unit provided the APHIS, Health and Environmental Management Branch with a collaborative safety familiarization visit at NBAF in Manhattan, Kansas. </w:t>
      </w:r>
    </w:p>
    <w:p w14:paraId="4BAA49D1" w14:textId="77777777" w:rsidR="000500F1" w:rsidRPr="000500F1" w:rsidRDefault="000500F1" w:rsidP="000500F1">
      <w:r w:rsidRPr="000500F1">
        <w:t>A VS representative provided a virtual presentation entitled “Vaccines for Emerging Animal Diseases Regulatory Tools for Approval of Veterinary Biologics” at the Monthly Poultry Stakeholder Call.</w:t>
      </w:r>
    </w:p>
    <w:p w14:paraId="5EDEC345" w14:textId="77777777" w:rsidR="000500F1" w:rsidRPr="000500F1" w:rsidRDefault="000500F1" w:rsidP="000500F1">
      <w:r w:rsidRPr="000500F1">
        <w:t xml:space="preserve">A VS representative attended the American Association of Avian Pathologists (AAAP) Meeting. The AAAP is an international association whose mission is to promote scientific knowledge to enhance the health, well-being, and productivity of poultry to provide safe and abundant food for the world. Established in 1957, it is open to anyone who is engaged in some phase of avian diseases. Each year AAAP conducts a scientific program and symposium where the latest findings and issues regarding diseases in poultry are shared and discussed. </w:t>
      </w:r>
    </w:p>
    <w:p w14:paraId="22F620EF" w14:textId="77777777" w:rsidR="000500F1" w:rsidRPr="000500F1" w:rsidRDefault="000500F1" w:rsidP="000500F1">
      <w:r w:rsidRPr="000500F1">
        <w:t xml:space="preserve">VS representatives from NBAF Environmental Office and the National Centers of Animal Health (NCAH) Safety and Security Unit (SSU) collaborated on information and practices which created efficiencies for the management of hazardous waste. Of particularly interest and adaptation was the use of the NCAH’s online hazardous waste determination sheet. </w:t>
      </w:r>
    </w:p>
    <w:p w14:paraId="575A35C2" w14:textId="77777777" w:rsidR="000500F1" w:rsidRPr="000500F1" w:rsidRDefault="000500F1" w:rsidP="000500F1">
      <w:r w:rsidRPr="000500F1">
        <w:t>A VS representative attended the American Society for Microbiology Microbe 2023 Conference.</w:t>
      </w:r>
    </w:p>
    <w:p w14:paraId="3ACD3183" w14:textId="77777777" w:rsidR="000500F1" w:rsidRPr="000500F1" w:rsidRDefault="000500F1" w:rsidP="000500F1">
      <w:r w:rsidRPr="000500F1">
        <w:t>CVB held a virtual meeting with Israeli authorities to provide information regarding the export certification process for veterinary biological products prepared in accordance with the Virus- Serum-Toxin Act and the Title 9 Code of Federal regulations. The clarification of the CVB Export Certificate process allowed the Israeli authorities to better understand and determine next steps forward.</w:t>
      </w:r>
    </w:p>
    <w:p w14:paraId="6CF146DA" w14:textId="77777777" w:rsidR="000500F1" w:rsidRPr="000500F1" w:rsidRDefault="000500F1" w:rsidP="000500F1">
      <w:r w:rsidRPr="000500F1">
        <w:t>VS staff members held a meeting with the FDA’s Center for Veterinary Medicine (CVM). This meeting was to discuss challenges with determining regulatory jurisdiction for new products. The meeting fostered positive interagency relationships and collaborative ideas, laying down a strong foundation for further discussions.</w:t>
      </w:r>
    </w:p>
    <w:p w14:paraId="7F381858" w14:textId="77777777" w:rsidR="000500F1" w:rsidRPr="000500F1" w:rsidRDefault="000500F1" w:rsidP="000500F1">
      <w:r w:rsidRPr="000500F1">
        <w:lastRenderedPageBreak/>
        <w:t xml:space="preserve">NBAF Safety and Environmental Management and NCAH SSU collaborated with a visit to the NCAH campus to collaborate, compare and to benchmark their safety, environmental, and occupational health services against services provided by NCAH SSU. </w:t>
      </w:r>
    </w:p>
    <w:p w14:paraId="260AF19D" w14:textId="77777777" w:rsidR="000500F1" w:rsidRPr="000500F1" w:rsidRDefault="000500F1" w:rsidP="000500F1">
      <w:r w:rsidRPr="000500F1">
        <w:t>A VS representative presented, “Licensing of Veterinary Diagnostic Products” at a virtual training session for respondents to the recent Sources Sought Notice for Select Foreign Disease Diagnostic Products.</w:t>
      </w:r>
    </w:p>
    <w:p w14:paraId="0CE3E171" w14:textId="77777777" w:rsidR="000500F1" w:rsidRPr="000500F1" w:rsidRDefault="000500F1" w:rsidP="000500F1">
      <w:r w:rsidRPr="000500F1">
        <w:t>VS staff members held successful collaboration with Emergency Management, Safety, and Security Division (EMSSD) Safety and Health Branch (SHB): The APHIS EMSSD SHB requested the NCAH SSU Lead review the Industrial Hygiene Section of the new APHIS Safety and Health Manual before it is published. This endeavor will allow the NCAH SSU Lead to ensure industrial hygiene expectations stipulated by EMSSD SHB are achievable across APHIS and align with regulatory requirements.</w:t>
      </w:r>
    </w:p>
    <w:p w14:paraId="1D4C5184" w14:textId="77777777" w:rsidR="000500F1" w:rsidRPr="000500F1" w:rsidRDefault="000500F1" w:rsidP="000500F1">
      <w:r w:rsidRPr="000500F1">
        <w:t>A VS representative attended the National APHIS Safety and Health Council (NASHC) Face-To-Face Meeting. The meeting is being held face-to-face to conduct introductions, council updates, sub-committee assignments, safety award program, Designated Agency Safety and Health Official updates, Safety, Health, and Environmental Protection Branch updates, Questions and Answer sessions, new business, sub-committee briefings, and planning.</w:t>
      </w:r>
    </w:p>
    <w:p w14:paraId="13E007E7" w14:textId="77777777" w:rsidR="000500F1" w:rsidRPr="000500F1" w:rsidRDefault="000500F1" w:rsidP="000500F1">
      <w:r w:rsidRPr="000500F1">
        <w:t>VS published or revised 20 Supplemental Assay Methods in FY 23.</w:t>
      </w:r>
    </w:p>
    <w:p w14:paraId="149BDF52" w14:textId="77777777" w:rsidR="000500F1" w:rsidRPr="000500F1" w:rsidRDefault="000500F1" w:rsidP="000500F1">
      <w:r w:rsidRPr="000500F1">
        <w:t>VS representatives participated in multiple FAD and ASF-specific Table-Top Exercises across the country. The exercises are meant to be an opportunity for industry stakeholders, regulatory veterinarians, and Emergency Response Officials to discuss several “what-if” scenarios related to an FAD or ASF outbreak in the United States and how the various group would best interact.</w:t>
      </w:r>
    </w:p>
    <w:p w14:paraId="3AD2FB52" w14:textId="77777777" w:rsidR="000500F1" w:rsidRPr="000500F1" w:rsidRDefault="000500F1" w:rsidP="000500F1">
      <w:r w:rsidRPr="000500F1">
        <w:t>A VS representative virtually presented a quality management talk at a deviation, root cause investigations, and CAPA workshop sponsored by Kansas State University. This workshop was attended by individuals from the biological and pharmaceutical industries.</w:t>
      </w:r>
    </w:p>
    <w:p w14:paraId="4B004AE9" w14:textId="77777777" w:rsidR="000500F1" w:rsidRPr="000500F1" w:rsidRDefault="000500F1" w:rsidP="000500F1">
      <w:r w:rsidRPr="000500F1">
        <w:t>VS representatives participated in the Allen D. Leman Swine Conference. A presentation on swine influenza vaccine options, and ASF/CSF surveillance was provided by VS representatives. This conference is an annual educational event bringing swine veterinarians and other professionals working in swine production and animal health management from over 20 countries. It provides a good opportunity for VS to interact with producers and other scientists and to hear what they are encountering.</w:t>
      </w:r>
    </w:p>
    <w:p w14:paraId="6546A97B" w14:textId="77777777" w:rsidR="000500F1" w:rsidRPr="000500F1" w:rsidRDefault="000500F1" w:rsidP="000500F1">
      <w:r w:rsidRPr="000500F1">
        <w:t>In collaboration with Wildlife Services, VS maintained the Wild Bird Avian Influenza Surveillance operational dashboard, which displays results from samples collected as part of the USDA Wildlife Service’s National Wildlife Disease Program's wild bird surveillance program. This interactive dashboard provides the public with information on current outbreaks as well as supporting disease transmission modeling, disease risk, model validation, and epidemiology of wild birds and domestic poultry.</w:t>
      </w:r>
    </w:p>
    <w:p w14:paraId="62E0AF8B" w14:textId="77777777" w:rsidR="000500F1" w:rsidRPr="000500F1" w:rsidRDefault="000500F1" w:rsidP="000500F1">
      <w:r w:rsidRPr="000500F1">
        <w:t xml:space="preserve">VS provided producers, industry, extension, and other stakeholders easier access to NAHMS study data through user-friendly, dynamic dashboards, and pdf formatted reports, such as the Goat 2019 Management Practices. VS also employed targeted infographics for data distribution related to topic </w:t>
      </w:r>
      <w:r w:rsidRPr="000500F1">
        <w:lastRenderedPageBreak/>
        <w:t>such as U.S. goat identification practices, agritourism, sheep predator and nonpredator death losses, and enterococcus on U.S. beef operations.</w:t>
      </w:r>
    </w:p>
    <w:p w14:paraId="60BB5BDC" w14:textId="77777777" w:rsidR="000500F1" w:rsidRPr="000500F1" w:rsidRDefault="000500F1" w:rsidP="000500F1">
      <w:r w:rsidRPr="000500F1">
        <w:t xml:space="preserve">VS performed weekly evaluations, updates and risk interpretation of global emerging and reemerging animal and zoonotic diseases of consequence to the U.S. animal industry. </w:t>
      </w:r>
    </w:p>
    <w:p w14:paraId="0EBFE423" w14:textId="77777777" w:rsidR="000500F1" w:rsidRPr="000500F1" w:rsidRDefault="000500F1" w:rsidP="000500F1">
      <w:r w:rsidRPr="000500F1">
        <w:t>VS revised the Comprehensive Aquaculture Health Program Standards decision trees and inspection guidance, a risk-based assessment tool to support premises disease freedom surveillance evaluations, and pilot tested a tool supporting the trade of shrimp production facilities.</w:t>
      </w:r>
    </w:p>
    <w:p w14:paraId="729FC4B0" w14:textId="77777777" w:rsidR="000500F1" w:rsidRPr="000500F1" w:rsidRDefault="000500F1" w:rsidP="000500F1">
      <w:r w:rsidRPr="000500F1">
        <w:t>VS continued a collaborative effort to study antimicrobial use and resistance on commercial swine operations in the Midwest through a public-private partnership. A year-one findings report was published in the WOAH Quarterly Scientific and Technical Review.</w:t>
      </w:r>
    </w:p>
    <w:p w14:paraId="76499A0E" w14:textId="77777777" w:rsidR="000500F1" w:rsidRPr="000500F1" w:rsidRDefault="000500F1" w:rsidP="000500F1">
      <w:r w:rsidRPr="000500F1">
        <w:t>VS attended the WOAH ASF Workshop #5, where the draft recommendations for an initial set of international standards/guidelines for first generation ASF Modified Live Vaccine (MLV) vaccine candidates was discussed. A first draft of recommendations for the international standards for ASF MLV vaccines was delivered to the WOAH Biological Standards Commission for their February 7, 2023, meeting. The final draft was due in April 2023.</w:t>
      </w:r>
    </w:p>
    <w:p w14:paraId="00A810B0" w14:textId="77777777" w:rsidR="000500F1" w:rsidRPr="000500F1" w:rsidRDefault="000500F1" w:rsidP="000500F1">
      <w:r w:rsidRPr="000500F1">
        <w:t xml:space="preserve">VS continued a collaborative effort to study antimicrobial use and resistance on commercial poultry operations throughout the United States. </w:t>
      </w:r>
    </w:p>
    <w:p w14:paraId="4A94DE51" w14:textId="77777777" w:rsidR="000500F1" w:rsidRPr="000500F1" w:rsidRDefault="000500F1" w:rsidP="000500F1">
      <w:r w:rsidRPr="000500F1">
        <w:t xml:space="preserve">NVSL and NAHLN continued to provide high quality and timely results for the outbreak of highly pathogenic avian influenza (HPAI). NVSL has consistently provided timely sequencing results for both domestic and wild bird species. Sequences from 1044 HPAI isolates have been released in Global Initiative on Sharing Avian Influenza Data. </w:t>
      </w:r>
    </w:p>
    <w:p w14:paraId="4C21B3F9" w14:textId="77777777" w:rsidR="000500F1" w:rsidRPr="000500F1" w:rsidRDefault="000500F1" w:rsidP="000500F1">
      <w:r w:rsidRPr="000500F1">
        <w:t xml:space="preserve">NVSL developed and made publicly available on GitHub a bioinformatic tool called GenoFlu to aid in genotyping of North American HPAI virus sequences. </w:t>
      </w:r>
    </w:p>
    <w:p w14:paraId="44024800" w14:textId="77777777" w:rsidR="000500F1" w:rsidRPr="000500F1" w:rsidRDefault="000500F1" w:rsidP="000500F1">
      <w:r w:rsidRPr="000500F1">
        <w:t>VS staff, in collaboration with the U.S. Geological Survey (USGS) and University of Maryland partners, developed and validated an AI spillover risk model showing spillover risk by county within the United States.</w:t>
      </w:r>
    </w:p>
    <w:p w14:paraId="2690FB19" w14:textId="77777777" w:rsidR="000500F1" w:rsidRPr="000500F1" w:rsidRDefault="000500F1" w:rsidP="000500F1">
      <w:r w:rsidRPr="000500F1">
        <w:t>VS completed WOAH disease reporting across various domestic and wild species, supporting domestic producers, State partners, wildlife organizations, and international trade activities for 94 avian and non-avian HPAI-affected species.</w:t>
      </w:r>
    </w:p>
    <w:p w14:paraId="22FDB26B" w14:textId="77777777" w:rsidR="000500F1" w:rsidRPr="000500F1" w:rsidRDefault="000500F1" w:rsidP="000500F1">
      <w:r w:rsidRPr="000500F1">
        <w:t>VS staff provided daily HPAI situational report map products and trade zone maps for 39 states, totaling over 11,900 situation reporting maps and more than 4,300 trade zone maps used for situational awareness and trade partner communications. The HPAI situational report mapping was made even more efficient by deploying an online mapping application that enabled state and federal responders to generate their own maps using consistent and official outbreak data.</w:t>
      </w:r>
    </w:p>
    <w:p w14:paraId="79B27F85" w14:textId="77777777" w:rsidR="000500F1" w:rsidRPr="000500F1" w:rsidRDefault="000500F1" w:rsidP="000500F1">
      <w:r w:rsidRPr="000500F1">
        <w:t>VS staff used national disease spread models for resource and budgetary planning to support the 2022-2023 HPAI outbreak, as well as the on-going economic impact due to poultry losses.</w:t>
      </w:r>
    </w:p>
    <w:p w14:paraId="4FD30A8D" w14:textId="77777777" w:rsidR="000500F1" w:rsidRPr="000500F1" w:rsidRDefault="000500F1" w:rsidP="000500F1">
      <w:r w:rsidRPr="000500F1">
        <w:t xml:space="preserve">VS continued to develop and revise modeling approaches for the Cattle Fever Tick (CFT) Program to support informed, science-based decisions related to the control of CFT. VS developed a novel </w:t>
      </w:r>
      <w:r w:rsidRPr="000500F1">
        <w:lastRenderedPageBreak/>
        <w:t>modeling framework to assist in the CFT program’s assessment of surveillance, development of surveillance guidance, generation of program metrics, identification of areas of concern for infestations, and evaluation of mitigations.</w:t>
      </w:r>
    </w:p>
    <w:p w14:paraId="6E48992A" w14:textId="77777777" w:rsidR="000500F1" w:rsidRPr="000500F1" w:rsidRDefault="000500F1" w:rsidP="000500F1">
      <w:r w:rsidRPr="000500F1">
        <w:t>VS continues to participate in, and provide samples for, Chronic Wasting Disease (CWD) research projects including those evaluating antemortem diagnostics and predictive genetics.</w:t>
      </w:r>
    </w:p>
    <w:p w14:paraId="7228C735" w14:textId="77777777" w:rsidR="000500F1" w:rsidRPr="000500F1" w:rsidRDefault="000500F1" w:rsidP="000500F1">
      <w:r w:rsidRPr="000500F1">
        <w:t>VS provided CWD cooperative agreement funding for 17 CWD research projects in FY2023.</w:t>
      </w:r>
    </w:p>
    <w:p w14:paraId="216F2C46" w14:textId="77777777" w:rsidR="000500F1" w:rsidRPr="000500F1" w:rsidRDefault="000500F1" w:rsidP="000500F1">
      <w:r w:rsidRPr="000500F1">
        <w:t xml:space="preserve">VS provided cooperative agreement funding in support of 62 projects that enhance prevention, preparedness, detection, and response to the most damaging emerging and foreign animal diseases that threaten U.S. agriculture.  </w:t>
      </w:r>
    </w:p>
    <w:p w14:paraId="4102422F" w14:textId="77777777" w:rsidR="000500F1" w:rsidRPr="000500F1" w:rsidRDefault="000500F1" w:rsidP="000500F1">
      <w:r w:rsidRPr="000500F1">
        <w:t xml:space="preserve">VS held a stakeholder meeting in which FY21 CWD cooperative agreement recipients provided presentations on their work. The meeting also provided a platform for other Federal Agencies such as the USGS and ARS to provide overviews of their projects related to CWD. </w:t>
      </w:r>
    </w:p>
    <w:p w14:paraId="0EB1ED3A" w14:textId="77777777" w:rsidR="000500F1" w:rsidRPr="000500F1" w:rsidRDefault="000500F1" w:rsidP="000500F1">
      <w:r w:rsidRPr="000500F1">
        <w:t>VS conducted five stakeholder listening sessions related to the revision of the CWD Herd Certification Program Standards.</w:t>
      </w:r>
    </w:p>
    <w:p w14:paraId="5AE68FFA" w14:textId="77777777" w:rsidR="000500F1" w:rsidRPr="000500F1" w:rsidRDefault="000500F1" w:rsidP="000500F1">
      <w:r w:rsidRPr="000500F1">
        <w:t xml:space="preserve">VS was heavily involved in the planning and implementation of the 2023 International CWD Symposium held in Denver in June 2023. This scientific meeting was well attended and had a full schedule of scientific presentations and poster sessions. </w:t>
      </w:r>
    </w:p>
    <w:p w14:paraId="5A2E55B7" w14:textId="77777777" w:rsidR="000500F1" w:rsidRPr="000500F1" w:rsidRDefault="000500F1" w:rsidP="000500F1">
      <w:r w:rsidRPr="000500F1">
        <w:t>VS conducted a national scrapie susceptibility goat genotype prevalence study. The objective of this study was to estimate the national prevalence of caprine prion protein (PRNP) genetic variability at codons 146, 211, and 222 in the United States goat population. The results of this study revealed that the prevalence of genotypes that are less susceptible to scrapie may be sufficient to use genetic susceptibility testing in some herds to reduce the number of goats removed as part of a scrapie herd clean-up plan and to encourage selectively breeding goats for less susceptible alleles in higher risk herds.</w:t>
      </w:r>
    </w:p>
    <w:p w14:paraId="3E9B3CE6" w14:textId="77777777" w:rsidR="000500F1" w:rsidRPr="000500F1" w:rsidRDefault="000500F1" w:rsidP="000500F1">
      <w:r w:rsidRPr="000500F1">
        <w:t xml:space="preserve">VS collated, analyzed, and published data on a Tableau dashboard on ASF/CSF surveillance activities in the U.S. which is accessible to the public on USDA websites. The content continues to be maintained and is visible at: </w:t>
      </w:r>
      <w:hyperlink r:id="rId17" w:history="1">
        <w:r w:rsidRPr="000500F1">
          <w:t>https://www.aphis.usda.gov/aphis/dashboards/tableau/asf-csf-exec-summary-dashboard</w:t>
        </w:r>
      </w:hyperlink>
      <w:r w:rsidRPr="000500F1">
        <w:t>.</w:t>
      </w:r>
    </w:p>
    <w:p w14:paraId="647C2137" w14:textId="77777777" w:rsidR="000500F1" w:rsidRPr="000500F1" w:rsidRDefault="000500F1" w:rsidP="000500F1">
      <w:r w:rsidRPr="000500F1">
        <w:t>VS staff completed a pilot project using satellite and aerial imagery with geospatial methods to identify potential locations housing backyard poultry in Pennsylvania.  This work supported HPAI 2022 outbreak response efforts by limiting the potential locations needing in person checks by state and federal responders. The resulting dataset may be used for targeted surveillance for avian influenza or other poultry disease outbreaks in the future.</w:t>
      </w:r>
    </w:p>
    <w:p w14:paraId="091316C5" w14:textId="77777777" w:rsidR="000500F1" w:rsidRPr="000500F1" w:rsidRDefault="000500F1" w:rsidP="000500F1">
      <w:r w:rsidRPr="000500F1">
        <w:t>VS deployed a mapping application that helped route HPAI susceptible ground shipping around closed trade zones. This helped to minimize impacts to the poultry industry while maintaining our responsibilities to trading partners.</w:t>
      </w:r>
    </w:p>
    <w:p w14:paraId="3C5D4A99" w14:textId="77777777" w:rsidR="000500F1" w:rsidRPr="000500F1" w:rsidRDefault="000500F1" w:rsidP="000500F1">
      <w:r w:rsidRPr="000500F1">
        <w:lastRenderedPageBreak/>
        <w:t>VS worked on developing a tool for transitioning emergency response teams. This tool would help to standardize and make the transitions between response teams, consisting of both state and federal responders, more transparent and efficient.</w:t>
      </w:r>
    </w:p>
    <w:p w14:paraId="6203B0EA" w14:textId="77777777" w:rsidR="000500F1" w:rsidRPr="000500F1" w:rsidRDefault="000500F1" w:rsidP="000500F1">
      <w:r w:rsidRPr="000500F1">
        <w:t>VS developed several other interactive maps and geospatial products that help to inform the public, state and federal animal health professionals and trading partners. These applications were developed to support multiple disease and disease vectors and included rabbit hemorrhagic disease, Asian longhorned ticks, global ASF distribution and spread animations, and a tool that shows state aquaculture regulations.</w:t>
      </w:r>
    </w:p>
    <w:p w14:paraId="42A6D8F9" w14:textId="77777777" w:rsidR="000500F1" w:rsidRPr="000500F1" w:rsidRDefault="000500F1" w:rsidP="000500F1">
      <w:r w:rsidRPr="000500F1">
        <w:t>VS conducted and published results of two HPAI case control studies. One was on commercial turkey operations and the other on table egg layer operations. These studies identified risk factors and biosecurity recommendations to mitigate HPAI risk for turkey and egg producers.</w:t>
      </w:r>
    </w:p>
    <w:p w14:paraId="15DEABBD" w14:textId="77777777" w:rsidR="000500F1" w:rsidRPr="000500F1" w:rsidRDefault="000500F1" w:rsidP="000500F1">
      <w:r w:rsidRPr="000500F1">
        <w:t>VS published updated response plan guidance for ASF. This updated guidance is of value to State animal health organizations, swine producers, and interested public on how VS plans to address any ASF outbreak in the United States.</w:t>
      </w:r>
    </w:p>
    <w:p w14:paraId="1A6F3EFD" w14:textId="77777777" w:rsidR="000500F1" w:rsidRPr="000500F1" w:rsidRDefault="000500F1" w:rsidP="000500F1">
      <w:r w:rsidRPr="000500F1">
        <w:t>VS reviewed third party indemnity data and published updated values in the publicly available VS indemnity tables. This information provides producers and the public with transparent information on the values that VS pays for indemnified livestock.</w:t>
      </w:r>
    </w:p>
    <w:p w14:paraId="268540A3" w14:textId="77777777" w:rsidR="000500F1" w:rsidRPr="00957FC9" w:rsidRDefault="000500F1" w:rsidP="00957FC9">
      <w:pPr>
        <w:pStyle w:val="Heading2"/>
        <w:rPr>
          <w:color w:val="000000" w:themeColor="text1"/>
        </w:rPr>
      </w:pPr>
      <w:bookmarkStart w:id="445" w:name="_Toc120529414"/>
      <w:bookmarkStart w:id="446" w:name="_Toc120622125"/>
      <w:bookmarkStart w:id="447" w:name="_Toc123025383"/>
      <w:bookmarkStart w:id="448" w:name="_Toc156552603"/>
      <w:bookmarkStart w:id="449" w:name="_Toc160186027"/>
      <w:r w:rsidRPr="00957FC9">
        <w:rPr>
          <w:color w:val="000000" w:themeColor="text1"/>
        </w:rPr>
        <w:t>Wildlife Services</w:t>
      </w:r>
      <w:bookmarkEnd w:id="445"/>
      <w:bookmarkEnd w:id="446"/>
      <w:bookmarkEnd w:id="447"/>
      <w:bookmarkEnd w:id="448"/>
      <w:bookmarkEnd w:id="449"/>
    </w:p>
    <w:p w14:paraId="610D633D" w14:textId="77777777" w:rsidR="000500F1" w:rsidRPr="000500F1" w:rsidRDefault="000500F1" w:rsidP="000500F1">
      <w:r w:rsidRPr="000500F1">
        <w:t>https://www.aphis.usda.gov/aphis/ourfocus/wildlifedamage</w:t>
      </w:r>
    </w:p>
    <w:p w14:paraId="59A4F393" w14:textId="77777777" w:rsidR="000500F1" w:rsidRPr="000500F1" w:rsidRDefault="000500F1" w:rsidP="00957FC9">
      <w:pPr>
        <w:pStyle w:val="Heading3"/>
      </w:pPr>
      <w:bookmarkStart w:id="450" w:name="_Toc120529415"/>
      <w:bookmarkStart w:id="451" w:name="_Toc120622126"/>
      <w:bookmarkStart w:id="452" w:name="_Toc123025384"/>
      <w:bookmarkStart w:id="453" w:name="_Toc156552604"/>
      <w:bookmarkStart w:id="454" w:name="_Toc160186028"/>
      <w:r w:rsidRPr="000500F1">
        <w:t>Mission Statement</w:t>
      </w:r>
      <w:bookmarkEnd w:id="450"/>
      <w:bookmarkEnd w:id="451"/>
      <w:bookmarkEnd w:id="452"/>
      <w:bookmarkEnd w:id="453"/>
      <w:bookmarkEnd w:id="454"/>
    </w:p>
    <w:p w14:paraId="28213521" w14:textId="77777777" w:rsidR="000500F1" w:rsidRPr="000500F1" w:rsidRDefault="000500F1" w:rsidP="000500F1">
      <w:r w:rsidRPr="000500F1">
        <w:t>The mission of APHIS Wildlife Services (WS) is to provide Federal leadership and expertise to resolve wildlife conflicts to allow people and wildlife to coexist. Wildlife is an important public resource greatly valued by the American people. However, wildlife is a dynamic and mobile resource that can damage agricultural and industrial resources, pose risks to human health and safety, and affect other natural resources. The WS program carries out the Federal responsibility for helping to solve problems that occur when human activity and wildlife conflict with one another. The WS program strives to develop and use wildlife damage management strategies that are biologically sound, environmentally safe, and socially acceptable.  WS conducts program delivery, research, and other activities through its Regional and State Offices, the National Wildlife Research Center (NWRC) and its Field Stations, as well as through its National Programs.</w:t>
      </w:r>
    </w:p>
    <w:p w14:paraId="262410C0" w14:textId="77777777" w:rsidR="000500F1" w:rsidRPr="000500F1" w:rsidRDefault="000500F1" w:rsidP="00957FC9">
      <w:pPr>
        <w:pStyle w:val="Heading3"/>
      </w:pPr>
      <w:bookmarkStart w:id="455" w:name="_Toc120529416"/>
      <w:bookmarkStart w:id="456" w:name="_Toc120622127"/>
      <w:bookmarkStart w:id="457" w:name="_Toc123025385"/>
      <w:bookmarkStart w:id="458" w:name="_Toc156552605"/>
      <w:bookmarkStart w:id="459" w:name="_Toc160186029"/>
      <w:r w:rsidRPr="000500F1">
        <w:t>Fiscal Year Metric Tables</w:t>
      </w:r>
      <w:bookmarkEnd w:id="455"/>
      <w:bookmarkEnd w:id="456"/>
      <w:bookmarkEnd w:id="457"/>
      <w:bookmarkEnd w:id="458"/>
      <w:bookmarkEnd w:id="459"/>
    </w:p>
    <w:p w14:paraId="50A357B0" w14:textId="0D50D47D" w:rsidR="000500F1" w:rsidRPr="000500F1" w:rsidRDefault="000500F1" w:rsidP="000500F1">
      <w:r w:rsidRPr="000500F1">
        <w:t>T</w:t>
      </w:r>
      <w:r w:rsidR="00B74871">
        <w:t>able</w:t>
      </w:r>
      <w:r w:rsidRPr="000500F1">
        <w:t xml:space="preserve"> 1. Collaborative Relationships for Research and Development – Wildlife Services</w:t>
      </w:r>
    </w:p>
    <w:tbl>
      <w:tblPr>
        <w:tblStyle w:val="TableGrid"/>
        <w:tblW w:w="4505" w:type="pct"/>
        <w:tblLook w:val="04A0" w:firstRow="1" w:lastRow="0" w:firstColumn="1" w:lastColumn="0" w:noHBand="0" w:noVBand="1"/>
        <w:tblDescription w:val="Sample table for template instructions"/>
      </w:tblPr>
      <w:tblGrid>
        <w:gridCol w:w="3983"/>
        <w:gridCol w:w="998"/>
        <w:gridCol w:w="998"/>
        <w:gridCol w:w="934"/>
        <w:gridCol w:w="931"/>
        <w:gridCol w:w="1229"/>
      </w:tblGrid>
      <w:tr w:rsidR="000500F1" w:rsidRPr="000500F1" w14:paraId="58BF7353" w14:textId="77777777" w:rsidTr="00145812">
        <w:trPr>
          <w:tblHeader/>
        </w:trPr>
        <w:tc>
          <w:tcPr>
            <w:tcW w:w="3983" w:type="dxa"/>
            <w:shd w:val="clear" w:color="auto" w:fill="D9D9D9" w:themeFill="background1" w:themeFillShade="D9"/>
          </w:tcPr>
          <w:p w14:paraId="2567CEC9" w14:textId="77777777" w:rsidR="000500F1" w:rsidRPr="000500F1" w:rsidRDefault="000500F1" w:rsidP="000500F1">
            <w:r w:rsidRPr="000500F1">
              <w:lastRenderedPageBreak/>
              <w:t>Collaborative Relationships</w:t>
            </w:r>
          </w:p>
        </w:tc>
        <w:tc>
          <w:tcPr>
            <w:tcW w:w="998" w:type="dxa"/>
            <w:shd w:val="clear" w:color="auto" w:fill="D9D9D9" w:themeFill="background1" w:themeFillShade="D9"/>
          </w:tcPr>
          <w:p w14:paraId="1A74B250" w14:textId="77777777" w:rsidR="000500F1" w:rsidRPr="000500F1" w:rsidRDefault="000500F1" w:rsidP="000500F1">
            <w:r w:rsidRPr="000500F1">
              <w:t>2019</w:t>
            </w:r>
          </w:p>
        </w:tc>
        <w:tc>
          <w:tcPr>
            <w:tcW w:w="998" w:type="dxa"/>
            <w:shd w:val="clear" w:color="auto" w:fill="D9D9D9" w:themeFill="background1" w:themeFillShade="D9"/>
          </w:tcPr>
          <w:p w14:paraId="09E970DF" w14:textId="77777777" w:rsidR="000500F1" w:rsidRPr="000500F1" w:rsidRDefault="000500F1" w:rsidP="000500F1">
            <w:r w:rsidRPr="000500F1">
              <w:t>2020</w:t>
            </w:r>
          </w:p>
        </w:tc>
        <w:tc>
          <w:tcPr>
            <w:tcW w:w="934" w:type="dxa"/>
            <w:shd w:val="clear" w:color="auto" w:fill="D9D9D9" w:themeFill="background1" w:themeFillShade="D9"/>
          </w:tcPr>
          <w:p w14:paraId="5B9BCB44" w14:textId="77777777" w:rsidR="000500F1" w:rsidRPr="000500F1" w:rsidRDefault="000500F1" w:rsidP="000500F1">
            <w:r w:rsidRPr="000500F1">
              <w:t>2021</w:t>
            </w:r>
          </w:p>
        </w:tc>
        <w:tc>
          <w:tcPr>
            <w:tcW w:w="931" w:type="dxa"/>
            <w:shd w:val="clear" w:color="auto" w:fill="D9D9D9" w:themeFill="background1" w:themeFillShade="D9"/>
          </w:tcPr>
          <w:p w14:paraId="02D1C8A6" w14:textId="77777777" w:rsidR="000500F1" w:rsidRPr="000500F1" w:rsidRDefault="000500F1" w:rsidP="000500F1">
            <w:r w:rsidRPr="000500F1">
              <w:t>2022</w:t>
            </w:r>
          </w:p>
        </w:tc>
        <w:tc>
          <w:tcPr>
            <w:tcW w:w="1229" w:type="dxa"/>
            <w:shd w:val="clear" w:color="auto" w:fill="D9D9D9" w:themeFill="background1" w:themeFillShade="D9"/>
          </w:tcPr>
          <w:p w14:paraId="450B2CB8" w14:textId="77777777" w:rsidR="000500F1" w:rsidRPr="000500F1" w:rsidRDefault="000500F1" w:rsidP="000500F1">
            <w:r w:rsidRPr="000500F1">
              <w:t>2023</w:t>
            </w:r>
          </w:p>
        </w:tc>
      </w:tr>
      <w:tr w:rsidR="000500F1" w:rsidRPr="000500F1" w14:paraId="4E061F43" w14:textId="77777777" w:rsidTr="00145812">
        <w:tc>
          <w:tcPr>
            <w:tcW w:w="3983" w:type="dxa"/>
          </w:tcPr>
          <w:p w14:paraId="43B817E3" w14:textId="77777777" w:rsidR="000500F1" w:rsidRPr="000500F1" w:rsidRDefault="000500F1" w:rsidP="000500F1">
            <w:r w:rsidRPr="000500F1">
              <w:t>CRADAs, total active</w:t>
            </w:r>
          </w:p>
        </w:tc>
        <w:tc>
          <w:tcPr>
            <w:tcW w:w="998" w:type="dxa"/>
          </w:tcPr>
          <w:p w14:paraId="0879260D" w14:textId="77777777" w:rsidR="000500F1" w:rsidRPr="000500F1" w:rsidRDefault="000500F1" w:rsidP="000500F1">
            <w:r w:rsidRPr="000500F1">
              <w:t>9</w:t>
            </w:r>
          </w:p>
        </w:tc>
        <w:tc>
          <w:tcPr>
            <w:tcW w:w="998" w:type="dxa"/>
          </w:tcPr>
          <w:p w14:paraId="2AB5783F" w14:textId="77777777" w:rsidR="000500F1" w:rsidRPr="000500F1" w:rsidRDefault="000500F1" w:rsidP="000500F1">
            <w:r w:rsidRPr="000500F1">
              <w:t>11</w:t>
            </w:r>
          </w:p>
        </w:tc>
        <w:tc>
          <w:tcPr>
            <w:tcW w:w="934" w:type="dxa"/>
          </w:tcPr>
          <w:p w14:paraId="0ED2D338" w14:textId="77777777" w:rsidR="000500F1" w:rsidRPr="000500F1" w:rsidRDefault="000500F1" w:rsidP="000500F1">
            <w:r w:rsidRPr="000500F1">
              <w:t>10</w:t>
            </w:r>
          </w:p>
        </w:tc>
        <w:tc>
          <w:tcPr>
            <w:tcW w:w="931" w:type="dxa"/>
          </w:tcPr>
          <w:p w14:paraId="48FDC603" w14:textId="77777777" w:rsidR="000500F1" w:rsidRPr="000500F1" w:rsidRDefault="000500F1" w:rsidP="000500F1">
            <w:r w:rsidRPr="000500F1">
              <w:t>12</w:t>
            </w:r>
          </w:p>
        </w:tc>
        <w:tc>
          <w:tcPr>
            <w:tcW w:w="1229" w:type="dxa"/>
          </w:tcPr>
          <w:p w14:paraId="4AA2438C" w14:textId="77777777" w:rsidR="000500F1" w:rsidRPr="000500F1" w:rsidRDefault="000500F1" w:rsidP="000500F1">
            <w:r w:rsidRPr="000500F1">
              <w:t>8</w:t>
            </w:r>
          </w:p>
        </w:tc>
      </w:tr>
      <w:tr w:rsidR="000500F1" w:rsidRPr="000500F1" w14:paraId="6E8A48BE" w14:textId="77777777" w:rsidTr="00145812">
        <w:tc>
          <w:tcPr>
            <w:tcW w:w="3983" w:type="dxa"/>
            <w:vAlign w:val="bottom"/>
          </w:tcPr>
          <w:p w14:paraId="5BEA192A" w14:textId="77777777" w:rsidR="000500F1" w:rsidRPr="000500F1" w:rsidRDefault="000500F1" w:rsidP="000500F1">
            <w:r w:rsidRPr="000500F1">
              <w:t xml:space="preserve">CRADAs, new </w:t>
            </w:r>
          </w:p>
        </w:tc>
        <w:tc>
          <w:tcPr>
            <w:tcW w:w="998" w:type="dxa"/>
          </w:tcPr>
          <w:p w14:paraId="3ED45991" w14:textId="77777777" w:rsidR="000500F1" w:rsidRPr="000500F1" w:rsidRDefault="000500F1" w:rsidP="000500F1">
            <w:r w:rsidRPr="000500F1">
              <w:t>3</w:t>
            </w:r>
          </w:p>
        </w:tc>
        <w:tc>
          <w:tcPr>
            <w:tcW w:w="998" w:type="dxa"/>
          </w:tcPr>
          <w:p w14:paraId="737CEC6F" w14:textId="77777777" w:rsidR="000500F1" w:rsidRPr="000500F1" w:rsidRDefault="000500F1" w:rsidP="000500F1">
            <w:r w:rsidRPr="000500F1">
              <w:t>3</w:t>
            </w:r>
          </w:p>
        </w:tc>
        <w:tc>
          <w:tcPr>
            <w:tcW w:w="934" w:type="dxa"/>
          </w:tcPr>
          <w:p w14:paraId="1A875995" w14:textId="77777777" w:rsidR="000500F1" w:rsidRPr="000500F1" w:rsidRDefault="000500F1" w:rsidP="000500F1">
            <w:r w:rsidRPr="000500F1">
              <w:t>3</w:t>
            </w:r>
          </w:p>
        </w:tc>
        <w:tc>
          <w:tcPr>
            <w:tcW w:w="931" w:type="dxa"/>
          </w:tcPr>
          <w:p w14:paraId="55847B53" w14:textId="77777777" w:rsidR="000500F1" w:rsidRPr="000500F1" w:rsidRDefault="000500F1" w:rsidP="000500F1">
            <w:r w:rsidRPr="000500F1">
              <w:t>3</w:t>
            </w:r>
          </w:p>
        </w:tc>
        <w:tc>
          <w:tcPr>
            <w:tcW w:w="1229" w:type="dxa"/>
          </w:tcPr>
          <w:p w14:paraId="567C02F5" w14:textId="77777777" w:rsidR="000500F1" w:rsidRPr="000500F1" w:rsidRDefault="000500F1" w:rsidP="000500F1">
            <w:r w:rsidRPr="000500F1">
              <w:t>0</w:t>
            </w:r>
          </w:p>
        </w:tc>
      </w:tr>
      <w:tr w:rsidR="000500F1" w:rsidRPr="000500F1" w14:paraId="65BCFEFB" w14:textId="77777777" w:rsidTr="00145812">
        <w:tc>
          <w:tcPr>
            <w:tcW w:w="3983" w:type="dxa"/>
            <w:vAlign w:val="bottom"/>
          </w:tcPr>
          <w:p w14:paraId="4A1595C3" w14:textId="77777777" w:rsidR="000500F1" w:rsidRPr="000500F1" w:rsidRDefault="000500F1" w:rsidP="000500F1">
            <w:r w:rsidRPr="000500F1">
              <w:t xml:space="preserve">Small Business Cooperators, total active </w:t>
            </w:r>
          </w:p>
        </w:tc>
        <w:tc>
          <w:tcPr>
            <w:tcW w:w="998" w:type="dxa"/>
          </w:tcPr>
          <w:p w14:paraId="391F33AE" w14:textId="77777777" w:rsidR="000500F1" w:rsidRPr="000500F1" w:rsidRDefault="000500F1" w:rsidP="000500F1">
            <w:r w:rsidRPr="000500F1">
              <w:t>3</w:t>
            </w:r>
          </w:p>
        </w:tc>
        <w:tc>
          <w:tcPr>
            <w:tcW w:w="998" w:type="dxa"/>
          </w:tcPr>
          <w:p w14:paraId="7D0E6BE1" w14:textId="77777777" w:rsidR="000500F1" w:rsidRPr="000500F1" w:rsidRDefault="000500F1" w:rsidP="000500F1">
            <w:r w:rsidRPr="000500F1">
              <w:t>3</w:t>
            </w:r>
          </w:p>
        </w:tc>
        <w:tc>
          <w:tcPr>
            <w:tcW w:w="934" w:type="dxa"/>
          </w:tcPr>
          <w:p w14:paraId="2D4D967E" w14:textId="77777777" w:rsidR="000500F1" w:rsidRPr="000500F1" w:rsidRDefault="000500F1" w:rsidP="000500F1">
            <w:r w:rsidRPr="000500F1">
              <w:t>2</w:t>
            </w:r>
          </w:p>
        </w:tc>
        <w:tc>
          <w:tcPr>
            <w:tcW w:w="931" w:type="dxa"/>
          </w:tcPr>
          <w:p w14:paraId="14932E14" w14:textId="77777777" w:rsidR="000500F1" w:rsidRPr="000500F1" w:rsidRDefault="000500F1" w:rsidP="000500F1">
            <w:r w:rsidRPr="000500F1">
              <w:t>3</w:t>
            </w:r>
          </w:p>
        </w:tc>
        <w:tc>
          <w:tcPr>
            <w:tcW w:w="1229" w:type="dxa"/>
          </w:tcPr>
          <w:p w14:paraId="6D5B619F" w14:textId="77777777" w:rsidR="000500F1" w:rsidRPr="000500F1" w:rsidRDefault="000500F1" w:rsidP="000500F1">
            <w:r w:rsidRPr="000500F1">
              <w:t>4</w:t>
            </w:r>
          </w:p>
        </w:tc>
      </w:tr>
      <w:tr w:rsidR="000500F1" w:rsidRPr="000500F1" w14:paraId="31916D47" w14:textId="77777777" w:rsidTr="00145812">
        <w:tc>
          <w:tcPr>
            <w:tcW w:w="3983" w:type="dxa"/>
            <w:vAlign w:val="bottom"/>
          </w:tcPr>
          <w:p w14:paraId="1E8EC485" w14:textId="77777777" w:rsidR="000500F1" w:rsidRPr="000500F1" w:rsidRDefault="000500F1" w:rsidP="000500F1">
            <w:r w:rsidRPr="000500F1">
              <w:t xml:space="preserve">Small Business Cooperators, new </w:t>
            </w:r>
          </w:p>
        </w:tc>
        <w:tc>
          <w:tcPr>
            <w:tcW w:w="998" w:type="dxa"/>
          </w:tcPr>
          <w:p w14:paraId="6615D3EB" w14:textId="77777777" w:rsidR="000500F1" w:rsidRPr="000500F1" w:rsidRDefault="000500F1" w:rsidP="000500F1">
            <w:r w:rsidRPr="000500F1">
              <w:t>3</w:t>
            </w:r>
          </w:p>
        </w:tc>
        <w:tc>
          <w:tcPr>
            <w:tcW w:w="998" w:type="dxa"/>
          </w:tcPr>
          <w:p w14:paraId="6E6FC1A6" w14:textId="77777777" w:rsidR="000500F1" w:rsidRPr="000500F1" w:rsidRDefault="000500F1" w:rsidP="000500F1">
            <w:r w:rsidRPr="000500F1">
              <w:t>1</w:t>
            </w:r>
          </w:p>
        </w:tc>
        <w:tc>
          <w:tcPr>
            <w:tcW w:w="934" w:type="dxa"/>
          </w:tcPr>
          <w:p w14:paraId="5064F0FE" w14:textId="77777777" w:rsidR="000500F1" w:rsidRPr="000500F1" w:rsidRDefault="000500F1" w:rsidP="000500F1">
            <w:r w:rsidRPr="000500F1">
              <w:t>2</w:t>
            </w:r>
          </w:p>
        </w:tc>
        <w:tc>
          <w:tcPr>
            <w:tcW w:w="931" w:type="dxa"/>
          </w:tcPr>
          <w:p w14:paraId="4B7E2B7F" w14:textId="77777777" w:rsidR="000500F1" w:rsidRPr="000500F1" w:rsidRDefault="000500F1" w:rsidP="000500F1">
            <w:r w:rsidRPr="000500F1">
              <w:t>3</w:t>
            </w:r>
          </w:p>
        </w:tc>
        <w:tc>
          <w:tcPr>
            <w:tcW w:w="1229" w:type="dxa"/>
          </w:tcPr>
          <w:p w14:paraId="42577E34" w14:textId="77777777" w:rsidR="000500F1" w:rsidRPr="000500F1" w:rsidRDefault="000500F1" w:rsidP="000500F1">
            <w:r w:rsidRPr="000500F1">
              <w:t>0</w:t>
            </w:r>
          </w:p>
        </w:tc>
      </w:tr>
      <w:tr w:rsidR="000500F1" w:rsidRPr="000500F1" w14:paraId="13629B22" w14:textId="77777777" w:rsidTr="00145812">
        <w:tc>
          <w:tcPr>
            <w:tcW w:w="3983" w:type="dxa"/>
            <w:vAlign w:val="bottom"/>
          </w:tcPr>
          <w:p w14:paraId="331A1536" w14:textId="77777777" w:rsidR="000500F1" w:rsidRPr="000500F1" w:rsidRDefault="000500F1" w:rsidP="000500F1">
            <w:r w:rsidRPr="000500F1">
              <w:t xml:space="preserve">Foreign Cooperators, total active </w:t>
            </w:r>
          </w:p>
        </w:tc>
        <w:tc>
          <w:tcPr>
            <w:tcW w:w="998" w:type="dxa"/>
          </w:tcPr>
          <w:p w14:paraId="0AAC78FC" w14:textId="77777777" w:rsidR="000500F1" w:rsidRPr="000500F1" w:rsidRDefault="000500F1" w:rsidP="000500F1">
            <w:r w:rsidRPr="000500F1">
              <w:t>1</w:t>
            </w:r>
          </w:p>
        </w:tc>
        <w:tc>
          <w:tcPr>
            <w:tcW w:w="998" w:type="dxa"/>
          </w:tcPr>
          <w:p w14:paraId="15AA1026" w14:textId="77777777" w:rsidR="000500F1" w:rsidRPr="000500F1" w:rsidRDefault="000500F1" w:rsidP="000500F1">
            <w:r w:rsidRPr="000500F1">
              <w:t>1</w:t>
            </w:r>
          </w:p>
        </w:tc>
        <w:tc>
          <w:tcPr>
            <w:tcW w:w="934" w:type="dxa"/>
          </w:tcPr>
          <w:p w14:paraId="383A48EA" w14:textId="77777777" w:rsidR="000500F1" w:rsidRPr="000500F1" w:rsidRDefault="000500F1" w:rsidP="000500F1">
            <w:r w:rsidRPr="000500F1">
              <w:t>2</w:t>
            </w:r>
          </w:p>
        </w:tc>
        <w:tc>
          <w:tcPr>
            <w:tcW w:w="931" w:type="dxa"/>
          </w:tcPr>
          <w:p w14:paraId="2F0BFAF2" w14:textId="77777777" w:rsidR="000500F1" w:rsidRPr="000500F1" w:rsidRDefault="000500F1" w:rsidP="000500F1">
            <w:r w:rsidRPr="000500F1">
              <w:t>2</w:t>
            </w:r>
          </w:p>
        </w:tc>
        <w:tc>
          <w:tcPr>
            <w:tcW w:w="1229" w:type="dxa"/>
          </w:tcPr>
          <w:p w14:paraId="79A6E9C1" w14:textId="77777777" w:rsidR="000500F1" w:rsidRPr="000500F1" w:rsidRDefault="000500F1" w:rsidP="000500F1">
            <w:r w:rsidRPr="000500F1">
              <w:t>2</w:t>
            </w:r>
          </w:p>
        </w:tc>
      </w:tr>
      <w:tr w:rsidR="000500F1" w:rsidRPr="000500F1" w14:paraId="5C8FF528" w14:textId="77777777" w:rsidTr="00145812">
        <w:tc>
          <w:tcPr>
            <w:tcW w:w="3983" w:type="dxa"/>
            <w:vAlign w:val="bottom"/>
          </w:tcPr>
          <w:p w14:paraId="48E6314E" w14:textId="77777777" w:rsidR="000500F1" w:rsidRPr="000500F1" w:rsidRDefault="000500F1" w:rsidP="000500F1">
            <w:r w:rsidRPr="000500F1">
              <w:t xml:space="preserve">Foreign Cooperators, new </w:t>
            </w:r>
          </w:p>
        </w:tc>
        <w:tc>
          <w:tcPr>
            <w:tcW w:w="998" w:type="dxa"/>
          </w:tcPr>
          <w:p w14:paraId="41FE61E4" w14:textId="77777777" w:rsidR="000500F1" w:rsidRPr="000500F1" w:rsidRDefault="000500F1" w:rsidP="000500F1">
            <w:r w:rsidRPr="000500F1">
              <w:t>0</w:t>
            </w:r>
          </w:p>
        </w:tc>
        <w:tc>
          <w:tcPr>
            <w:tcW w:w="998" w:type="dxa"/>
          </w:tcPr>
          <w:p w14:paraId="56FE3886" w14:textId="77777777" w:rsidR="000500F1" w:rsidRPr="000500F1" w:rsidRDefault="000500F1" w:rsidP="000500F1">
            <w:r w:rsidRPr="000500F1">
              <w:t>0</w:t>
            </w:r>
          </w:p>
        </w:tc>
        <w:tc>
          <w:tcPr>
            <w:tcW w:w="934" w:type="dxa"/>
          </w:tcPr>
          <w:p w14:paraId="71CB5E91" w14:textId="77777777" w:rsidR="000500F1" w:rsidRPr="000500F1" w:rsidRDefault="000500F1" w:rsidP="000500F1">
            <w:r w:rsidRPr="000500F1">
              <w:t>0</w:t>
            </w:r>
          </w:p>
        </w:tc>
        <w:tc>
          <w:tcPr>
            <w:tcW w:w="931" w:type="dxa"/>
          </w:tcPr>
          <w:p w14:paraId="21F7E47A" w14:textId="77777777" w:rsidR="000500F1" w:rsidRPr="000500F1" w:rsidRDefault="000500F1" w:rsidP="000500F1">
            <w:r w:rsidRPr="000500F1">
              <w:t>0</w:t>
            </w:r>
          </w:p>
        </w:tc>
        <w:tc>
          <w:tcPr>
            <w:tcW w:w="1229" w:type="dxa"/>
          </w:tcPr>
          <w:p w14:paraId="3E04E347" w14:textId="77777777" w:rsidR="000500F1" w:rsidRPr="000500F1" w:rsidRDefault="000500F1" w:rsidP="000500F1">
            <w:r w:rsidRPr="000500F1">
              <w:t>0</w:t>
            </w:r>
          </w:p>
        </w:tc>
      </w:tr>
      <w:tr w:rsidR="000500F1" w:rsidRPr="000500F1" w14:paraId="203DB141" w14:textId="77777777" w:rsidTr="00145812">
        <w:tc>
          <w:tcPr>
            <w:tcW w:w="3983" w:type="dxa"/>
            <w:vAlign w:val="bottom"/>
          </w:tcPr>
          <w:p w14:paraId="19BCDB9F" w14:textId="77777777" w:rsidR="000500F1" w:rsidRPr="000500F1" w:rsidRDefault="000500F1" w:rsidP="000500F1">
            <w:r w:rsidRPr="000500F1">
              <w:t xml:space="preserve">Confidentiality Agreements, new </w:t>
            </w:r>
          </w:p>
        </w:tc>
        <w:tc>
          <w:tcPr>
            <w:tcW w:w="998" w:type="dxa"/>
          </w:tcPr>
          <w:p w14:paraId="7D421F4D" w14:textId="77777777" w:rsidR="000500F1" w:rsidRPr="000500F1" w:rsidRDefault="000500F1" w:rsidP="000500F1">
            <w:r w:rsidRPr="000500F1">
              <w:t>8</w:t>
            </w:r>
          </w:p>
        </w:tc>
        <w:tc>
          <w:tcPr>
            <w:tcW w:w="998" w:type="dxa"/>
          </w:tcPr>
          <w:p w14:paraId="6CB7C42E" w14:textId="77777777" w:rsidR="000500F1" w:rsidRPr="000500F1" w:rsidRDefault="000500F1" w:rsidP="000500F1">
            <w:r w:rsidRPr="000500F1">
              <w:t>10</w:t>
            </w:r>
          </w:p>
        </w:tc>
        <w:tc>
          <w:tcPr>
            <w:tcW w:w="934" w:type="dxa"/>
          </w:tcPr>
          <w:p w14:paraId="60EE189D" w14:textId="77777777" w:rsidR="000500F1" w:rsidRPr="000500F1" w:rsidRDefault="000500F1" w:rsidP="000500F1">
            <w:r w:rsidRPr="000500F1">
              <w:t>4</w:t>
            </w:r>
          </w:p>
        </w:tc>
        <w:tc>
          <w:tcPr>
            <w:tcW w:w="931" w:type="dxa"/>
          </w:tcPr>
          <w:p w14:paraId="29331B46" w14:textId="77777777" w:rsidR="000500F1" w:rsidRPr="000500F1" w:rsidRDefault="000500F1" w:rsidP="000500F1">
            <w:r w:rsidRPr="000500F1">
              <w:t>6</w:t>
            </w:r>
          </w:p>
        </w:tc>
        <w:tc>
          <w:tcPr>
            <w:tcW w:w="1229" w:type="dxa"/>
          </w:tcPr>
          <w:p w14:paraId="28AA16E9" w14:textId="77777777" w:rsidR="000500F1" w:rsidRPr="000500F1" w:rsidRDefault="000500F1" w:rsidP="000500F1">
            <w:r w:rsidRPr="000500F1">
              <w:t>4</w:t>
            </w:r>
          </w:p>
        </w:tc>
      </w:tr>
      <w:tr w:rsidR="000500F1" w:rsidRPr="000500F1" w14:paraId="3E90E0A2" w14:textId="77777777" w:rsidTr="00145812">
        <w:tc>
          <w:tcPr>
            <w:tcW w:w="3983" w:type="dxa"/>
            <w:vAlign w:val="bottom"/>
          </w:tcPr>
          <w:p w14:paraId="79C5BE76" w14:textId="77777777" w:rsidR="000500F1" w:rsidRPr="000500F1" w:rsidRDefault="000500F1" w:rsidP="000500F1">
            <w:r w:rsidRPr="000500F1">
              <w:t>Material Transfer Research Agreements, new</w:t>
            </w:r>
          </w:p>
        </w:tc>
        <w:tc>
          <w:tcPr>
            <w:tcW w:w="998" w:type="dxa"/>
          </w:tcPr>
          <w:p w14:paraId="3228A962" w14:textId="77777777" w:rsidR="000500F1" w:rsidRPr="000500F1" w:rsidRDefault="000500F1" w:rsidP="000500F1">
            <w:r w:rsidRPr="000500F1">
              <w:t>9</w:t>
            </w:r>
          </w:p>
        </w:tc>
        <w:tc>
          <w:tcPr>
            <w:tcW w:w="998" w:type="dxa"/>
          </w:tcPr>
          <w:p w14:paraId="5CF6D976" w14:textId="77777777" w:rsidR="000500F1" w:rsidRPr="000500F1" w:rsidRDefault="000500F1" w:rsidP="000500F1">
            <w:r w:rsidRPr="000500F1">
              <w:t>12</w:t>
            </w:r>
          </w:p>
        </w:tc>
        <w:tc>
          <w:tcPr>
            <w:tcW w:w="934" w:type="dxa"/>
          </w:tcPr>
          <w:p w14:paraId="05015AF0" w14:textId="77777777" w:rsidR="000500F1" w:rsidRPr="000500F1" w:rsidRDefault="000500F1" w:rsidP="000500F1">
            <w:r w:rsidRPr="000500F1">
              <w:t>19</w:t>
            </w:r>
          </w:p>
        </w:tc>
        <w:tc>
          <w:tcPr>
            <w:tcW w:w="931" w:type="dxa"/>
          </w:tcPr>
          <w:p w14:paraId="200A5F37" w14:textId="77777777" w:rsidR="000500F1" w:rsidRPr="000500F1" w:rsidRDefault="000500F1" w:rsidP="000500F1">
            <w:r w:rsidRPr="000500F1">
              <w:t>18</w:t>
            </w:r>
          </w:p>
        </w:tc>
        <w:tc>
          <w:tcPr>
            <w:tcW w:w="1229" w:type="dxa"/>
          </w:tcPr>
          <w:p w14:paraId="48F37308" w14:textId="77777777" w:rsidR="000500F1" w:rsidRPr="000500F1" w:rsidRDefault="000500F1" w:rsidP="000500F1">
            <w:r w:rsidRPr="000500F1">
              <w:t>12</w:t>
            </w:r>
          </w:p>
        </w:tc>
      </w:tr>
      <w:tr w:rsidR="000500F1" w:rsidRPr="000500F1" w14:paraId="1231ABDA" w14:textId="77777777" w:rsidTr="00145812">
        <w:tc>
          <w:tcPr>
            <w:tcW w:w="3983" w:type="dxa"/>
            <w:vAlign w:val="bottom"/>
          </w:tcPr>
          <w:p w14:paraId="570681D0" w14:textId="77777777" w:rsidR="000500F1" w:rsidRPr="000500F1" w:rsidRDefault="000500F1" w:rsidP="000500F1">
            <w:r w:rsidRPr="000500F1">
              <w:t xml:space="preserve">Other Agreements, new </w:t>
            </w:r>
          </w:p>
        </w:tc>
        <w:tc>
          <w:tcPr>
            <w:tcW w:w="998" w:type="dxa"/>
          </w:tcPr>
          <w:p w14:paraId="2FAEF609" w14:textId="77777777" w:rsidR="000500F1" w:rsidRPr="000500F1" w:rsidRDefault="000500F1" w:rsidP="000500F1">
            <w:r w:rsidRPr="000500F1">
              <w:t>171</w:t>
            </w:r>
          </w:p>
        </w:tc>
        <w:tc>
          <w:tcPr>
            <w:tcW w:w="998" w:type="dxa"/>
          </w:tcPr>
          <w:p w14:paraId="66217934" w14:textId="77777777" w:rsidR="000500F1" w:rsidRPr="000500F1" w:rsidRDefault="000500F1" w:rsidP="000500F1">
            <w:r w:rsidRPr="000500F1">
              <w:t>85</w:t>
            </w:r>
          </w:p>
        </w:tc>
        <w:tc>
          <w:tcPr>
            <w:tcW w:w="934" w:type="dxa"/>
          </w:tcPr>
          <w:p w14:paraId="2D33BA1A" w14:textId="77777777" w:rsidR="000500F1" w:rsidRPr="000500F1" w:rsidRDefault="000500F1" w:rsidP="000500F1">
            <w:r w:rsidRPr="000500F1">
              <w:t>no data</w:t>
            </w:r>
          </w:p>
        </w:tc>
        <w:tc>
          <w:tcPr>
            <w:tcW w:w="931" w:type="dxa"/>
          </w:tcPr>
          <w:p w14:paraId="347734BD" w14:textId="77777777" w:rsidR="000500F1" w:rsidRPr="000500F1" w:rsidRDefault="000500F1" w:rsidP="000500F1">
            <w:r w:rsidRPr="000500F1">
              <w:t>no data</w:t>
            </w:r>
          </w:p>
        </w:tc>
        <w:tc>
          <w:tcPr>
            <w:tcW w:w="1229" w:type="dxa"/>
          </w:tcPr>
          <w:p w14:paraId="5C2F0077" w14:textId="77777777" w:rsidR="000500F1" w:rsidRPr="000500F1" w:rsidRDefault="000500F1" w:rsidP="000500F1">
            <w:r w:rsidRPr="000500F1">
              <w:t>116</w:t>
            </w:r>
          </w:p>
        </w:tc>
      </w:tr>
      <w:tr w:rsidR="000500F1" w:rsidRPr="000500F1" w14:paraId="7C6AEC0E" w14:textId="77777777" w:rsidTr="00145812">
        <w:tc>
          <w:tcPr>
            <w:tcW w:w="3983" w:type="dxa"/>
            <w:vAlign w:val="bottom"/>
          </w:tcPr>
          <w:p w14:paraId="169A7CC6" w14:textId="77777777" w:rsidR="000500F1" w:rsidRPr="000500F1" w:rsidRDefault="000500F1" w:rsidP="000500F1">
            <w:r w:rsidRPr="000500F1">
              <w:t>Peer-Reviewed (Indexed) Publications</w:t>
            </w:r>
          </w:p>
        </w:tc>
        <w:tc>
          <w:tcPr>
            <w:tcW w:w="998" w:type="dxa"/>
          </w:tcPr>
          <w:p w14:paraId="3FB182B5" w14:textId="77777777" w:rsidR="000500F1" w:rsidRPr="000500F1" w:rsidRDefault="000500F1" w:rsidP="000500F1">
            <w:r w:rsidRPr="000500F1">
              <w:t>122</w:t>
            </w:r>
          </w:p>
        </w:tc>
        <w:tc>
          <w:tcPr>
            <w:tcW w:w="998" w:type="dxa"/>
          </w:tcPr>
          <w:p w14:paraId="17F03E3C" w14:textId="77777777" w:rsidR="000500F1" w:rsidRPr="000500F1" w:rsidRDefault="000500F1" w:rsidP="000500F1">
            <w:r w:rsidRPr="000500F1">
              <w:t>105</w:t>
            </w:r>
          </w:p>
        </w:tc>
        <w:tc>
          <w:tcPr>
            <w:tcW w:w="934" w:type="dxa"/>
          </w:tcPr>
          <w:p w14:paraId="76904D86" w14:textId="77777777" w:rsidR="000500F1" w:rsidRPr="000500F1" w:rsidRDefault="000500F1" w:rsidP="000500F1">
            <w:r w:rsidRPr="000500F1">
              <w:t>132</w:t>
            </w:r>
          </w:p>
        </w:tc>
        <w:tc>
          <w:tcPr>
            <w:tcW w:w="931" w:type="dxa"/>
          </w:tcPr>
          <w:p w14:paraId="18FB03B2" w14:textId="77777777" w:rsidR="000500F1" w:rsidRPr="000500F1" w:rsidRDefault="000500F1" w:rsidP="000500F1">
            <w:r w:rsidRPr="000500F1">
              <w:t>95</w:t>
            </w:r>
          </w:p>
        </w:tc>
        <w:tc>
          <w:tcPr>
            <w:tcW w:w="1229" w:type="dxa"/>
          </w:tcPr>
          <w:p w14:paraId="70C97A6F" w14:textId="77777777" w:rsidR="000500F1" w:rsidRPr="000500F1" w:rsidRDefault="000500F1" w:rsidP="000500F1">
            <w:r w:rsidRPr="000500F1">
              <w:t>105</w:t>
            </w:r>
          </w:p>
        </w:tc>
      </w:tr>
      <w:tr w:rsidR="000500F1" w:rsidRPr="000500F1" w14:paraId="0F505463" w14:textId="77777777" w:rsidTr="00145812">
        <w:tc>
          <w:tcPr>
            <w:tcW w:w="3983" w:type="dxa"/>
            <w:vAlign w:val="bottom"/>
          </w:tcPr>
          <w:p w14:paraId="2CEEDF7B" w14:textId="77777777" w:rsidR="000500F1" w:rsidRPr="000500F1" w:rsidRDefault="000500F1" w:rsidP="000500F1">
            <w:r w:rsidRPr="000500F1">
              <w:t xml:space="preserve">Non-Indexed Publications </w:t>
            </w:r>
          </w:p>
        </w:tc>
        <w:tc>
          <w:tcPr>
            <w:tcW w:w="998" w:type="dxa"/>
          </w:tcPr>
          <w:p w14:paraId="6300380A" w14:textId="77777777" w:rsidR="000500F1" w:rsidRPr="000500F1" w:rsidRDefault="000500F1" w:rsidP="000500F1">
            <w:r w:rsidRPr="000500F1">
              <w:t>11</w:t>
            </w:r>
          </w:p>
        </w:tc>
        <w:tc>
          <w:tcPr>
            <w:tcW w:w="998" w:type="dxa"/>
          </w:tcPr>
          <w:p w14:paraId="1A72C6FB" w14:textId="77777777" w:rsidR="000500F1" w:rsidRPr="000500F1" w:rsidRDefault="000500F1" w:rsidP="000500F1">
            <w:r w:rsidRPr="000500F1">
              <w:t>18</w:t>
            </w:r>
          </w:p>
        </w:tc>
        <w:tc>
          <w:tcPr>
            <w:tcW w:w="934" w:type="dxa"/>
          </w:tcPr>
          <w:p w14:paraId="40483B83" w14:textId="77777777" w:rsidR="000500F1" w:rsidRPr="000500F1" w:rsidRDefault="000500F1" w:rsidP="000500F1">
            <w:r w:rsidRPr="000500F1">
              <w:t>18</w:t>
            </w:r>
          </w:p>
        </w:tc>
        <w:tc>
          <w:tcPr>
            <w:tcW w:w="931" w:type="dxa"/>
          </w:tcPr>
          <w:p w14:paraId="2E1FF080" w14:textId="77777777" w:rsidR="000500F1" w:rsidRPr="000500F1" w:rsidRDefault="000500F1" w:rsidP="000500F1">
            <w:r w:rsidRPr="000500F1">
              <w:t>5</w:t>
            </w:r>
          </w:p>
        </w:tc>
        <w:tc>
          <w:tcPr>
            <w:tcW w:w="1229" w:type="dxa"/>
          </w:tcPr>
          <w:p w14:paraId="1A5A2529" w14:textId="77777777" w:rsidR="000500F1" w:rsidRPr="000500F1" w:rsidRDefault="000500F1" w:rsidP="000500F1">
            <w:r w:rsidRPr="000500F1">
              <w:t>5</w:t>
            </w:r>
          </w:p>
        </w:tc>
      </w:tr>
    </w:tbl>
    <w:p w14:paraId="17C2202D" w14:textId="77777777" w:rsidR="000500F1" w:rsidRPr="000500F1" w:rsidRDefault="000500F1" w:rsidP="00957FC9">
      <w:pPr>
        <w:pStyle w:val="Heading3"/>
      </w:pPr>
      <w:bookmarkStart w:id="460" w:name="_Toc120529417"/>
      <w:bookmarkStart w:id="461" w:name="_Toc120622128"/>
      <w:bookmarkStart w:id="462" w:name="_Toc123025386"/>
      <w:bookmarkStart w:id="463" w:name="_Toc156552606"/>
      <w:bookmarkStart w:id="464" w:name="_Toc160186030"/>
      <w:r w:rsidRPr="000500F1">
        <w:t>Success Stories Demonstrating Downstream Outcomes from Technology Transfer Activity</w:t>
      </w:r>
      <w:bookmarkEnd w:id="460"/>
      <w:bookmarkEnd w:id="461"/>
      <w:bookmarkEnd w:id="462"/>
      <w:bookmarkEnd w:id="463"/>
      <w:bookmarkEnd w:id="464"/>
    </w:p>
    <w:p w14:paraId="0D591965" w14:textId="77777777" w:rsidR="000500F1" w:rsidRPr="000500F1" w:rsidRDefault="000500F1" w:rsidP="00957FC9">
      <w:pPr>
        <w:pStyle w:val="Heading4"/>
      </w:pPr>
      <w:bookmarkStart w:id="465" w:name="_Toc160186031"/>
      <w:r w:rsidRPr="000500F1">
        <w:t>Protecting Crops – 30-year Partnership with Arkion Life Sciences</w:t>
      </w:r>
      <w:bookmarkEnd w:id="465"/>
    </w:p>
    <w:p w14:paraId="2E2FF044" w14:textId="77777777" w:rsidR="000500F1" w:rsidRPr="000500F1" w:rsidRDefault="000500F1" w:rsidP="000500F1">
      <w:r w:rsidRPr="000500F1">
        <w:t xml:space="preserve">Scientists at the WS-NWRC have long-standing partnerships with private companies and industry groups to investigate bird and rodent repellent compounds, formulations, and application strategies for reducing wildlife damage to crops. Our long-standing partnership with Arkion Life Sciences (Arkion) has resulted in five co-owned US patented technologies (more than 14 foreign patents issued, with 36 foreign patents pending) and associated repellent products that are cost effective, practical, and are currently marketed and sold nationally and internationally.  These co-owned technologies are the current main source of royalty income to APHIS.  </w:t>
      </w:r>
    </w:p>
    <w:p w14:paraId="10DC1134" w14:textId="77777777" w:rsidR="000500F1" w:rsidRPr="000500F1" w:rsidRDefault="000500F1" w:rsidP="000500F1">
      <w:r w:rsidRPr="000500F1">
        <w:t xml:space="preserve">In the 2023 agricultural season, a total of 742,345 domestic crop acreage (263,460 acres of rice, EPA Reg. No. 69969-7:AV-5055; and 478,884 acres of corn, EPA Reg. No. 69969-6: AV-4044) was treated with technologies resulting from this partnership.  In 2023, Arkion received regulatory clearance for use of these technologies in Ghana, Nigeria, and Tanzania, and has begun shipping product to those </w:t>
      </w:r>
      <w:r w:rsidRPr="000500F1">
        <w:lastRenderedPageBreak/>
        <w:t xml:space="preserve">countries.  It is expected that international use of the technologies in Africa will result in the first ever royalty payment to APHIS that exceeds $100,000 from a single license.  </w:t>
      </w:r>
    </w:p>
    <w:p w14:paraId="658CB93A" w14:textId="77777777" w:rsidR="000500F1" w:rsidRPr="000500F1" w:rsidRDefault="000500F1" w:rsidP="000500F1"/>
    <w:p w14:paraId="62AADD43" w14:textId="77777777" w:rsidR="000500F1" w:rsidRPr="000500F1" w:rsidRDefault="000500F1" w:rsidP="00957FC9">
      <w:pPr>
        <w:pStyle w:val="Heading4"/>
      </w:pPr>
      <w:bookmarkStart w:id="466" w:name="_Toc160186032"/>
      <w:r w:rsidRPr="000500F1">
        <w:t>A 15-Year International Partnership to Develop Vertebrate Pest Management Tools</w:t>
      </w:r>
      <w:bookmarkEnd w:id="466"/>
    </w:p>
    <w:p w14:paraId="4FF734AC" w14:textId="77777777" w:rsidR="000500F1" w:rsidRPr="000500F1" w:rsidRDefault="000500F1" w:rsidP="000500F1">
      <w:r w:rsidRPr="000500F1">
        <w:t xml:space="preserve">In 2009, a group of researchers from the United States (WS-NWRC), New Zealand, and Australia met for an international meeting on the topic to discuss common human-wildlife conflicts that all three nations had actively and cooperatively dealt with for decades. </w:t>
      </w:r>
    </w:p>
    <w:p w14:paraId="59AC8273" w14:textId="77777777" w:rsidR="000500F1" w:rsidRPr="000500F1" w:rsidRDefault="000500F1" w:rsidP="000500F1">
      <w:r w:rsidRPr="000500F1">
        <w:t>The meeting resulted in an ongoing partnership with several groups in New Zealand and Australia, including government-sponsored organizations, universities, and private companies, formalized under multiple Cooperative Research and Development Agreements (CRADA) and other intellectual property agreements. These agreements covered a wide-ranging set of collaborative efforts: 1) developing a feral swine toxicant (ongoing), 2) testing an immunocontraceptive vaccine on macropods (i.e., kangaroos and wallabies) (ongoing, currently in review by the Australian Pesticides and Veterinary Medicines Authority (AVPMA) for use in Australian macropods), 3) screening historic USDA toxicology data for potential rodenticide active ingredients (completed – Australian cooperators are actively searching for a commercialization partner), 4) testing chemicals for avian repellency (discontinued), 5) developing a mongoose-specific toxicant (ongoing).  Highlights from the feral swine toxicant and mongoose toxicant collaborations are included below.</w:t>
      </w:r>
    </w:p>
    <w:p w14:paraId="4A15590F" w14:textId="77777777" w:rsidR="000500F1" w:rsidRPr="000500F1" w:rsidRDefault="000500F1" w:rsidP="000500F1"/>
    <w:p w14:paraId="300661C7" w14:textId="77777777" w:rsidR="000500F1" w:rsidRPr="000500F1" w:rsidRDefault="000500F1" w:rsidP="000500F1">
      <w:r w:rsidRPr="000500F1">
        <w:t>Development of a Feral Swine Toxicant</w:t>
      </w:r>
    </w:p>
    <w:p w14:paraId="7FE1094E" w14:textId="77777777" w:rsidR="005E29D7" w:rsidRDefault="000500F1" w:rsidP="000500F1">
      <w:r w:rsidRPr="000500F1">
        <w:rPr>
          <w:noProof/>
        </w:rPr>
        <w:drawing>
          <wp:inline distT="0" distB="0" distL="0" distR="0" wp14:anchorId="64C5F5D1" wp14:editId="427175AF">
            <wp:extent cx="2404872" cy="1801368"/>
            <wp:effectExtent l="0" t="0" r="0" b="8890"/>
            <wp:docPr id="1" name="Picture 1" descr="swine feed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wine feeding">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4872" cy="1801368"/>
                    </a:xfrm>
                    <a:prstGeom prst="rect">
                      <a:avLst/>
                    </a:prstGeom>
                    <a:noFill/>
                    <a:ln>
                      <a:noFill/>
                    </a:ln>
                  </pic:spPr>
                </pic:pic>
              </a:graphicData>
            </a:graphic>
          </wp:inline>
        </w:drawing>
      </w:r>
    </w:p>
    <w:p w14:paraId="7FE1D426" w14:textId="37F13EFA" w:rsidR="000500F1" w:rsidRPr="000500F1" w:rsidRDefault="000500F1" w:rsidP="000500F1">
      <w:r w:rsidRPr="000500F1">
        <w:t xml:space="preserve">Invasive feral swine cause billions of dollars in damages worldwide to agriculture and native </w:t>
      </w:r>
      <w:r w:rsidR="00541F1F" w:rsidRPr="000500F1">
        <w:t>habitats and</w:t>
      </w:r>
      <w:r w:rsidRPr="000500F1">
        <w:t xml:space="preserve"> threaten human health and safety. The feral swine toxicant collaboration is focused on a formulation that uses food-grade sodium nitrite, a salt commonly used to preserve meat, as the active ingredient.  When a mammal eats a high dose of sodium nitrite over a very short period, the compound causes a severe decrease in the ability of the animal’s blood to carry oxygen, much like the effects seen from carbon monoxide poisoning. Swine appear to be less efficient than other animals at reversing methemoglobinemia (inability of the red blood cells to bind oxygen) and quickly succumb to </w:t>
      </w:r>
      <w:r w:rsidRPr="000500F1">
        <w:lastRenderedPageBreak/>
        <w:t>the toxicant effects. Under the 2013 CRADA, the IACRC, Animal Control Technologies, Australia (ACTA), and scientists at WS-NWRC co-developed a sodium nitrite-based bait paste and a bait station to deliver the paste. A second CRADA was established in 2017 with ACTA to further these product development efforts, with field testing occurring in the southern United States (EPA issued Experimental Use Permits) and in Australia. US field tests concluded during the early part of 2023.  At that time, it was determined that the bait formulation needed additional work prior to a Section 3 submission to the EPA, and so a third CRADA is currently in negotiation to explore ways to reduce access to the bait by non-target bird species. The feral swine bait station co-invented by NWRC researchers and ACTA that was used in the trials is currently under patent review in the United States, Australia, and a few other foreign countries. ACTA holds a US patent on the use of nitrite salts as toxicants for omnivores, expiring in 2029.</w:t>
      </w:r>
    </w:p>
    <w:p w14:paraId="04ACE156" w14:textId="77777777" w:rsidR="000500F1" w:rsidRPr="000500F1" w:rsidRDefault="000500F1" w:rsidP="000500F1">
      <w:r w:rsidRPr="000500F1">
        <w:t xml:space="preserve">Development of a Mongoose Toxicant </w:t>
      </w:r>
    </w:p>
    <w:p w14:paraId="4F7E6266" w14:textId="77777777" w:rsidR="005E29D7" w:rsidRDefault="000500F1" w:rsidP="000500F1">
      <w:r w:rsidRPr="000500F1">
        <w:rPr>
          <w:noProof/>
        </w:rPr>
        <w:drawing>
          <wp:inline distT="0" distB="0" distL="0" distR="0" wp14:anchorId="1A619BCE" wp14:editId="6B80DEBE">
            <wp:extent cx="2266950" cy="1514475"/>
            <wp:effectExtent l="0" t="0" r="0" b="9525"/>
            <wp:docPr id="7" name="Picture 7" descr="monogoos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onogoose">
                      <a:extLst>
                        <a:ext uri="{C183D7F6-B498-43B3-948B-1728B52AA6E4}">
                          <adec:decorative xmlns:adec="http://schemas.microsoft.com/office/drawing/2017/decorative" val="1"/>
                        </a:ext>
                      </a:extLst>
                    </pic:cNvPr>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266950" cy="1514475"/>
                    </a:xfrm>
                    <a:prstGeom prst="rect">
                      <a:avLst/>
                    </a:prstGeom>
                    <a:noFill/>
                    <a:ln>
                      <a:noFill/>
                    </a:ln>
                  </pic:spPr>
                </pic:pic>
              </a:graphicData>
            </a:graphic>
          </wp:inline>
        </w:drawing>
      </w:r>
      <w:r w:rsidRPr="000500F1">
        <w:t> </w:t>
      </w:r>
    </w:p>
    <w:p w14:paraId="774D603A" w14:textId="49EE2140" w:rsidR="000500F1" w:rsidRPr="000500F1" w:rsidRDefault="000500F1" w:rsidP="000500F1">
      <w:r w:rsidRPr="000500F1">
        <w:t xml:space="preserve">Small Indian mongooses have been widely introduced throughout the world, including to the islands of Hawaii, Puerto Rico, and the US Virgin Islands. Mongooses are ranked in the top 100 most invasive species in the world. They prey on and negatively impact native mammals, birds, reptiles, and amphibians, carry zoonotic diseases like leptospirosis and rabies, and cause sanitation issues in food processing facilities and public areas. Because trapping alone is insufficient to control or eradicate mongooses in most areas, additional control methods are needed.  Mongooses are particularly sensitive to diphacinone.  WS-NWRC scientists are developing a new toxic bait containing diphacinone that is highly attractive to mongooses, easy-to-use, and shelf stable. A CRADA was established between NWRC and ACTA in 2021 to develop and test ACTA’s fish-based bait matrix, which was originally designed to target invasive foxes in Australia. The ACTA fish-based bait matrix combined with Bell Laboratories’ registered technical diphacinone product performed well across a suite of laboratory palatability and efficacy trials in 2021-2022. </w:t>
      </w:r>
    </w:p>
    <w:p w14:paraId="5A91FEF7" w14:textId="77777777" w:rsidR="005E29D7" w:rsidRDefault="005E29D7" w:rsidP="000500F1"/>
    <w:p w14:paraId="4E81582E" w14:textId="73C251B5" w:rsidR="005E29D7" w:rsidRDefault="005E29D7" w:rsidP="000500F1">
      <w:r w:rsidRPr="000500F1">
        <w:rPr>
          <w:noProof/>
        </w:rPr>
        <w:drawing>
          <wp:inline distT="0" distB="0" distL="0" distR="0" wp14:anchorId="00C57B34" wp14:editId="4F8A1977">
            <wp:extent cx="1687586" cy="1245975"/>
            <wp:effectExtent l="0" t="0" r="8255" b="0"/>
            <wp:docPr id="8" name="Picture 8" descr="mongoose entering trap">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ongoose entering trap">
                      <a:extLst>
                        <a:ext uri="{C183D7F6-B498-43B3-948B-1728B52AA6E4}">
                          <adec:decorative xmlns:adec="http://schemas.microsoft.com/office/drawing/2017/decorative" val="1"/>
                        </a:ext>
                      </a:extLst>
                    </pic:cNvPr>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695432" cy="1251768"/>
                    </a:xfrm>
                    <a:prstGeom prst="rect">
                      <a:avLst/>
                    </a:prstGeom>
                    <a:noFill/>
                    <a:ln>
                      <a:noFill/>
                    </a:ln>
                  </pic:spPr>
                </pic:pic>
              </a:graphicData>
            </a:graphic>
          </wp:inline>
        </w:drawing>
      </w:r>
    </w:p>
    <w:p w14:paraId="16913429" w14:textId="48F13054" w:rsidR="000500F1" w:rsidRPr="000500F1" w:rsidRDefault="000500F1" w:rsidP="000500F1">
      <w:r w:rsidRPr="000500F1">
        <w:lastRenderedPageBreak/>
        <w:t>The baits also performed well in non-toxic field trials testing several different bait station designs conducted in 2022. These field trials showed high visitation and bait consumption rates by mongooses, and low to no non-target species interest. In 2023, EPA and the Hawaii Department of Agriculture approved APHIS’ application for an Experimental Use Permit to allow field trials of the toxic bait on mongooses in Hawaii starting in 2024. If the toxic bait performs well in the EUP field trials with low non-target risks, APHIS will likely pursue a US pesticide registration to allow future operational use. ACTA would be the likely manufacturer of the product with distribution to certified applicators through the WS Pocatello Supply Depot.</w:t>
      </w:r>
      <w:r w:rsidRPr="000500F1">
        <w:br/>
      </w:r>
    </w:p>
    <w:p w14:paraId="22C4C6AD" w14:textId="77777777" w:rsidR="000500F1" w:rsidRPr="000500F1" w:rsidRDefault="000500F1" w:rsidP="000500F1">
      <w:pPr>
        <w:pStyle w:val="BodyText"/>
      </w:pPr>
    </w:p>
    <w:p w14:paraId="5ECC7385" w14:textId="77777777" w:rsidR="00144EDD" w:rsidRPr="00107C19" w:rsidRDefault="00144EDD" w:rsidP="00F31C85">
      <w:pPr>
        <w:pStyle w:val="Heading1"/>
        <w:rPr>
          <w:rFonts w:asciiTheme="minorHAnsi" w:hAnsiTheme="minorHAnsi" w:cstheme="minorHAnsi"/>
          <w:color w:val="000000" w:themeColor="text1"/>
        </w:rPr>
      </w:pPr>
      <w:bookmarkStart w:id="467" w:name="_Toc160186033"/>
      <w:bookmarkStart w:id="468" w:name="_Toc114646670"/>
      <w:r w:rsidRPr="00107C19">
        <w:rPr>
          <w:rFonts w:asciiTheme="minorHAnsi" w:hAnsiTheme="minorHAnsi" w:cstheme="minorHAnsi"/>
          <w:b/>
          <w:bCs w:val="0"/>
          <w:color w:val="000000" w:themeColor="text1"/>
        </w:rPr>
        <w:lastRenderedPageBreak/>
        <w:t>Agricultural Research Service (ARS</w:t>
      </w:r>
      <w:r w:rsidRPr="00107C19">
        <w:rPr>
          <w:rFonts w:asciiTheme="minorHAnsi" w:hAnsiTheme="minorHAnsi" w:cstheme="minorHAnsi"/>
          <w:color w:val="000000" w:themeColor="text1"/>
        </w:rPr>
        <w:t>)</w:t>
      </w:r>
      <w:bookmarkEnd w:id="467"/>
    </w:p>
    <w:p w14:paraId="6478942C" w14:textId="77777777" w:rsidR="00144EDD" w:rsidRPr="00107C19" w:rsidRDefault="00144EDD" w:rsidP="00F31C85">
      <w:pPr>
        <w:pStyle w:val="Heading2"/>
        <w:rPr>
          <w:rFonts w:asciiTheme="minorHAnsi" w:hAnsiTheme="minorHAnsi" w:cstheme="minorHAnsi"/>
          <w:color w:val="000000" w:themeColor="text1"/>
          <w:szCs w:val="32"/>
        </w:rPr>
      </w:pPr>
      <w:bookmarkStart w:id="469" w:name="_Toc160186034"/>
      <w:r w:rsidRPr="00107C19">
        <w:rPr>
          <w:rFonts w:asciiTheme="minorHAnsi" w:hAnsiTheme="minorHAnsi" w:cstheme="minorHAnsi"/>
          <w:color w:val="000000" w:themeColor="text1"/>
          <w:szCs w:val="32"/>
        </w:rPr>
        <w:t>Mission Statement</w:t>
      </w:r>
      <w:bookmarkEnd w:id="469"/>
    </w:p>
    <w:p w14:paraId="00D95A8B" w14:textId="77777777" w:rsidR="00144EDD" w:rsidRPr="00107C19" w:rsidRDefault="00144EDD" w:rsidP="00176D98">
      <w:pPr>
        <w:pStyle w:val="InstructionalText1"/>
        <w:rPr>
          <w:rFonts w:asciiTheme="minorHAnsi" w:hAnsiTheme="minorHAnsi" w:cstheme="minorHAnsi"/>
          <w:color w:val="000000" w:themeColor="text1"/>
        </w:rPr>
      </w:pPr>
      <w:r w:rsidRPr="00107C19">
        <w:rPr>
          <w:rFonts w:asciiTheme="minorHAnsi" w:hAnsiTheme="minorHAnsi" w:cstheme="minorHAnsi"/>
          <w:i w:val="0"/>
          <w:iCs w:val="0"/>
          <w:color w:val="000000" w:themeColor="text1"/>
          <w:u w:val="none"/>
        </w:rPr>
        <w:t>ARS delivers scientific solutions to national and global agricultural challenges.</w:t>
      </w:r>
      <w:r w:rsidRPr="00107C19">
        <w:rPr>
          <w:rFonts w:asciiTheme="minorHAnsi" w:hAnsiTheme="minorHAnsi" w:cstheme="minorHAnsi"/>
          <w:color w:val="000000" w:themeColor="text1"/>
        </w:rPr>
        <w:t xml:space="preserve"> </w:t>
      </w:r>
    </w:p>
    <w:p w14:paraId="2D7331F5" w14:textId="77777777" w:rsidR="00144EDD" w:rsidRPr="00107C19" w:rsidRDefault="00144EDD" w:rsidP="00F31C85">
      <w:pPr>
        <w:pStyle w:val="Heading2"/>
        <w:rPr>
          <w:rFonts w:asciiTheme="minorHAnsi" w:hAnsiTheme="minorHAnsi" w:cstheme="minorHAnsi"/>
          <w:color w:val="000000" w:themeColor="text1"/>
          <w:szCs w:val="32"/>
        </w:rPr>
      </w:pPr>
      <w:bookmarkStart w:id="470" w:name="_Toc160186035"/>
      <w:r w:rsidRPr="00107C19">
        <w:rPr>
          <w:rFonts w:asciiTheme="minorHAnsi" w:hAnsiTheme="minorHAnsi" w:cstheme="minorHAnsi"/>
          <w:color w:val="000000" w:themeColor="text1"/>
          <w:szCs w:val="32"/>
        </w:rPr>
        <w:t>Nature and Structure of Program</w:t>
      </w:r>
      <w:bookmarkEnd w:id="470"/>
    </w:p>
    <w:p w14:paraId="375044F8" w14:textId="77777777" w:rsidR="00144EDD" w:rsidRPr="00107C19" w:rsidRDefault="00144EDD" w:rsidP="00980CF7">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ARS is the largest intramural scientific research agency of the U.S. Department of Agriculture (USDA). Agency goals are to find solutions to agricultural problems that affect Americans every day, from field to table, such as (a) protecting crops and livestock from pests and diseases, (b) improving the quality and safety of agricultural products, (c) determining the best nutrition for people from infancy to old age, (d) sustaining our soil and other natural resources, (e) ensuring profitability for farmers and processors, (f) keeping costs down for consumers, and (g) supporting the growth and development of rural America.</w:t>
      </w:r>
    </w:p>
    <w:p w14:paraId="1D72AF95" w14:textId="6372F842" w:rsidR="00144EDD" w:rsidRPr="00107C19" w:rsidRDefault="00144EDD" w:rsidP="00980CF7">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In fiscal year (FY) 202</w:t>
      </w:r>
      <w:r w:rsidR="006216D3">
        <w:rPr>
          <w:rFonts w:asciiTheme="minorHAnsi" w:hAnsiTheme="minorHAnsi" w:cstheme="minorHAnsi"/>
          <w:i w:val="0"/>
          <w:iCs w:val="0"/>
          <w:color w:val="000000" w:themeColor="text1"/>
          <w:u w:val="none"/>
        </w:rPr>
        <w:t>3</w:t>
      </w:r>
      <w:r w:rsidRPr="00107C19">
        <w:rPr>
          <w:rFonts w:asciiTheme="minorHAnsi" w:hAnsiTheme="minorHAnsi" w:cstheme="minorHAnsi"/>
          <w:i w:val="0"/>
          <w:iCs w:val="0"/>
          <w:color w:val="000000" w:themeColor="text1"/>
          <w:u w:val="none"/>
        </w:rPr>
        <w:t xml:space="preserve">, ARS employed approximately </w:t>
      </w:r>
      <w:r w:rsidR="00E11310">
        <w:rPr>
          <w:rFonts w:asciiTheme="minorHAnsi" w:hAnsiTheme="minorHAnsi" w:cstheme="minorHAnsi"/>
          <w:i w:val="0"/>
          <w:iCs w:val="0"/>
          <w:color w:val="000000" w:themeColor="text1"/>
          <w:u w:val="none"/>
        </w:rPr>
        <w:t>2,000</w:t>
      </w:r>
      <w:r w:rsidRPr="00107C19">
        <w:rPr>
          <w:rFonts w:asciiTheme="minorHAnsi" w:hAnsiTheme="minorHAnsi" w:cstheme="minorHAnsi"/>
          <w:i w:val="0"/>
          <w:iCs w:val="0"/>
          <w:color w:val="000000" w:themeColor="text1"/>
          <w:u w:val="none"/>
        </w:rPr>
        <w:t xml:space="preserve"> scientists and postdoctoral researchers, and approximately </w:t>
      </w:r>
      <w:r w:rsidR="00E11598">
        <w:rPr>
          <w:rFonts w:asciiTheme="minorHAnsi" w:hAnsiTheme="minorHAnsi" w:cstheme="minorHAnsi"/>
          <w:i w:val="0"/>
          <w:iCs w:val="0"/>
          <w:color w:val="000000" w:themeColor="text1"/>
          <w:u w:val="none"/>
        </w:rPr>
        <w:t>5,000</w:t>
      </w:r>
      <w:r w:rsidRPr="00107C19">
        <w:rPr>
          <w:rFonts w:asciiTheme="minorHAnsi" w:hAnsiTheme="minorHAnsi" w:cstheme="minorHAnsi"/>
          <w:i w:val="0"/>
          <w:iCs w:val="0"/>
          <w:color w:val="000000" w:themeColor="text1"/>
          <w:u w:val="none"/>
        </w:rPr>
        <w:t xml:space="preserve"> other employees to conduct </w:t>
      </w:r>
      <w:r w:rsidR="00E11598">
        <w:rPr>
          <w:rFonts w:asciiTheme="minorHAnsi" w:hAnsiTheme="minorHAnsi" w:cstheme="minorHAnsi"/>
          <w:i w:val="0"/>
          <w:iCs w:val="0"/>
          <w:color w:val="000000" w:themeColor="text1"/>
          <w:u w:val="none"/>
        </w:rPr>
        <w:t>660</w:t>
      </w:r>
      <w:r w:rsidRPr="00107C19">
        <w:rPr>
          <w:rFonts w:asciiTheme="minorHAnsi" w:hAnsiTheme="minorHAnsi" w:cstheme="minorHAnsi"/>
          <w:i w:val="0"/>
          <w:iCs w:val="0"/>
          <w:color w:val="000000" w:themeColor="text1"/>
          <w:u w:val="none"/>
        </w:rPr>
        <w:t xml:space="preserve"> research projects at more than 90 locations. Research projects were organized within 1 of 15 national programs (see table). The Office of National Programs (ONP) in Beltsville, Maryland, plans the scope and objectives of the Agency’s research projects, and five area directors implement research projects at the locations in their geographic areas.</w:t>
      </w:r>
    </w:p>
    <w:p w14:paraId="53C69BE1" w14:textId="77777777" w:rsidR="00144EDD" w:rsidRPr="00107C19" w:rsidRDefault="00144EDD" w:rsidP="00980CF7">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ARS conducts a series of reviews designed to ensure the relevance and quality of its research work and maintain the highest possible standards for its scientists. Customer input helps keep the research focused on the needs of the American food and agricultural system. Plans for each active research project undergo a thorough, independent external prospective peer review managed by the Office of Scientific Quality Review. All ARS employees, including the scientific workforce, are subject to annual performance reviews, and all research scientists and engineers have technology transfer as a performance element in their annual performance appraisal. Research scientists undergo a rigorous peer review Research Position Evaluation System on a 3- to 5-year cycle. These processes ensure the continuing high-quality output of the ARS research addressing the needs of U.S. agriculture.</w:t>
      </w:r>
    </w:p>
    <w:p w14:paraId="0556DBC9" w14:textId="77777777" w:rsidR="00144EDD" w:rsidRPr="00107C19" w:rsidRDefault="00144EDD" w:rsidP="00D93850">
      <w:pPr>
        <w:pStyle w:val="BodyText"/>
        <w:rPr>
          <w:rFonts w:cstheme="minorHAnsi"/>
          <w:color w:val="000000" w:themeColor="text1"/>
        </w:rPr>
      </w:pPr>
    </w:p>
    <w:tbl>
      <w:tblPr>
        <w:tblStyle w:val="TableGrid"/>
        <w:tblW w:w="5000" w:type="pct"/>
        <w:tblLayout w:type="fixed"/>
        <w:tblLook w:val="04A0" w:firstRow="1" w:lastRow="0" w:firstColumn="1" w:lastColumn="0" w:noHBand="0" w:noVBand="1"/>
        <w:tblDescription w:val="Sample table for template instructions"/>
      </w:tblPr>
      <w:tblGrid>
        <w:gridCol w:w="2425"/>
        <w:gridCol w:w="2700"/>
        <w:gridCol w:w="2070"/>
        <w:gridCol w:w="2875"/>
      </w:tblGrid>
      <w:tr w:rsidR="00107C19" w:rsidRPr="00107C19" w14:paraId="70C60FE9" w14:textId="77777777" w:rsidTr="001D7F25">
        <w:trPr>
          <w:tblHeader/>
        </w:trPr>
        <w:tc>
          <w:tcPr>
            <w:tcW w:w="2425" w:type="dxa"/>
            <w:shd w:val="clear" w:color="auto" w:fill="D9D9D9" w:themeFill="background1" w:themeFillShade="D9"/>
          </w:tcPr>
          <w:p w14:paraId="2FFAA529" w14:textId="6BD1798C" w:rsidR="0067454F" w:rsidRPr="00107C19" w:rsidRDefault="0067454F" w:rsidP="002B0D31">
            <w:pPr>
              <w:pStyle w:val="TableHeading"/>
              <w:rPr>
                <w:rFonts w:cstheme="minorHAnsi"/>
                <w:color w:val="000000" w:themeColor="text1"/>
              </w:rPr>
            </w:pPr>
            <w:bookmarkStart w:id="471" w:name="_Hlk133232662"/>
            <w:r w:rsidRPr="00107C19">
              <w:rPr>
                <w:rFonts w:cstheme="minorHAnsi"/>
                <w:color w:val="000000" w:themeColor="text1"/>
              </w:rPr>
              <w:t>Animal Production and Protection</w:t>
            </w:r>
          </w:p>
        </w:tc>
        <w:tc>
          <w:tcPr>
            <w:tcW w:w="2700" w:type="dxa"/>
            <w:shd w:val="clear" w:color="auto" w:fill="D9D9D9" w:themeFill="background1" w:themeFillShade="D9"/>
          </w:tcPr>
          <w:p w14:paraId="3D9EE5FE" w14:textId="5E30E69F" w:rsidR="0067454F" w:rsidRPr="00107C19" w:rsidRDefault="0067454F" w:rsidP="002B0D31">
            <w:pPr>
              <w:pStyle w:val="TableHeading"/>
              <w:rPr>
                <w:rFonts w:cstheme="minorHAnsi"/>
                <w:color w:val="000000" w:themeColor="text1"/>
              </w:rPr>
            </w:pPr>
            <w:r w:rsidRPr="00107C19">
              <w:rPr>
                <w:rFonts w:cstheme="minorHAnsi"/>
                <w:color w:val="000000" w:themeColor="text1"/>
              </w:rPr>
              <w:t>Natural Resources and Sustainable Agricultural Systems</w:t>
            </w:r>
          </w:p>
        </w:tc>
        <w:tc>
          <w:tcPr>
            <w:tcW w:w="2070" w:type="dxa"/>
            <w:shd w:val="clear" w:color="auto" w:fill="D9D9D9" w:themeFill="background1" w:themeFillShade="D9"/>
          </w:tcPr>
          <w:p w14:paraId="13EA21C9" w14:textId="150C37DB" w:rsidR="0067454F" w:rsidRPr="00107C19" w:rsidRDefault="0067454F" w:rsidP="002B0D31">
            <w:pPr>
              <w:pStyle w:val="TableHeading"/>
              <w:rPr>
                <w:rFonts w:cstheme="minorHAnsi"/>
                <w:color w:val="000000" w:themeColor="text1"/>
              </w:rPr>
            </w:pPr>
            <w:r w:rsidRPr="00107C19">
              <w:rPr>
                <w:rFonts w:cstheme="minorHAnsi"/>
                <w:color w:val="000000" w:themeColor="text1"/>
              </w:rPr>
              <w:t>Crop Production and Protection</w:t>
            </w:r>
          </w:p>
        </w:tc>
        <w:tc>
          <w:tcPr>
            <w:tcW w:w="2875" w:type="dxa"/>
            <w:shd w:val="clear" w:color="auto" w:fill="D9D9D9" w:themeFill="background1" w:themeFillShade="D9"/>
          </w:tcPr>
          <w:p w14:paraId="181ECDB3" w14:textId="10C79B16" w:rsidR="0067454F" w:rsidRPr="00107C19" w:rsidRDefault="0067454F" w:rsidP="002B0D31">
            <w:pPr>
              <w:pStyle w:val="TableHeading"/>
              <w:rPr>
                <w:rFonts w:cstheme="minorHAnsi"/>
                <w:color w:val="000000" w:themeColor="text1"/>
              </w:rPr>
            </w:pPr>
            <w:r w:rsidRPr="00107C19">
              <w:rPr>
                <w:rFonts w:cstheme="minorHAnsi"/>
                <w:color w:val="000000" w:themeColor="text1"/>
              </w:rPr>
              <w:t>Nutrition, Food Safety, and Quality</w:t>
            </w:r>
          </w:p>
        </w:tc>
      </w:tr>
      <w:tr w:rsidR="00107C19" w:rsidRPr="00107C19" w14:paraId="268B5012" w14:textId="77777777" w:rsidTr="00D81622">
        <w:tc>
          <w:tcPr>
            <w:tcW w:w="2425" w:type="dxa"/>
            <w:vAlign w:val="center"/>
          </w:tcPr>
          <w:p w14:paraId="22C77D05"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Food Animal Production</w:t>
            </w:r>
          </w:p>
        </w:tc>
        <w:tc>
          <w:tcPr>
            <w:tcW w:w="2700" w:type="dxa"/>
            <w:vAlign w:val="center"/>
          </w:tcPr>
          <w:p w14:paraId="5A13E1D6"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Water Availability and Watershed Management</w:t>
            </w:r>
          </w:p>
        </w:tc>
        <w:tc>
          <w:tcPr>
            <w:tcW w:w="2070" w:type="dxa"/>
            <w:vAlign w:val="center"/>
          </w:tcPr>
          <w:p w14:paraId="47CBB159"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Plant Genetic Resources, Genomics and Genetic Improvement</w:t>
            </w:r>
          </w:p>
        </w:tc>
        <w:tc>
          <w:tcPr>
            <w:tcW w:w="2875" w:type="dxa"/>
            <w:vAlign w:val="center"/>
          </w:tcPr>
          <w:p w14:paraId="6C5F7EAB"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Human Nutrition</w:t>
            </w:r>
          </w:p>
        </w:tc>
      </w:tr>
      <w:tr w:rsidR="00107C19" w:rsidRPr="00107C19" w14:paraId="1996B35F" w14:textId="77777777" w:rsidTr="00D81622">
        <w:tc>
          <w:tcPr>
            <w:tcW w:w="2425" w:type="dxa"/>
            <w:vAlign w:val="center"/>
          </w:tcPr>
          <w:p w14:paraId="498B9662"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lastRenderedPageBreak/>
              <w:t>Animal Health</w:t>
            </w:r>
          </w:p>
        </w:tc>
        <w:tc>
          <w:tcPr>
            <w:tcW w:w="2700" w:type="dxa"/>
            <w:vAlign w:val="center"/>
          </w:tcPr>
          <w:p w14:paraId="0B151142"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Soil and Air</w:t>
            </w:r>
          </w:p>
        </w:tc>
        <w:tc>
          <w:tcPr>
            <w:tcW w:w="2070" w:type="dxa"/>
            <w:vAlign w:val="center"/>
          </w:tcPr>
          <w:p w14:paraId="4243DAC8"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Crop Production</w:t>
            </w:r>
          </w:p>
        </w:tc>
        <w:tc>
          <w:tcPr>
            <w:tcW w:w="2875" w:type="dxa"/>
            <w:vAlign w:val="center"/>
          </w:tcPr>
          <w:p w14:paraId="402D0146"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Food Safety (animal and plant products)</w:t>
            </w:r>
          </w:p>
        </w:tc>
      </w:tr>
      <w:tr w:rsidR="00107C19" w:rsidRPr="00107C19" w14:paraId="615E6201" w14:textId="77777777" w:rsidTr="00D81622">
        <w:tc>
          <w:tcPr>
            <w:tcW w:w="2425" w:type="dxa"/>
            <w:vAlign w:val="center"/>
          </w:tcPr>
          <w:p w14:paraId="456C0E4A"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Veterinary, Medical, and Urban Entomology</w:t>
            </w:r>
          </w:p>
        </w:tc>
        <w:tc>
          <w:tcPr>
            <w:tcW w:w="2700" w:type="dxa"/>
            <w:vAlign w:val="center"/>
          </w:tcPr>
          <w:p w14:paraId="5D6D115C"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Grass, Forage, and Rangeland Agroecosystems</w:t>
            </w:r>
          </w:p>
        </w:tc>
        <w:tc>
          <w:tcPr>
            <w:tcW w:w="2070" w:type="dxa"/>
            <w:vAlign w:val="center"/>
          </w:tcPr>
          <w:p w14:paraId="3C3FE684"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Plant Diseases</w:t>
            </w:r>
          </w:p>
        </w:tc>
        <w:tc>
          <w:tcPr>
            <w:tcW w:w="2875" w:type="dxa"/>
            <w:vAlign w:val="center"/>
          </w:tcPr>
          <w:p w14:paraId="7A7B2599" w14:textId="54999967" w:rsidR="00144EDD" w:rsidRPr="00107C19" w:rsidRDefault="00865F82" w:rsidP="00A2490F">
            <w:pPr>
              <w:pStyle w:val="TableText"/>
              <w:rPr>
                <w:rFonts w:cstheme="minorHAnsi"/>
                <w:color w:val="000000" w:themeColor="text1"/>
              </w:rPr>
            </w:pPr>
            <w:r>
              <w:rPr>
                <w:rFonts w:cstheme="minorHAnsi"/>
                <w:color w:val="000000" w:themeColor="text1"/>
              </w:rPr>
              <w:t xml:space="preserve">Product </w:t>
            </w:r>
            <w:r w:rsidR="00144EDD" w:rsidRPr="00107C19">
              <w:rPr>
                <w:rFonts w:cstheme="minorHAnsi"/>
                <w:color w:val="000000" w:themeColor="text1"/>
              </w:rPr>
              <w:t xml:space="preserve">Quality and </w:t>
            </w:r>
            <w:r>
              <w:rPr>
                <w:rFonts w:cstheme="minorHAnsi"/>
                <w:color w:val="000000" w:themeColor="text1"/>
              </w:rPr>
              <w:t>New Uses</w:t>
            </w:r>
          </w:p>
        </w:tc>
      </w:tr>
      <w:tr w:rsidR="001168B9" w:rsidRPr="00107C19" w14:paraId="57EF10BB" w14:textId="77777777" w:rsidTr="00D81622">
        <w:tc>
          <w:tcPr>
            <w:tcW w:w="2425" w:type="dxa"/>
            <w:vAlign w:val="center"/>
          </w:tcPr>
          <w:p w14:paraId="7CE2B147"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Aquaculture</w:t>
            </w:r>
          </w:p>
        </w:tc>
        <w:tc>
          <w:tcPr>
            <w:tcW w:w="2700" w:type="dxa"/>
            <w:vAlign w:val="center"/>
          </w:tcPr>
          <w:p w14:paraId="1FB7E6BB"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Sustainable Agricultural Systems Research</w:t>
            </w:r>
            <w:r w:rsidRPr="00107C19" w:rsidDel="00CF50E7">
              <w:rPr>
                <w:rFonts w:cstheme="minorHAnsi"/>
                <w:color w:val="000000" w:themeColor="text1"/>
              </w:rPr>
              <w:t xml:space="preserve"> </w:t>
            </w:r>
          </w:p>
        </w:tc>
        <w:tc>
          <w:tcPr>
            <w:tcW w:w="2070" w:type="dxa"/>
            <w:vAlign w:val="center"/>
          </w:tcPr>
          <w:p w14:paraId="6D1B6A2C" w14:textId="77777777" w:rsidR="00144EDD" w:rsidRPr="00107C19" w:rsidRDefault="00144EDD" w:rsidP="00A2490F">
            <w:pPr>
              <w:pStyle w:val="TableText"/>
              <w:rPr>
                <w:rFonts w:cstheme="minorHAnsi"/>
                <w:color w:val="000000" w:themeColor="text1"/>
              </w:rPr>
            </w:pPr>
            <w:r w:rsidRPr="00107C19">
              <w:rPr>
                <w:rFonts w:cstheme="minorHAnsi"/>
                <w:color w:val="000000" w:themeColor="text1"/>
              </w:rPr>
              <w:t>Crop Protection and Quarantine</w:t>
            </w:r>
          </w:p>
        </w:tc>
        <w:tc>
          <w:tcPr>
            <w:tcW w:w="2875" w:type="dxa"/>
            <w:vAlign w:val="center"/>
          </w:tcPr>
          <w:p w14:paraId="4FC51CCF" w14:textId="77777777" w:rsidR="00144EDD" w:rsidRPr="00107C19" w:rsidRDefault="00144EDD" w:rsidP="00A2490F">
            <w:pPr>
              <w:pStyle w:val="TableText"/>
              <w:rPr>
                <w:rFonts w:cstheme="minorHAnsi"/>
                <w:color w:val="000000" w:themeColor="text1"/>
              </w:rPr>
            </w:pPr>
          </w:p>
        </w:tc>
      </w:tr>
      <w:bookmarkEnd w:id="471"/>
    </w:tbl>
    <w:p w14:paraId="0961C67B" w14:textId="77777777" w:rsidR="00144EDD" w:rsidRPr="00107C19" w:rsidRDefault="00144EDD" w:rsidP="00980CF7">
      <w:pPr>
        <w:pStyle w:val="InstructionalText1"/>
        <w:rPr>
          <w:rFonts w:asciiTheme="minorHAnsi" w:hAnsiTheme="minorHAnsi" w:cstheme="minorHAnsi"/>
          <w:i w:val="0"/>
          <w:color w:val="000000" w:themeColor="text1"/>
          <w:kern w:val="32"/>
          <w:sz w:val="32"/>
          <w:szCs w:val="28"/>
          <w:u w:val="none"/>
        </w:rPr>
      </w:pPr>
    </w:p>
    <w:p w14:paraId="0708096B" w14:textId="1D861921" w:rsidR="00144EDD" w:rsidRPr="00107C19" w:rsidRDefault="00144EDD" w:rsidP="00F31C85">
      <w:pPr>
        <w:pStyle w:val="Heading2"/>
        <w:rPr>
          <w:rFonts w:asciiTheme="minorHAnsi" w:hAnsiTheme="minorHAnsi" w:cstheme="minorHAnsi"/>
          <w:i/>
          <w:color w:val="000000" w:themeColor="text1"/>
        </w:rPr>
      </w:pPr>
      <w:bookmarkStart w:id="472" w:name="_Toc160186036"/>
      <w:r w:rsidRPr="00107C19">
        <w:rPr>
          <w:rFonts w:asciiTheme="minorHAnsi" w:hAnsiTheme="minorHAnsi" w:cstheme="minorHAnsi"/>
          <w:color w:val="000000" w:themeColor="text1"/>
        </w:rPr>
        <w:t>ARS Approach and Plans for Conducting Technology Transfer</w:t>
      </w:r>
      <w:bookmarkEnd w:id="472"/>
    </w:p>
    <w:p w14:paraId="5A5E1234"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Because of the delegations of authority by the Secretary of Agriculture, the ARS Office of Technology Transfer (OTT) is assigned the responsibility for obtaining patent protection for intellectual property (IP), developing strategic partnerships with outside organizations, licensing USDA technologies to the private sector and academia, and performing other activities that effectively transfer ARS research outcomes and technologies to the marketplace. USDA’s Office of the General Counsel provides legal guidance to OTT on IP matters as needed.</w:t>
      </w:r>
    </w:p>
    <w:p w14:paraId="65ED47E7"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The ARS technology transfer program has centralized policy and approval procedures that are managed by OTT. Research agreement negotiation and implementation is decentralized and managed by the ARS area offices. Area office technology transfer staff members serve as liaisons with scientists, ARS managers, OTT, university partners, and the private sector.</w:t>
      </w:r>
    </w:p>
    <w:p w14:paraId="5AEC6227"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 xml:space="preserve">To facilitate technology transfer, OTT is organized into three sections. The Partnership and Administration Section conducts day-to-day operations, coordinates technology transfer policy development, interacts with ONP on agreement policy and review, and coordinates the activities between the partnership, patenting, and licensing sections. This section maintains strong stakeholder relationships at local, regional, and national levels, ensuring the adoption of research results. This section is also responsible for coordinating, managing, and reviewing agreements, and overseeing and managing the Agricultural Research Partnerships (ARP) Network. The Patent Section of OTT provides strategic guidance to scientists regarding patent protection for their research results. The section is also responsible for receiving invention reports; convening three national patent committees (Mechanical and Measurement, Life Sciences, and Chemistry), and a Plant Protection Committee; preparing and prosecuting patent applications; and reviewing patent legal work performed by a cooperator and an ARS contract law firm. The Licensing Section of OTT manages invention licensing from all the intramural scientists in every USDA agency, including the review of license applications, negotiation of licenses, and monitoring of license agreements to assure compliance. This section also </w:t>
      </w:r>
      <w:r w:rsidRPr="00107C19">
        <w:rPr>
          <w:rFonts w:asciiTheme="minorHAnsi" w:hAnsiTheme="minorHAnsi" w:cstheme="minorHAnsi"/>
          <w:i w:val="0"/>
          <w:iCs w:val="0"/>
          <w:color w:val="000000" w:themeColor="text1"/>
          <w:u w:val="none"/>
        </w:rPr>
        <w:lastRenderedPageBreak/>
        <w:t>collects and disburses license revenues, manages international patent filings, and provides expert advice on all matters related to USDA invention licensing.</w:t>
      </w:r>
    </w:p>
    <w:p w14:paraId="397E47F6" w14:textId="77777777" w:rsidR="00144EDD" w:rsidRPr="00107C19" w:rsidRDefault="00144EDD" w:rsidP="00B22373">
      <w:pPr>
        <w:pStyle w:val="InstructionalText1"/>
        <w:rPr>
          <w:rFonts w:asciiTheme="minorHAnsi" w:hAnsiTheme="minorHAnsi" w:cstheme="minorHAnsi"/>
          <w:color w:val="000000" w:themeColor="text1"/>
        </w:rPr>
      </w:pPr>
      <w:r w:rsidRPr="00107C19">
        <w:rPr>
          <w:rFonts w:asciiTheme="minorHAnsi" w:hAnsiTheme="minorHAnsi" w:cstheme="minorHAnsi"/>
          <w:i w:val="0"/>
          <w:iCs w:val="0"/>
          <w:color w:val="000000" w:themeColor="text1"/>
          <w:u w:val="none"/>
        </w:rPr>
        <w:t>At ARS, technology transfer is accomplished through many mechanisms, such as:</w:t>
      </w:r>
    </w:p>
    <w:p w14:paraId="3C9B8162" w14:textId="77777777" w:rsidR="00144EDD" w:rsidRPr="00107C19" w:rsidRDefault="00144EDD" w:rsidP="00B22373">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Developing written information for customers and stakeholders, including scientific publications, publications in trade journals, and reports to stakeholders;</w:t>
      </w:r>
    </w:p>
    <w:p w14:paraId="34BF5E59" w14:textId="77777777" w:rsidR="00144EDD" w:rsidRPr="00107C19" w:rsidRDefault="00144EDD" w:rsidP="00B22373">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Releasing plant germplasm to the public;</w:t>
      </w:r>
    </w:p>
    <w:p w14:paraId="2C935CB1" w14:textId="77777777" w:rsidR="00144EDD" w:rsidRPr="00107C19" w:rsidRDefault="00144EDD" w:rsidP="00B22373">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Transferring research materials to scientists outside of ARS;</w:t>
      </w:r>
    </w:p>
    <w:p w14:paraId="2C57BC68" w14:textId="77777777" w:rsidR="00144EDD" w:rsidRPr="00107C19" w:rsidRDefault="00144EDD" w:rsidP="00B22373">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Entering into formal partnership agreements, such as Cooperative Research and Development Agreements (CRADAs) and other cooperative agreements;</w:t>
      </w:r>
    </w:p>
    <w:p w14:paraId="3CE3ADE9" w14:textId="77777777" w:rsidR="00144EDD" w:rsidRPr="00107C19" w:rsidRDefault="00144EDD" w:rsidP="00B22373">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Licensing IP (patents, Plant Variety Protection certificates, and biological materials); and</w:t>
      </w:r>
    </w:p>
    <w:p w14:paraId="05938C1B" w14:textId="77777777" w:rsidR="00144EDD" w:rsidRPr="00107C19" w:rsidRDefault="00144EDD" w:rsidP="00B22373">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Participating in meetings with industry organizations and universities; workshops and field days; and distributing information to the public via the ARS Office of Communications, the National Agricultural Library, and other sources.</w:t>
      </w:r>
    </w:p>
    <w:p w14:paraId="08728DBA"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Because the ARS mission is to transfer technologies for broad public use by the most effective mechanism, ARS pursues patents and licensing principally to incentivize commercialization and to facilitate technology transfer to the marketplace. This is usually the case when complementary investment by the private sector is necessary to commercialize a product and patent protection is required to protect this investment. By ARS policy, patents are not filed on inventions that are considered to be only research tools. The purpose of this policy is to encourage scientific research. Judicious use of intellectual property rights (IPR) is an important cornerstone of the patent committees. IPR is used as an incentive for commercialization and full realization of the research impact of USDA technologies. In licensing practices, ARS continues to reserve the right to allow use of any IP-protected technology for research purposes (non-commercial).</w:t>
      </w:r>
    </w:p>
    <w:p w14:paraId="2DB3C89A"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OTT devised and enhanced a two-way communication mechanism between technology transfer professionals (both at OTT and area offices), ONP, and scientists in the field through the use of technology transfer strategy calls after each patent decision and each Innovation Fund round. This was featured in the Best Practice Spotlight of Technology Transfer Tactics, a monthly newsletter, in March 2018.</w:t>
      </w:r>
    </w:p>
    <w:p w14:paraId="65237FFA"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 xml:space="preserve">Meaningful performance metrics in technology transfer are often difficult to formulate. ARS has defined better metrics for technology transfer within USDA. For example, successful outcomes for ARS may include improved agricultural practices, gathering and compilation of scientific information that enhances U.S. competitiveness, increased awareness about pathogens to help prevent human and animal diseases, or findings that help corporations and universities make informed decisions in allocating their research resources. Many of these outcomes do not require patenting or subsequent licensing for implementation. </w:t>
      </w:r>
    </w:p>
    <w:p w14:paraId="1DF19754"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 xml:space="preserve">Licensing policies also promote small business success with reasonable licensing fees in the early years and annual maintenance fees and royalties that escalate in subsequent years, sometimes after the first commercial sale of the product. Licensing further enhances commercialization by encouraging the broadest utilization of a Federal invention. ARS also incentivizes scientists on the reporting of inventions, patenting, and licensing by providing 25 percent of the license revenues to inventors (this is </w:t>
      </w:r>
      <w:r w:rsidRPr="00107C19">
        <w:rPr>
          <w:rFonts w:asciiTheme="minorHAnsi" w:hAnsiTheme="minorHAnsi" w:cstheme="minorHAnsi"/>
          <w:i w:val="0"/>
          <w:iCs w:val="0"/>
          <w:color w:val="000000" w:themeColor="text1"/>
          <w:u w:val="none"/>
        </w:rPr>
        <w:lastRenderedPageBreak/>
        <w:t>higher than the 15 percent required by statute). Thus, policies are in place that incentivize commercialization, minimize transaction costs, and provide fair and equitable compensation for those who create Federal innovations.</w:t>
      </w:r>
    </w:p>
    <w:p w14:paraId="58472E82" w14:textId="14A35E72"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 xml:space="preserve">OTT created an Innovation Fund, from licensing revenue, to provide ARS scientists up to $25,000 on a competitive basis for a given project per year. The purpose of the fund is </w:t>
      </w:r>
      <w:r w:rsidR="00615474" w:rsidRPr="00107C19">
        <w:rPr>
          <w:rFonts w:asciiTheme="minorHAnsi" w:hAnsiTheme="minorHAnsi" w:cstheme="minorHAnsi"/>
          <w:i w:val="0"/>
          <w:iCs w:val="0"/>
          <w:color w:val="000000" w:themeColor="text1"/>
          <w:u w:val="none"/>
        </w:rPr>
        <w:t>moving</w:t>
      </w:r>
      <w:r w:rsidRPr="00107C19">
        <w:rPr>
          <w:rFonts w:asciiTheme="minorHAnsi" w:hAnsiTheme="minorHAnsi" w:cstheme="minorHAnsi"/>
          <w:i w:val="0"/>
          <w:iCs w:val="0"/>
          <w:color w:val="000000" w:themeColor="text1"/>
          <w:u w:val="none"/>
        </w:rPr>
        <w:t xml:space="preserve"> ARS research outcomes closer to adoption by industry, academia, and other stakeholders. The first 50 projects have resulted in 5 patent applications and 2 Plant Variety Protection applications; 10 licenses; 12 publications and 1 factsheet; 4 workshops and 1 public website; and 23 university and industry collaborations.</w:t>
      </w:r>
    </w:p>
    <w:p w14:paraId="3DD00585"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OTT founded the Agricultural Research Partnership (ARP) Network to expand the impact of ARS research by enhancing the likelihood that these outcomes will be adopted. Although replete with scientific expertise, the ARS research program does not have the resources or the authority to provide ARS commercial partners with business mentoring, marketing, manufacturing, and fiscal resources needed for the success of their businesses. Consequently, the ARP Network was established to provide these complementary assets. By combining ARS research expertise with complementary capabilities and talents of partnering organizations, the ARP Network stimulates economic growth through technological advancements. The ARP Network communicates through LinkedIn. LinkedIn posts include highlighting a research topic area with an overview of the past and present ARS research program in that area, followed by a posting of technologies available for licensing in that area. In addition, other noteworthy items are posted, such as ARS news, research partnership opportunities, USDA videos on various research projects, and Federal business resources. Most posts received more than 300 views.</w:t>
      </w:r>
    </w:p>
    <w:p w14:paraId="7070A66A" w14:textId="77777777" w:rsidR="00144EDD" w:rsidRPr="00107C19" w:rsidRDefault="00144EDD" w:rsidP="00B22373">
      <w:pPr>
        <w:pStyle w:val="InstructionalText1"/>
        <w:rPr>
          <w:rFonts w:asciiTheme="minorHAnsi" w:hAnsiTheme="minorHAnsi" w:cstheme="minorHAnsi"/>
          <w:i w:val="0"/>
          <w:iCs w:val="0"/>
          <w:color w:val="000000" w:themeColor="text1"/>
          <w:u w:val="none"/>
        </w:rPr>
      </w:pPr>
      <w:r w:rsidRPr="00107C19">
        <w:rPr>
          <w:rFonts w:asciiTheme="minorHAnsi" w:hAnsiTheme="minorHAnsi" w:cstheme="minorHAnsi"/>
          <w:i w:val="0"/>
          <w:iCs w:val="0"/>
          <w:color w:val="000000" w:themeColor="text1"/>
          <w:u w:val="none"/>
        </w:rPr>
        <w:t>OTT collaborated with USDA’s National Institute of Food and Agriculture (NIFA) to create the Small Business Innovation Research -Technology Transfer (SBIR-TT) Program. SBIR-TT encourages small businesses to collaborate with ARS researchers and/or license ARS technologies and submit an SBIR application. The relevant language in the SBIR Request for Applications states, “Additional factors that will be considered in the review process include whether an application involves a CRADA with a USDA laboratory, or a license to a USDA technology.”</w:t>
      </w:r>
    </w:p>
    <w:p w14:paraId="2CAD2E50" w14:textId="09E8B6C1" w:rsidR="00144EDD" w:rsidRPr="00107C19" w:rsidRDefault="00144EDD" w:rsidP="00F31C85">
      <w:pPr>
        <w:pStyle w:val="Heading2"/>
        <w:rPr>
          <w:rFonts w:asciiTheme="minorHAnsi" w:hAnsiTheme="minorHAnsi" w:cstheme="minorHAnsi"/>
          <w:color w:val="000000" w:themeColor="text1"/>
        </w:rPr>
      </w:pPr>
      <w:bookmarkStart w:id="473" w:name="_Toc160186037"/>
      <w:r w:rsidRPr="00107C19">
        <w:rPr>
          <w:rFonts w:asciiTheme="minorHAnsi" w:hAnsiTheme="minorHAnsi" w:cstheme="minorHAnsi"/>
          <w:color w:val="000000" w:themeColor="text1"/>
        </w:rPr>
        <w:t>Technology Transfer Highlights</w:t>
      </w:r>
      <w:bookmarkEnd w:id="473"/>
    </w:p>
    <w:p w14:paraId="0AD68C02" w14:textId="62DDFEC7" w:rsidR="00144EDD" w:rsidRPr="0002057A" w:rsidRDefault="00144EDD" w:rsidP="00631301">
      <w:pPr>
        <w:pStyle w:val="InstructionalBullet1"/>
        <w:rPr>
          <w:rFonts w:asciiTheme="minorHAnsi" w:hAnsiTheme="minorHAnsi" w:cstheme="minorHAnsi"/>
          <w:i w:val="0"/>
          <w:iCs/>
          <w:color w:val="000000" w:themeColor="text1"/>
          <w:u w:val="none"/>
        </w:rPr>
      </w:pPr>
      <w:r w:rsidRPr="0002057A">
        <w:rPr>
          <w:rFonts w:asciiTheme="minorHAnsi" w:hAnsiTheme="minorHAnsi" w:cstheme="minorHAnsi"/>
          <w:i w:val="0"/>
          <w:iCs/>
          <w:color w:val="000000" w:themeColor="text1"/>
          <w:u w:val="none"/>
        </w:rPr>
        <w:t xml:space="preserve">There were </w:t>
      </w:r>
      <w:r w:rsidR="00B2036B" w:rsidRPr="0002057A">
        <w:rPr>
          <w:rFonts w:asciiTheme="minorHAnsi" w:hAnsiTheme="minorHAnsi" w:cstheme="minorHAnsi"/>
          <w:i w:val="0"/>
          <w:iCs/>
          <w:color w:val="000000" w:themeColor="text1"/>
          <w:u w:val="none"/>
        </w:rPr>
        <w:t>137</w:t>
      </w:r>
      <w:r w:rsidRPr="0002057A">
        <w:rPr>
          <w:rFonts w:asciiTheme="minorHAnsi" w:hAnsiTheme="minorHAnsi" w:cstheme="minorHAnsi"/>
          <w:i w:val="0"/>
          <w:iCs/>
          <w:color w:val="000000" w:themeColor="text1"/>
          <w:u w:val="none"/>
        </w:rPr>
        <w:t xml:space="preserve"> active CRADAs, </w:t>
      </w:r>
      <w:r w:rsidR="0002057A" w:rsidRPr="0002057A">
        <w:rPr>
          <w:rFonts w:asciiTheme="minorHAnsi" w:hAnsiTheme="minorHAnsi" w:cstheme="minorHAnsi"/>
          <w:i w:val="0"/>
          <w:iCs/>
          <w:color w:val="000000" w:themeColor="text1"/>
          <w:u w:val="none"/>
        </w:rPr>
        <w:t>57</w:t>
      </w:r>
      <w:r w:rsidRPr="0002057A">
        <w:rPr>
          <w:rFonts w:asciiTheme="minorHAnsi" w:hAnsiTheme="minorHAnsi" w:cstheme="minorHAnsi"/>
          <w:i w:val="0"/>
          <w:iCs/>
          <w:color w:val="000000" w:themeColor="text1"/>
          <w:u w:val="none"/>
        </w:rPr>
        <w:t xml:space="preserve"> of which were newly executed. The </w:t>
      </w:r>
      <w:r w:rsidR="0002057A" w:rsidRPr="0002057A">
        <w:rPr>
          <w:rFonts w:asciiTheme="minorHAnsi" w:hAnsiTheme="minorHAnsi" w:cstheme="minorHAnsi"/>
          <w:i w:val="0"/>
          <w:iCs/>
          <w:color w:val="000000" w:themeColor="text1"/>
          <w:u w:val="none"/>
        </w:rPr>
        <w:t>57</w:t>
      </w:r>
      <w:r w:rsidRPr="0002057A">
        <w:rPr>
          <w:rFonts w:asciiTheme="minorHAnsi" w:hAnsiTheme="minorHAnsi" w:cstheme="minorHAnsi"/>
          <w:i w:val="0"/>
          <w:iCs/>
          <w:color w:val="000000" w:themeColor="text1"/>
          <w:u w:val="none"/>
        </w:rPr>
        <w:t xml:space="preserve"> new CRADAs contributed </w:t>
      </w:r>
      <w:r w:rsidR="0002057A" w:rsidRPr="0002057A">
        <w:rPr>
          <w:rFonts w:asciiTheme="minorHAnsi" w:hAnsiTheme="minorHAnsi" w:cstheme="minorHAnsi"/>
          <w:i w:val="0"/>
          <w:iCs/>
          <w:color w:val="000000" w:themeColor="text1"/>
          <w:u w:val="none"/>
        </w:rPr>
        <w:t>$2,338,016</w:t>
      </w:r>
      <w:r w:rsidR="0002057A">
        <w:rPr>
          <w:rFonts w:asciiTheme="minorHAnsi" w:hAnsiTheme="minorHAnsi" w:cstheme="minorHAnsi"/>
          <w:i w:val="0"/>
          <w:iCs/>
          <w:color w:val="000000" w:themeColor="text1"/>
          <w:u w:val="none"/>
        </w:rPr>
        <w:t xml:space="preserve"> </w:t>
      </w:r>
      <w:r w:rsidRPr="0002057A">
        <w:rPr>
          <w:rFonts w:asciiTheme="minorHAnsi" w:hAnsiTheme="minorHAnsi" w:cstheme="minorHAnsi"/>
          <w:i w:val="0"/>
          <w:iCs/>
          <w:color w:val="000000" w:themeColor="text1"/>
          <w:u w:val="none"/>
        </w:rPr>
        <w:t xml:space="preserve">directly to ARS research projects, and approximately </w:t>
      </w:r>
      <w:r w:rsidR="0002057A">
        <w:rPr>
          <w:rFonts w:asciiTheme="minorHAnsi" w:hAnsiTheme="minorHAnsi" w:cstheme="minorHAnsi"/>
          <w:i w:val="0"/>
          <w:iCs/>
          <w:color w:val="000000" w:themeColor="text1"/>
          <w:u w:val="none"/>
        </w:rPr>
        <w:t>31</w:t>
      </w:r>
      <w:r w:rsidRPr="0002057A">
        <w:rPr>
          <w:rFonts w:asciiTheme="minorHAnsi" w:hAnsiTheme="minorHAnsi" w:cstheme="minorHAnsi"/>
          <w:i w:val="0"/>
          <w:iCs/>
          <w:color w:val="000000" w:themeColor="text1"/>
          <w:u w:val="none"/>
        </w:rPr>
        <w:t xml:space="preserve"> percent of them are with small businesses. There were 3</w:t>
      </w:r>
      <w:r w:rsidR="0002057A">
        <w:rPr>
          <w:rFonts w:asciiTheme="minorHAnsi" w:hAnsiTheme="minorHAnsi" w:cstheme="minorHAnsi"/>
          <w:i w:val="0"/>
          <w:iCs/>
          <w:color w:val="000000" w:themeColor="text1"/>
          <w:u w:val="none"/>
        </w:rPr>
        <w:t>85</w:t>
      </w:r>
      <w:r w:rsidRPr="0002057A">
        <w:rPr>
          <w:rFonts w:asciiTheme="minorHAnsi" w:hAnsiTheme="minorHAnsi" w:cstheme="minorHAnsi"/>
          <w:i w:val="0"/>
          <w:iCs/>
          <w:color w:val="000000" w:themeColor="text1"/>
          <w:u w:val="none"/>
        </w:rPr>
        <w:t xml:space="preserve"> active Material Transfer Research Agreements (MTRAs), </w:t>
      </w:r>
      <w:r w:rsidR="0002057A">
        <w:rPr>
          <w:rFonts w:asciiTheme="minorHAnsi" w:hAnsiTheme="minorHAnsi" w:cstheme="minorHAnsi"/>
          <w:i w:val="0"/>
          <w:iCs/>
          <w:color w:val="000000" w:themeColor="text1"/>
          <w:u w:val="none"/>
        </w:rPr>
        <w:t>114</w:t>
      </w:r>
      <w:r w:rsidRPr="0002057A">
        <w:rPr>
          <w:rFonts w:asciiTheme="minorHAnsi" w:hAnsiTheme="minorHAnsi" w:cstheme="minorHAnsi"/>
          <w:i w:val="0"/>
          <w:iCs/>
          <w:color w:val="000000" w:themeColor="text1"/>
          <w:u w:val="none"/>
        </w:rPr>
        <w:t xml:space="preserve"> of which were newly executed. The </w:t>
      </w:r>
      <w:r w:rsidR="0002057A">
        <w:rPr>
          <w:rFonts w:asciiTheme="minorHAnsi" w:hAnsiTheme="minorHAnsi" w:cstheme="minorHAnsi"/>
          <w:i w:val="0"/>
          <w:iCs/>
          <w:color w:val="000000" w:themeColor="text1"/>
          <w:u w:val="none"/>
        </w:rPr>
        <w:t>114</w:t>
      </w:r>
      <w:r w:rsidRPr="0002057A">
        <w:rPr>
          <w:rFonts w:asciiTheme="minorHAnsi" w:hAnsiTheme="minorHAnsi" w:cstheme="minorHAnsi"/>
          <w:i w:val="0"/>
          <w:iCs/>
          <w:color w:val="000000" w:themeColor="text1"/>
          <w:u w:val="none"/>
        </w:rPr>
        <w:t xml:space="preserve"> new MTRAs contributed </w:t>
      </w:r>
      <w:r w:rsidR="0002057A" w:rsidRPr="0002057A">
        <w:rPr>
          <w:rFonts w:asciiTheme="minorHAnsi" w:hAnsiTheme="minorHAnsi" w:cstheme="minorHAnsi"/>
          <w:i w:val="0"/>
          <w:iCs/>
          <w:color w:val="000000" w:themeColor="text1"/>
          <w:u w:val="none"/>
        </w:rPr>
        <w:t>$828,861</w:t>
      </w:r>
      <w:r w:rsidR="0002057A">
        <w:rPr>
          <w:rFonts w:asciiTheme="minorHAnsi" w:hAnsiTheme="minorHAnsi" w:cstheme="minorHAnsi"/>
          <w:i w:val="0"/>
          <w:iCs/>
          <w:color w:val="000000" w:themeColor="text1"/>
          <w:u w:val="none"/>
        </w:rPr>
        <w:t xml:space="preserve"> </w:t>
      </w:r>
      <w:r w:rsidRPr="0002057A">
        <w:rPr>
          <w:rFonts w:asciiTheme="minorHAnsi" w:hAnsiTheme="minorHAnsi" w:cstheme="minorHAnsi"/>
          <w:i w:val="0"/>
          <w:iCs/>
          <w:color w:val="000000" w:themeColor="text1"/>
          <w:u w:val="none"/>
        </w:rPr>
        <w:t xml:space="preserve">directly to ARS research projects (see Table 1 in Section </w:t>
      </w:r>
      <w:r w:rsidR="00B2036B" w:rsidRPr="0002057A">
        <w:rPr>
          <w:rFonts w:asciiTheme="minorHAnsi" w:hAnsiTheme="minorHAnsi" w:cstheme="minorHAnsi"/>
          <w:i w:val="0"/>
          <w:iCs/>
          <w:color w:val="000000" w:themeColor="text1"/>
          <w:u w:val="none"/>
        </w:rPr>
        <w:t>5</w:t>
      </w:r>
      <w:r w:rsidRPr="0002057A">
        <w:rPr>
          <w:rFonts w:asciiTheme="minorHAnsi" w:hAnsiTheme="minorHAnsi" w:cstheme="minorHAnsi"/>
          <w:i w:val="0"/>
          <w:iCs/>
          <w:color w:val="000000" w:themeColor="text1"/>
          <w:u w:val="none"/>
        </w:rPr>
        <w:t>.5).</w:t>
      </w:r>
    </w:p>
    <w:p w14:paraId="63C5CD24" w14:textId="46B1B191" w:rsidR="00144EDD" w:rsidRPr="002557CA" w:rsidRDefault="00144EDD" w:rsidP="00631301">
      <w:pPr>
        <w:pStyle w:val="InstructionalBullet1"/>
        <w:rPr>
          <w:rFonts w:asciiTheme="minorHAnsi" w:hAnsiTheme="minorHAnsi" w:cstheme="minorHAnsi"/>
          <w:i w:val="0"/>
          <w:iCs/>
          <w:color w:val="000000" w:themeColor="text1"/>
          <w:u w:val="none"/>
        </w:rPr>
      </w:pPr>
      <w:r w:rsidRPr="002557CA">
        <w:rPr>
          <w:rFonts w:asciiTheme="minorHAnsi" w:hAnsiTheme="minorHAnsi" w:cstheme="minorHAnsi"/>
          <w:i w:val="0"/>
          <w:iCs/>
          <w:color w:val="000000" w:themeColor="text1"/>
          <w:u w:val="none"/>
        </w:rPr>
        <w:t xml:space="preserve">There were </w:t>
      </w:r>
      <w:r w:rsidR="002557CA" w:rsidRPr="002557CA">
        <w:rPr>
          <w:rFonts w:asciiTheme="minorHAnsi" w:hAnsiTheme="minorHAnsi" w:cstheme="minorHAnsi"/>
          <w:i w:val="0"/>
          <w:iCs/>
          <w:color w:val="000000" w:themeColor="text1"/>
          <w:u w:val="none"/>
        </w:rPr>
        <w:t>97</w:t>
      </w:r>
      <w:r w:rsidRPr="002557CA">
        <w:rPr>
          <w:rFonts w:asciiTheme="minorHAnsi" w:hAnsiTheme="minorHAnsi" w:cstheme="minorHAnsi"/>
          <w:i w:val="0"/>
          <w:iCs/>
          <w:color w:val="000000" w:themeColor="text1"/>
          <w:u w:val="none"/>
        </w:rPr>
        <w:t xml:space="preserve"> new invention disclosures received; </w:t>
      </w:r>
      <w:r w:rsidR="002557CA" w:rsidRPr="002557CA">
        <w:rPr>
          <w:rFonts w:asciiTheme="minorHAnsi" w:hAnsiTheme="minorHAnsi" w:cstheme="minorHAnsi"/>
          <w:i w:val="0"/>
          <w:iCs/>
          <w:color w:val="000000" w:themeColor="text1"/>
          <w:u w:val="none"/>
        </w:rPr>
        <w:t>53</w:t>
      </w:r>
      <w:r w:rsidRPr="002557CA">
        <w:rPr>
          <w:rFonts w:asciiTheme="minorHAnsi" w:hAnsiTheme="minorHAnsi" w:cstheme="minorHAnsi"/>
          <w:i w:val="0"/>
          <w:iCs/>
          <w:color w:val="000000" w:themeColor="text1"/>
          <w:u w:val="none"/>
        </w:rPr>
        <w:t xml:space="preserve"> patent applications were filed; and </w:t>
      </w:r>
      <w:r w:rsidR="002557CA" w:rsidRPr="002557CA">
        <w:rPr>
          <w:rFonts w:asciiTheme="minorHAnsi" w:hAnsiTheme="minorHAnsi" w:cstheme="minorHAnsi"/>
          <w:i w:val="0"/>
          <w:iCs/>
          <w:color w:val="000000" w:themeColor="text1"/>
          <w:u w:val="none"/>
        </w:rPr>
        <w:t>30</w:t>
      </w:r>
      <w:r w:rsidRPr="002557CA">
        <w:rPr>
          <w:rFonts w:asciiTheme="minorHAnsi" w:hAnsiTheme="minorHAnsi" w:cstheme="minorHAnsi"/>
          <w:i w:val="0"/>
          <w:iCs/>
          <w:color w:val="000000" w:themeColor="text1"/>
          <w:u w:val="none"/>
        </w:rPr>
        <w:t xml:space="preserve"> utility patents, </w:t>
      </w:r>
      <w:r w:rsidR="002557CA" w:rsidRPr="002557CA">
        <w:rPr>
          <w:rFonts w:asciiTheme="minorHAnsi" w:hAnsiTheme="minorHAnsi" w:cstheme="minorHAnsi"/>
          <w:i w:val="0"/>
          <w:iCs/>
          <w:color w:val="000000" w:themeColor="text1"/>
          <w:u w:val="none"/>
        </w:rPr>
        <w:t>9</w:t>
      </w:r>
      <w:r w:rsidRPr="002557CA">
        <w:rPr>
          <w:rFonts w:asciiTheme="minorHAnsi" w:hAnsiTheme="minorHAnsi" w:cstheme="minorHAnsi"/>
          <w:i w:val="0"/>
          <w:iCs/>
          <w:color w:val="000000" w:themeColor="text1"/>
          <w:u w:val="none"/>
        </w:rPr>
        <w:t xml:space="preserve"> plant patent, and </w:t>
      </w:r>
      <w:r w:rsidR="002557CA" w:rsidRPr="002557CA">
        <w:rPr>
          <w:rFonts w:asciiTheme="minorHAnsi" w:hAnsiTheme="minorHAnsi" w:cstheme="minorHAnsi"/>
          <w:i w:val="0"/>
          <w:iCs/>
          <w:color w:val="000000" w:themeColor="text1"/>
          <w:u w:val="none"/>
        </w:rPr>
        <w:t>1</w:t>
      </w:r>
      <w:r w:rsidRPr="002557CA">
        <w:rPr>
          <w:rFonts w:asciiTheme="minorHAnsi" w:hAnsiTheme="minorHAnsi" w:cstheme="minorHAnsi"/>
          <w:i w:val="0"/>
          <w:iCs/>
          <w:color w:val="000000" w:themeColor="text1"/>
          <w:u w:val="none"/>
        </w:rPr>
        <w:t xml:space="preserve"> Plant Variety Protection Certificates were obtained. Although the year in which a patent is issued is not typically the year in which the patent application is filed, over time the ratio of patents issued over the number of patent applications filed is an indicator of “judicious” patenting. Over the last 5 years, this indicator suggests that approximately 65 percent of the patent applications result in an issued patent (see Table 2 in Section </w:t>
      </w:r>
      <w:r w:rsidR="00B2036B" w:rsidRPr="002557CA">
        <w:rPr>
          <w:rFonts w:asciiTheme="minorHAnsi" w:hAnsiTheme="minorHAnsi" w:cstheme="minorHAnsi"/>
          <w:i w:val="0"/>
          <w:iCs/>
          <w:color w:val="000000" w:themeColor="text1"/>
          <w:u w:val="none"/>
        </w:rPr>
        <w:t>5</w:t>
      </w:r>
      <w:r w:rsidRPr="002557CA">
        <w:rPr>
          <w:rFonts w:asciiTheme="minorHAnsi" w:hAnsiTheme="minorHAnsi" w:cstheme="minorHAnsi"/>
          <w:i w:val="0"/>
          <w:iCs/>
          <w:color w:val="000000" w:themeColor="text1"/>
          <w:u w:val="none"/>
        </w:rPr>
        <w:t>.5).</w:t>
      </w:r>
    </w:p>
    <w:p w14:paraId="501655C9" w14:textId="77777777" w:rsidR="008D477A" w:rsidRPr="008D477A" w:rsidRDefault="008D477A" w:rsidP="008D477A">
      <w:pPr>
        <w:pStyle w:val="InstructionalBullet1"/>
        <w:rPr>
          <w:rFonts w:asciiTheme="minorHAnsi" w:hAnsiTheme="minorHAnsi" w:cstheme="minorHAnsi"/>
          <w:i w:val="0"/>
          <w:iCs/>
          <w:color w:val="000000" w:themeColor="text1"/>
          <w:u w:val="none"/>
        </w:rPr>
      </w:pPr>
      <w:r w:rsidRPr="008D477A">
        <w:rPr>
          <w:rFonts w:asciiTheme="minorHAnsi" w:hAnsiTheme="minorHAnsi" w:cstheme="minorHAnsi"/>
          <w:i w:val="0"/>
          <w:iCs/>
          <w:color w:val="000000" w:themeColor="text1"/>
          <w:u w:val="none"/>
        </w:rPr>
        <w:lastRenderedPageBreak/>
        <w:t>There were 54 new licenses were executed (75 percent with small businesses and percent with universities). There are 627 active licenses.  This reflects a slight decrease as an offset between the number of license agreements that expired versus the number of new licenses executed. Forty-six percent of the income-bearing licenses were granted exclusively. The total income from all active licenses was $4,190,558. Although the year that a license is signed is not typically the year the patent is issued, over time the ratio of newly signed licenses over the number of newly issued patents is an indicator of “judicious” patenting, considering the commercial viability of the technology and other factors. Over the last 5 years, this indicator suggests that approximately 45 percent of the issued patents have been licensed (see Tables 3 and 4 in Section 5.5).</w:t>
      </w:r>
    </w:p>
    <w:p w14:paraId="7943B1AD" w14:textId="035C4165" w:rsidR="00144EDD" w:rsidRPr="00107C19" w:rsidRDefault="00144EDD" w:rsidP="00A358EE">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OTT created license agreement templates (e.g., nonexclusive, biological material, university, and commercial evaluation) specific to Forest Service.</w:t>
      </w:r>
    </w:p>
    <w:p w14:paraId="35042FDC" w14:textId="77777777" w:rsidR="00144EDD" w:rsidRPr="00107C19" w:rsidRDefault="00144EDD" w:rsidP="00631301">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OTT reviewed and executed licenses for the Animal and Plant Health Inspection Service (APHIS) and the Forest Service.</w:t>
      </w:r>
    </w:p>
    <w:p w14:paraId="7CACE80E" w14:textId="77777777" w:rsidR="00144EDD" w:rsidRPr="00107C19" w:rsidRDefault="00144EDD" w:rsidP="00631301">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OTT worked with the National Institute of Food and Agriculture’s Small Business Innovation Research Program (NIFA-SBIR) to design strategies to enhance ARS technology transfer and economic development. Provided ARS partnership PowerPoint slides that they added to their slide deck for presentations to small business audiences.  NIFA-SBIR referred pre-vetted, small businesses to OTT for matchmaking with ARS researchers.</w:t>
      </w:r>
    </w:p>
    <w:p w14:paraId="4F0F5451" w14:textId="643B88F2" w:rsidR="00144EDD" w:rsidRPr="00812C52" w:rsidRDefault="00144EDD" w:rsidP="00631301">
      <w:pPr>
        <w:pStyle w:val="InstructionalBullet1"/>
        <w:rPr>
          <w:rFonts w:asciiTheme="minorHAnsi" w:hAnsiTheme="minorHAnsi" w:cstheme="minorHAnsi"/>
          <w:i w:val="0"/>
          <w:iCs/>
          <w:color w:val="000000" w:themeColor="text1"/>
          <w:u w:val="none"/>
        </w:rPr>
      </w:pPr>
      <w:r w:rsidRPr="00812C52">
        <w:rPr>
          <w:rFonts w:asciiTheme="minorHAnsi" w:hAnsiTheme="minorHAnsi" w:cstheme="minorHAnsi"/>
          <w:i w:val="0"/>
          <w:iCs/>
          <w:color w:val="000000" w:themeColor="text1"/>
          <w:u w:val="none"/>
        </w:rPr>
        <w:t>Connected 1</w:t>
      </w:r>
      <w:r w:rsidR="00BF09FD" w:rsidRPr="00812C52">
        <w:rPr>
          <w:rFonts w:asciiTheme="minorHAnsi" w:hAnsiTheme="minorHAnsi" w:cstheme="minorHAnsi"/>
          <w:i w:val="0"/>
          <w:iCs/>
          <w:color w:val="000000" w:themeColor="text1"/>
          <w:u w:val="none"/>
        </w:rPr>
        <w:t>1</w:t>
      </w:r>
      <w:r w:rsidRPr="00812C52">
        <w:rPr>
          <w:rFonts w:asciiTheme="minorHAnsi" w:hAnsiTheme="minorHAnsi" w:cstheme="minorHAnsi"/>
          <w:i w:val="0"/>
          <w:iCs/>
          <w:color w:val="000000" w:themeColor="text1"/>
          <w:u w:val="none"/>
        </w:rPr>
        <w:t xml:space="preserve"> ARP Network Found requests for research partners with ARS scientists.    </w:t>
      </w:r>
    </w:p>
    <w:p w14:paraId="1A229413" w14:textId="2350A023" w:rsidR="00144EDD" w:rsidRPr="00812C52" w:rsidRDefault="00144EDD" w:rsidP="00255B04">
      <w:pPr>
        <w:pStyle w:val="InstructionalBullet1"/>
        <w:rPr>
          <w:rFonts w:asciiTheme="minorHAnsi" w:hAnsiTheme="minorHAnsi" w:cstheme="minorHAnsi"/>
          <w:i w:val="0"/>
          <w:iCs/>
          <w:color w:val="000000" w:themeColor="text1"/>
          <w:u w:val="none"/>
        </w:rPr>
      </w:pPr>
      <w:r w:rsidRPr="00812C52">
        <w:rPr>
          <w:rFonts w:asciiTheme="minorHAnsi" w:hAnsiTheme="minorHAnsi" w:cstheme="minorHAnsi"/>
          <w:i w:val="0"/>
          <w:iCs/>
          <w:color w:val="000000" w:themeColor="text1"/>
          <w:u w:val="none"/>
        </w:rPr>
        <w:t xml:space="preserve">OTT received </w:t>
      </w:r>
      <w:r w:rsidR="00E16E3C">
        <w:rPr>
          <w:rFonts w:asciiTheme="minorHAnsi" w:hAnsiTheme="minorHAnsi" w:cstheme="minorHAnsi"/>
          <w:i w:val="0"/>
          <w:iCs/>
          <w:color w:val="000000" w:themeColor="text1"/>
          <w:u w:val="none"/>
        </w:rPr>
        <w:t>66</w:t>
      </w:r>
      <w:r w:rsidRPr="00812C52">
        <w:rPr>
          <w:rFonts w:asciiTheme="minorHAnsi" w:hAnsiTheme="minorHAnsi" w:cstheme="minorHAnsi"/>
          <w:i w:val="0"/>
          <w:iCs/>
          <w:color w:val="000000" w:themeColor="text1"/>
          <w:u w:val="none"/>
        </w:rPr>
        <w:t xml:space="preserve"> Innovation Fund applications, of which </w:t>
      </w:r>
      <w:r w:rsidR="00E16E3C">
        <w:rPr>
          <w:rFonts w:asciiTheme="minorHAnsi" w:hAnsiTheme="minorHAnsi" w:cstheme="minorHAnsi"/>
          <w:i w:val="0"/>
          <w:iCs/>
          <w:color w:val="000000" w:themeColor="text1"/>
          <w:u w:val="none"/>
        </w:rPr>
        <w:t>16</w:t>
      </w:r>
      <w:r w:rsidRPr="00812C52">
        <w:rPr>
          <w:rFonts w:asciiTheme="minorHAnsi" w:hAnsiTheme="minorHAnsi" w:cstheme="minorHAnsi"/>
          <w:i w:val="0"/>
          <w:iCs/>
          <w:color w:val="000000" w:themeColor="text1"/>
          <w:u w:val="none"/>
        </w:rPr>
        <w:t xml:space="preserve"> applications were funded with OTT resources for </w:t>
      </w:r>
      <w:r w:rsidR="00812C52" w:rsidRPr="00812C52">
        <w:rPr>
          <w:rFonts w:asciiTheme="minorHAnsi" w:hAnsiTheme="minorHAnsi" w:cstheme="minorHAnsi"/>
          <w:i w:val="0"/>
          <w:iCs/>
          <w:color w:val="000000" w:themeColor="text1"/>
          <w:u w:val="none"/>
        </w:rPr>
        <w:t>$</w:t>
      </w:r>
      <w:r w:rsidR="00F41172" w:rsidRPr="00F41172">
        <w:rPr>
          <w:rFonts w:asciiTheme="minorHAnsi" w:hAnsiTheme="minorHAnsi" w:cstheme="minorHAnsi"/>
          <w:i w:val="0"/>
          <w:iCs/>
          <w:color w:val="000000" w:themeColor="text1"/>
          <w:u w:val="none"/>
        </w:rPr>
        <w:t>384,300.</w:t>
      </w:r>
    </w:p>
    <w:p w14:paraId="02B55CD6" w14:textId="166431E7" w:rsidR="00144EDD" w:rsidRPr="00E16E3C" w:rsidRDefault="00E16E3C" w:rsidP="00255B04">
      <w:pPr>
        <w:pStyle w:val="InstructionalBullet1"/>
        <w:rPr>
          <w:rFonts w:asciiTheme="minorHAnsi" w:hAnsiTheme="minorHAnsi" w:cstheme="minorHAnsi"/>
          <w:i w:val="0"/>
          <w:iCs/>
          <w:color w:val="000000" w:themeColor="text1"/>
          <w:u w:val="none"/>
        </w:rPr>
      </w:pPr>
      <w:r w:rsidRPr="00E16E3C">
        <w:rPr>
          <w:rFonts w:asciiTheme="minorHAnsi" w:hAnsiTheme="minorHAnsi" w:cstheme="minorHAnsi"/>
          <w:i w:val="0"/>
          <w:iCs/>
          <w:color w:val="000000" w:themeColor="text1"/>
          <w:u w:val="none"/>
        </w:rPr>
        <w:t>OTT led comprehensive in-person and/or virtual technology transfer training at five ARS locations and trained 143 scientists/staff.  OTT also led the technology transfer webinar on Food Safety and trained 83 scientists/staff.</w:t>
      </w:r>
    </w:p>
    <w:p w14:paraId="0AEDA804" w14:textId="0B8F7F85" w:rsidR="00790C64" w:rsidRDefault="00790C64" w:rsidP="000C52F7">
      <w:pPr>
        <w:pStyle w:val="InstructionalBullet1"/>
        <w:rPr>
          <w:rFonts w:ascii="Calibri" w:hAnsi="Calibri" w:cs="Calibri"/>
          <w:i w:val="0"/>
          <w:iCs/>
          <w:color w:val="000000" w:themeColor="text1"/>
          <w:u w:val="none"/>
        </w:rPr>
      </w:pPr>
      <w:r>
        <w:rPr>
          <w:rFonts w:ascii="Calibri" w:hAnsi="Calibri" w:cs="Calibri"/>
          <w:i w:val="0"/>
          <w:iCs/>
          <w:color w:val="000000" w:themeColor="text1"/>
          <w:u w:val="none"/>
        </w:rPr>
        <w:t>ARS</w:t>
      </w:r>
      <w:r w:rsidR="009E3016">
        <w:rPr>
          <w:rFonts w:ascii="Calibri" w:hAnsi="Calibri" w:cs="Calibri"/>
          <w:i w:val="0"/>
          <w:iCs/>
          <w:color w:val="000000" w:themeColor="text1"/>
          <w:u w:val="none"/>
        </w:rPr>
        <w:t>-OTT</w:t>
      </w:r>
      <w:r>
        <w:rPr>
          <w:rFonts w:ascii="Calibri" w:hAnsi="Calibri" w:cs="Calibri"/>
          <w:i w:val="0"/>
          <w:iCs/>
          <w:color w:val="000000" w:themeColor="text1"/>
          <w:u w:val="none"/>
        </w:rPr>
        <w:t xml:space="preserve"> partnered with </w:t>
      </w:r>
      <w:r w:rsidR="009E3016">
        <w:rPr>
          <w:rFonts w:ascii="Calibri" w:hAnsi="Calibri" w:cs="Calibri"/>
          <w:i w:val="0"/>
          <w:iCs/>
          <w:color w:val="000000" w:themeColor="text1"/>
          <w:u w:val="none"/>
        </w:rPr>
        <w:t xml:space="preserve">ARS scientists in the Human Nutrition Center, ARS scientists in the Plain’s Area, </w:t>
      </w:r>
      <w:r>
        <w:rPr>
          <w:rFonts w:ascii="Calibri" w:hAnsi="Calibri" w:cs="Calibri"/>
          <w:i w:val="0"/>
          <w:iCs/>
          <w:color w:val="000000" w:themeColor="text1"/>
          <w:u w:val="none"/>
        </w:rPr>
        <w:t>Tribal communities,</w:t>
      </w:r>
      <w:r w:rsidR="009E3016">
        <w:rPr>
          <w:rFonts w:ascii="Calibri" w:hAnsi="Calibri" w:cs="Calibri"/>
          <w:i w:val="0"/>
          <w:iCs/>
          <w:color w:val="000000" w:themeColor="text1"/>
          <w:u w:val="none"/>
        </w:rPr>
        <w:t xml:space="preserve"> and USDA-Rural Development’s Office of Tribal Relations to increase the number of </w:t>
      </w:r>
      <w:r w:rsidR="00750F89" w:rsidRPr="00750F89">
        <w:rPr>
          <w:rFonts w:ascii="Calibri" w:hAnsi="Calibri" w:cs="Calibri"/>
          <w:i w:val="0"/>
          <w:iCs/>
          <w:color w:val="000000" w:themeColor="text1"/>
          <w:u w:val="none"/>
        </w:rPr>
        <w:t xml:space="preserve">Native American/Alaskan Native foods </w:t>
      </w:r>
      <w:r w:rsidRPr="00790C64">
        <w:rPr>
          <w:rFonts w:ascii="Calibri" w:hAnsi="Calibri" w:cs="Calibri"/>
          <w:i w:val="0"/>
          <w:iCs/>
          <w:color w:val="000000" w:themeColor="text1"/>
          <w:u w:val="none"/>
        </w:rPr>
        <w:t>indigenous foods in FoodData Central</w:t>
      </w:r>
      <w:r w:rsidRPr="00750F89">
        <w:rPr>
          <w:rFonts w:ascii="Calibri" w:hAnsi="Calibri" w:cs="Calibri"/>
          <w:i w:val="0"/>
          <w:iCs/>
          <w:color w:val="000000" w:themeColor="text1"/>
          <w:u w:val="none"/>
        </w:rPr>
        <w:t>.</w:t>
      </w:r>
      <w:r w:rsidR="00750F89" w:rsidRPr="00750F89">
        <w:rPr>
          <w:rFonts w:ascii="Calibri" w:hAnsi="Calibri" w:cs="Calibri"/>
          <w:i w:val="0"/>
          <w:iCs/>
          <w:color w:val="000000" w:themeColor="text1"/>
          <w:u w:val="none"/>
        </w:rPr>
        <w:t xml:space="preserve"> </w:t>
      </w:r>
      <w:r w:rsidR="00750F89">
        <w:rPr>
          <w:rFonts w:ascii="Calibri" w:hAnsi="Calibri" w:cs="Calibri"/>
          <w:i w:val="0"/>
          <w:iCs/>
          <w:color w:val="000000" w:themeColor="text1"/>
          <w:u w:val="none"/>
        </w:rPr>
        <w:t xml:space="preserve"> Food Date Central already has </w:t>
      </w:r>
      <w:r w:rsidR="00750F89" w:rsidRPr="00750F89">
        <w:rPr>
          <w:rFonts w:ascii="Calibri" w:hAnsi="Calibri" w:cs="Calibri"/>
          <w:i w:val="0"/>
          <w:iCs/>
          <w:color w:val="000000" w:themeColor="text1"/>
          <w:u w:val="none"/>
        </w:rPr>
        <w:t>165 Native American/Alaskan Native foods</w:t>
      </w:r>
      <w:r w:rsidR="00750F89">
        <w:rPr>
          <w:rFonts w:ascii="Calibri" w:hAnsi="Calibri" w:cs="Calibri"/>
          <w:i w:val="0"/>
          <w:iCs/>
          <w:color w:val="000000" w:themeColor="text1"/>
          <w:u w:val="none"/>
        </w:rPr>
        <w:t xml:space="preserve">. The team is working together with the USDA’s </w:t>
      </w:r>
      <w:r w:rsidR="00750F89" w:rsidRPr="00750F89">
        <w:rPr>
          <w:rFonts w:ascii="Calibri" w:hAnsi="Calibri" w:cs="Calibri"/>
          <w:i w:val="0"/>
          <w:iCs/>
          <w:color w:val="000000" w:themeColor="text1"/>
          <w:u w:val="none"/>
        </w:rPr>
        <w:t>Food Nutrition Service</w:t>
      </w:r>
      <w:r w:rsidR="00750F89">
        <w:rPr>
          <w:rFonts w:ascii="Calibri" w:hAnsi="Calibri" w:cs="Calibri"/>
          <w:i w:val="0"/>
          <w:iCs/>
          <w:color w:val="000000" w:themeColor="text1"/>
          <w:u w:val="none"/>
        </w:rPr>
        <w:t xml:space="preserve"> to include these </w:t>
      </w:r>
      <w:r w:rsidR="00750F89" w:rsidRPr="00750F89">
        <w:rPr>
          <w:rFonts w:ascii="Calibri" w:hAnsi="Calibri" w:cs="Calibri"/>
          <w:i w:val="0"/>
          <w:iCs/>
          <w:color w:val="000000" w:themeColor="text1"/>
          <w:u w:val="none"/>
        </w:rPr>
        <w:t>native foods</w:t>
      </w:r>
      <w:r w:rsidR="00750F89">
        <w:rPr>
          <w:rFonts w:ascii="Calibri" w:hAnsi="Calibri" w:cs="Calibri"/>
          <w:i w:val="0"/>
          <w:iCs/>
          <w:color w:val="000000" w:themeColor="text1"/>
          <w:u w:val="none"/>
        </w:rPr>
        <w:t xml:space="preserve"> in the </w:t>
      </w:r>
      <w:r w:rsidR="00750F89" w:rsidRPr="00750F89">
        <w:rPr>
          <w:rFonts w:ascii="Calibri" w:hAnsi="Calibri" w:cs="Calibri"/>
          <w:i w:val="0"/>
          <w:iCs/>
          <w:color w:val="000000" w:themeColor="text1"/>
          <w:u w:val="none"/>
        </w:rPr>
        <w:t>USDA Food Buying Guide</w:t>
      </w:r>
      <w:r w:rsidR="00750F89">
        <w:rPr>
          <w:rFonts w:ascii="Calibri" w:hAnsi="Calibri" w:cs="Calibri"/>
          <w:i w:val="0"/>
          <w:iCs/>
          <w:color w:val="000000" w:themeColor="text1"/>
          <w:u w:val="none"/>
        </w:rPr>
        <w:t xml:space="preserve">. This is the first step in getting native foods into the school lunch program. </w:t>
      </w:r>
    </w:p>
    <w:p w14:paraId="02B72A7A" w14:textId="7AE6FFBB" w:rsidR="00144EDD" w:rsidRPr="003F1ABD" w:rsidRDefault="00144EDD" w:rsidP="000C52F7">
      <w:pPr>
        <w:pStyle w:val="InstructionalBullet1"/>
        <w:rPr>
          <w:rFonts w:ascii="Calibri" w:hAnsi="Calibri" w:cs="Calibri"/>
          <w:i w:val="0"/>
          <w:iCs/>
          <w:color w:val="000000" w:themeColor="text1"/>
          <w:u w:val="none"/>
        </w:rPr>
      </w:pPr>
      <w:r w:rsidRPr="003F1ABD">
        <w:rPr>
          <w:rFonts w:ascii="Calibri" w:hAnsi="Calibri" w:cs="Calibri"/>
          <w:i w:val="0"/>
          <w:iCs/>
          <w:color w:val="000000" w:themeColor="text1"/>
          <w:u w:val="none"/>
        </w:rPr>
        <w:t xml:space="preserve">ARS won </w:t>
      </w:r>
      <w:r w:rsidR="00BF09FD" w:rsidRPr="003F1ABD">
        <w:rPr>
          <w:rFonts w:ascii="Calibri" w:hAnsi="Calibri" w:cs="Calibri"/>
          <w:i w:val="0"/>
          <w:iCs/>
          <w:color w:val="000000" w:themeColor="text1"/>
          <w:u w:val="none"/>
        </w:rPr>
        <w:t xml:space="preserve">three national </w:t>
      </w:r>
      <w:r w:rsidRPr="003F1ABD">
        <w:rPr>
          <w:rFonts w:ascii="Calibri" w:hAnsi="Calibri" w:cs="Calibri"/>
          <w:i w:val="0"/>
          <w:iCs/>
          <w:color w:val="000000" w:themeColor="text1"/>
          <w:u w:val="none"/>
        </w:rPr>
        <w:t xml:space="preserve">Federal Laboratory Consortium (FLC) </w:t>
      </w:r>
      <w:r w:rsidR="00BF09FD" w:rsidRPr="003F1ABD">
        <w:rPr>
          <w:rFonts w:ascii="Calibri" w:hAnsi="Calibri" w:cs="Calibri"/>
          <w:i w:val="0"/>
          <w:iCs/>
          <w:color w:val="000000" w:themeColor="text1"/>
          <w:u w:val="none"/>
        </w:rPr>
        <w:t>awards. ARS won the Interagency Partnership Award with the National Aeronautics and Space Administration, Kennedy Space Center for “Tech for Monitoring Crops in Space Could Also Benefit Agriculture on Earth.” ARS won two Impact Awards. The first for “Development of Disease-Resistant Tilapia Boosts Aquaculture Profits</w:t>
      </w:r>
      <w:r w:rsidR="003F1ABD" w:rsidRPr="003F1ABD">
        <w:rPr>
          <w:rFonts w:ascii="Calibri" w:hAnsi="Calibri" w:cs="Calibri"/>
          <w:i w:val="0"/>
          <w:iCs/>
          <w:color w:val="000000" w:themeColor="text1"/>
          <w:u w:val="none"/>
        </w:rPr>
        <w:t>.” The second for “USDA-Iowa State Univer</w:t>
      </w:r>
      <w:r w:rsidR="003F1ABD">
        <w:rPr>
          <w:rFonts w:ascii="Calibri" w:hAnsi="Calibri" w:cs="Calibri"/>
          <w:i w:val="0"/>
          <w:iCs/>
          <w:color w:val="000000" w:themeColor="text1"/>
          <w:u w:val="none"/>
        </w:rPr>
        <w:t>sity</w:t>
      </w:r>
      <w:r w:rsidR="003F1ABD" w:rsidRPr="003F1ABD">
        <w:rPr>
          <w:rFonts w:ascii="Calibri" w:hAnsi="Calibri" w:cs="Calibri"/>
          <w:i w:val="0"/>
          <w:iCs/>
          <w:color w:val="000000" w:themeColor="text1"/>
          <w:u w:val="none"/>
        </w:rPr>
        <w:t xml:space="preserve"> Partnership Enhances Soil Drainage Process to Reduce Risk of Aquatic ‘Dead Zones.”</w:t>
      </w:r>
    </w:p>
    <w:p w14:paraId="47E54EA8" w14:textId="77777777" w:rsidR="00144EDD" w:rsidRPr="00107C19" w:rsidRDefault="00144EDD" w:rsidP="00255B04">
      <w:pPr>
        <w:pStyle w:val="InstructionalBullet1"/>
        <w:rPr>
          <w:rFonts w:asciiTheme="minorHAnsi" w:hAnsiTheme="minorHAnsi" w:cstheme="minorHAnsi"/>
          <w:i w:val="0"/>
          <w:iCs/>
          <w:color w:val="000000" w:themeColor="text1"/>
          <w:u w:val="none"/>
        </w:rPr>
      </w:pPr>
      <w:r w:rsidRPr="00107C19">
        <w:rPr>
          <w:rFonts w:asciiTheme="minorHAnsi" w:hAnsiTheme="minorHAnsi" w:cstheme="minorHAnsi"/>
          <w:i w:val="0"/>
          <w:iCs/>
          <w:color w:val="000000" w:themeColor="text1"/>
          <w:u w:val="none"/>
        </w:rPr>
        <w:t>OTT prepared the USDA Technology Transfer Annual Report for submission to Congress and successfully highlighted USDA’s technology transfer accomplishments.  Coordinated with 11 USDA agencies (e.g., AMS, APHIS, ARS, ERS, FAS, FS, FSIS, NASS, NIFA, NRCS, and RD) and maximized input from each agency that ensured all technology transfer activities and metrics were reported. The USDA Technology Transfer Annual Report was posted on the USDA and ARS websites and was picked up and positively commented on by media outlets.</w:t>
      </w:r>
    </w:p>
    <w:p w14:paraId="6130F714" w14:textId="77777777" w:rsidR="00817F6B" w:rsidRPr="00107C19" w:rsidRDefault="0067454F" w:rsidP="00F31C85">
      <w:pPr>
        <w:pStyle w:val="Heading2"/>
        <w:rPr>
          <w:rFonts w:asciiTheme="minorHAnsi" w:hAnsiTheme="minorHAnsi" w:cstheme="minorHAnsi"/>
          <w:color w:val="000000" w:themeColor="text1"/>
        </w:rPr>
      </w:pPr>
      <w:bookmarkStart w:id="474" w:name="_Toc160186038"/>
      <w:r w:rsidRPr="00107C19">
        <w:rPr>
          <w:rFonts w:asciiTheme="minorHAnsi" w:hAnsiTheme="minorHAnsi" w:cstheme="minorHAnsi"/>
          <w:color w:val="000000" w:themeColor="text1"/>
        </w:rPr>
        <w:lastRenderedPageBreak/>
        <w:t xml:space="preserve">Fiscal Year </w:t>
      </w:r>
      <w:r w:rsidR="00144EDD" w:rsidRPr="00107C19">
        <w:rPr>
          <w:rFonts w:asciiTheme="minorHAnsi" w:hAnsiTheme="minorHAnsi" w:cstheme="minorHAnsi"/>
          <w:color w:val="000000" w:themeColor="text1"/>
        </w:rPr>
        <w:t>Metric Tables</w:t>
      </w:r>
      <w:bookmarkEnd w:id="474"/>
    </w:p>
    <w:p w14:paraId="2931AE50" w14:textId="77777777" w:rsidR="009175A4" w:rsidRPr="00107C19" w:rsidRDefault="000121F8" w:rsidP="009175A4">
      <w:pPr>
        <w:rPr>
          <w:rFonts w:ascii="Calibri" w:hAnsi="Calibri"/>
          <w:b/>
          <w:bCs/>
          <w:color w:val="000000" w:themeColor="text1"/>
          <w:kern w:val="2"/>
          <w:sz w:val="22"/>
          <w14:ligatures w14:val="standardContextual"/>
        </w:rPr>
      </w:pPr>
      <w:r w:rsidRPr="00107C19">
        <w:rPr>
          <w:rFonts w:cstheme="minorHAnsi"/>
          <w:color w:val="000000" w:themeColor="text1"/>
        </w:rPr>
        <w:t xml:space="preserve"> </w:t>
      </w:r>
      <w:r w:rsidR="009175A4" w:rsidRPr="00107C19">
        <w:rPr>
          <w:rFonts w:ascii="Calibri" w:hAnsi="Calibri"/>
          <w:b/>
          <w:bCs/>
          <w:color w:val="000000" w:themeColor="text1"/>
          <w:kern w:val="2"/>
          <w:sz w:val="22"/>
          <w14:ligatures w14:val="standardContextual"/>
        </w:rPr>
        <w:t>Table 1. Collaborative relationships for research and development</w:t>
      </w:r>
    </w:p>
    <w:tbl>
      <w:tblPr>
        <w:tblW w:w="10070" w:type="dxa"/>
        <w:jc w:val="center"/>
        <w:tblLook w:val="04A0" w:firstRow="1" w:lastRow="0" w:firstColumn="1" w:lastColumn="0" w:noHBand="0" w:noVBand="1"/>
      </w:tblPr>
      <w:tblGrid>
        <w:gridCol w:w="3402"/>
        <w:gridCol w:w="1431"/>
        <w:gridCol w:w="1310"/>
        <w:gridCol w:w="1309"/>
        <w:gridCol w:w="1309"/>
        <w:gridCol w:w="1309"/>
      </w:tblGrid>
      <w:tr w:rsidR="00107C19" w:rsidRPr="00107C19" w14:paraId="4D2DB705" w14:textId="77777777" w:rsidTr="00A52576">
        <w:trPr>
          <w:trHeight w:val="318"/>
          <w:tblHeader/>
          <w:jc w:val="center"/>
        </w:trPr>
        <w:tc>
          <w:tcPr>
            <w:tcW w:w="3402"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71F8EC88" w14:textId="77777777" w:rsidR="009175A4" w:rsidRPr="00107C19" w:rsidRDefault="009175A4" w:rsidP="00237545">
            <w:pPr>
              <w:pStyle w:val="TableHeading"/>
              <w:rPr>
                <w:color w:val="000000" w:themeColor="text1"/>
              </w:rPr>
            </w:pPr>
            <w:r w:rsidRPr="00107C19">
              <w:rPr>
                <w:color w:val="000000" w:themeColor="text1"/>
              </w:rPr>
              <w:t>Collaborative relationships</w:t>
            </w:r>
          </w:p>
        </w:tc>
        <w:tc>
          <w:tcPr>
            <w:tcW w:w="1431" w:type="dxa"/>
            <w:tcBorders>
              <w:top w:val="single" w:sz="4" w:space="0" w:color="auto"/>
              <w:left w:val="nil"/>
              <w:bottom w:val="single" w:sz="4" w:space="0" w:color="auto"/>
              <w:right w:val="single" w:sz="4" w:space="0" w:color="auto"/>
            </w:tcBorders>
            <w:shd w:val="clear" w:color="000000" w:fill="D9D9D9"/>
            <w:noWrap/>
            <w:vAlign w:val="center"/>
          </w:tcPr>
          <w:p w14:paraId="75970375" w14:textId="77777777" w:rsidR="009175A4" w:rsidRPr="00107C19" w:rsidRDefault="009175A4" w:rsidP="00A52576">
            <w:pPr>
              <w:pStyle w:val="TableHeading"/>
              <w:jc w:val="center"/>
              <w:rPr>
                <w:color w:val="000000" w:themeColor="text1"/>
              </w:rPr>
            </w:pPr>
            <w:r w:rsidRPr="00107C19">
              <w:rPr>
                <w:color w:val="000000" w:themeColor="text1"/>
              </w:rPr>
              <w:t>2019</w:t>
            </w:r>
          </w:p>
        </w:tc>
        <w:tc>
          <w:tcPr>
            <w:tcW w:w="1310" w:type="dxa"/>
            <w:tcBorders>
              <w:top w:val="single" w:sz="4" w:space="0" w:color="auto"/>
              <w:left w:val="nil"/>
              <w:bottom w:val="single" w:sz="4" w:space="0" w:color="auto"/>
              <w:right w:val="single" w:sz="4" w:space="0" w:color="auto"/>
            </w:tcBorders>
            <w:shd w:val="clear" w:color="000000" w:fill="D9D9D9"/>
            <w:vAlign w:val="center"/>
          </w:tcPr>
          <w:p w14:paraId="3D6C88A1" w14:textId="77777777" w:rsidR="009175A4" w:rsidRPr="00107C19" w:rsidRDefault="009175A4" w:rsidP="00A52576">
            <w:pPr>
              <w:pStyle w:val="TableHeading"/>
              <w:jc w:val="center"/>
              <w:rPr>
                <w:color w:val="000000" w:themeColor="text1"/>
              </w:rPr>
            </w:pPr>
            <w:r w:rsidRPr="00107C19">
              <w:rPr>
                <w:color w:val="000000" w:themeColor="text1"/>
              </w:rPr>
              <w:t>2020</w:t>
            </w:r>
          </w:p>
        </w:tc>
        <w:tc>
          <w:tcPr>
            <w:tcW w:w="1309" w:type="dxa"/>
            <w:tcBorders>
              <w:top w:val="single" w:sz="4" w:space="0" w:color="auto"/>
              <w:left w:val="nil"/>
              <w:bottom w:val="single" w:sz="4" w:space="0" w:color="auto"/>
              <w:right w:val="single" w:sz="4" w:space="0" w:color="auto"/>
            </w:tcBorders>
            <w:shd w:val="clear" w:color="000000" w:fill="D9D9D9"/>
            <w:vAlign w:val="center"/>
          </w:tcPr>
          <w:p w14:paraId="07C25C56" w14:textId="77777777" w:rsidR="009175A4" w:rsidRPr="00107C19" w:rsidRDefault="009175A4" w:rsidP="00A52576">
            <w:pPr>
              <w:pStyle w:val="TableHeading"/>
              <w:jc w:val="center"/>
              <w:rPr>
                <w:color w:val="000000" w:themeColor="text1"/>
              </w:rPr>
            </w:pPr>
            <w:r w:rsidRPr="00107C19">
              <w:rPr>
                <w:color w:val="000000" w:themeColor="text1"/>
              </w:rPr>
              <w:t>2021</w:t>
            </w:r>
          </w:p>
        </w:tc>
        <w:tc>
          <w:tcPr>
            <w:tcW w:w="1309" w:type="dxa"/>
            <w:tcBorders>
              <w:top w:val="single" w:sz="4" w:space="0" w:color="auto"/>
              <w:left w:val="nil"/>
              <w:bottom w:val="single" w:sz="4" w:space="0" w:color="auto"/>
              <w:right w:val="single" w:sz="4" w:space="0" w:color="auto"/>
            </w:tcBorders>
            <w:shd w:val="clear" w:color="000000" w:fill="D9D9D9"/>
            <w:vAlign w:val="center"/>
          </w:tcPr>
          <w:p w14:paraId="465D0C89" w14:textId="77777777" w:rsidR="009175A4" w:rsidRPr="00107C19" w:rsidRDefault="009175A4" w:rsidP="00A52576">
            <w:pPr>
              <w:pStyle w:val="TableHeading"/>
              <w:jc w:val="center"/>
              <w:rPr>
                <w:color w:val="000000" w:themeColor="text1"/>
              </w:rPr>
            </w:pPr>
            <w:r w:rsidRPr="00107C19">
              <w:rPr>
                <w:color w:val="000000" w:themeColor="text1"/>
              </w:rPr>
              <w:t>2022</w:t>
            </w:r>
          </w:p>
        </w:tc>
        <w:tc>
          <w:tcPr>
            <w:tcW w:w="1309" w:type="dxa"/>
            <w:tcBorders>
              <w:top w:val="single" w:sz="4" w:space="0" w:color="auto"/>
              <w:left w:val="nil"/>
              <w:bottom w:val="single" w:sz="4" w:space="0" w:color="auto"/>
              <w:right w:val="single" w:sz="4" w:space="0" w:color="auto"/>
            </w:tcBorders>
            <w:shd w:val="clear" w:color="000000" w:fill="D9D9D9"/>
            <w:vAlign w:val="center"/>
          </w:tcPr>
          <w:p w14:paraId="7AB6AD92" w14:textId="77777777" w:rsidR="009175A4" w:rsidRPr="00107C19" w:rsidRDefault="009175A4" w:rsidP="00A52576">
            <w:pPr>
              <w:pStyle w:val="TableHeading"/>
              <w:jc w:val="center"/>
              <w:rPr>
                <w:color w:val="000000" w:themeColor="text1"/>
              </w:rPr>
            </w:pPr>
            <w:r w:rsidRPr="00107C19">
              <w:rPr>
                <w:color w:val="000000" w:themeColor="text1"/>
              </w:rPr>
              <w:t>2023</w:t>
            </w:r>
          </w:p>
        </w:tc>
      </w:tr>
      <w:tr w:rsidR="00107C19" w:rsidRPr="00107C19" w14:paraId="26560D78" w14:textId="77777777" w:rsidTr="00A52576">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6DD313C1" w14:textId="77777777" w:rsidR="009175A4" w:rsidRPr="00107C19" w:rsidRDefault="009175A4" w:rsidP="00237545">
            <w:pPr>
              <w:pStyle w:val="TableHeading"/>
              <w:rPr>
                <w:b w:val="0"/>
                <w:bCs/>
                <w:color w:val="000000" w:themeColor="text1"/>
              </w:rPr>
            </w:pPr>
            <w:r w:rsidRPr="00107C19">
              <w:rPr>
                <w:b w:val="0"/>
                <w:bCs/>
                <w:color w:val="000000" w:themeColor="text1"/>
              </w:rPr>
              <w:t xml:space="preserve">Total number of active CRADAs </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55A9C441" w14:textId="77777777" w:rsidR="009175A4" w:rsidRPr="00107C19" w:rsidRDefault="009175A4" w:rsidP="00A52576">
            <w:pPr>
              <w:pStyle w:val="TableHeading"/>
              <w:jc w:val="center"/>
              <w:rPr>
                <w:b w:val="0"/>
                <w:bCs/>
                <w:color w:val="000000" w:themeColor="text1"/>
              </w:rPr>
            </w:pPr>
            <w:r w:rsidRPr="00107C19">
              <w:rPr>
                <w:b w:val="0"/>
                <w:bCs/>
                <w:color w:val="000000" w:themeColor="text1"/>
              </w:rPr>
              <w:t>193</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6CDAD63D" w14:textId="77777777" w:rsidR="009175A4" w:rsidRPr="00107C19" w:rsidRDefault="009175A4" w:rsidP="00A52576">
            <w:pPr>
              <w:pStyle w:val="TableHeading"/>
              <w:jc w:val="center"/>
              <w:rPr>
                <w:b w:val="0"/>
                <w:bCs/>
                <w:color w:val="000000" w:themeColor="text1"/>
              </w:rPr>
            </w:pPr>
            <w:r w:rsidRPr="00107C19">
              <w:rPr>
                <w:b w:val="0"/>
                <w:bCs/>
                <w:color w:val="000000" w:themeColor="text1"/>
              </w:rPr>
              <w:t>147</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2259E031" w14:textId="77777777" w:rsidR="009175A4" w:rsidRPr="00107C19" w:rsidRDefault="009175A4" w:rsidP="00A52576">
            <w:pPr>
              <w:pStyle w:val="TableHeading"/>
              <w:jc w:val="center"/>
              <w:rPr>
                <w:b w:val="0"/>
                <w:bCs/>
                <w:color w:val="000000" w:themeColor="text1"/>
              </w:rPr>
            </w:pPr>
            <w:r w:rsidRPr="00107C19">
              <w:rPr>
                <w:b w:val="0"/>
                <w:bCs/>
                <w:color w:val="000000" w:themeColor="text1"/>
              </w:rPr>
              <w:t>164</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6CFA7F5B" w14:textId="77777777" w:rsidR="009175A4" w:rsidRPr="00107C19" w:rsidRDefault="009175A4" w:rsidP="00A52576">
            <w:pPr>
              <w:pStyle w:val="TableHeading"/>
              <w:jc w:val="center"/>
              <w:rPr>
                <w:b w:val="0"/>
                <w:bCs/>
                <w:color w:val="000000" w:themeColor="text1"/>
              </w:rPr>
            </w:pPr>
            <w:r w:rsidRPr="00107C19">
              <w:rPr>
                <w:b w:val="0"/>
                <w:bCs/>
                <w:color w:val="000000" w:themeColor="text1"/>
              </w:rPr>
              <w:t>162</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60F4B1CE" w14:textId="2569D371" w:rsidR="009175A4" w:rsidRPr="00107C19" w:rsidRDefault="0035267F" w:rsidP="00A52576">
            <w:pPr>
              <w:pStyle w:val="TableHeading"/>
              <w:jc w:val="center"/>
              <w:rPr>
                <w:b w:val="0"/>
                <w:bCs/>
                <w:color w:val="000000" w:themeColor="text1"/>
              </w:rPr>
            </w:pPr>
            <w:r w:rsidRPr="00107C19">
              <w:rPr>
                <w:b w:val="0"/>
                <w:bCs/>
                <w:color w:val="000000" w:themeColor="text1"/>
              </w:rPr>
              <w:t>1</w:t>
            </w:r>
            <w:r w:rsidR="00533848" w:rsidRPr="00107C19">
              <w:rPr>
                <w:b w:val="0"/>
                <w:bCs/>
                <w:color w:val="000000" w:themeColor="text1"/>
              </w:rPr>
              <w:t>37</w:t>
            </w:r>
          </w:p>
        </w:tc>
      </w:tr>
      <w:tr w:rsidR="00107C19" w:rsidRPr="00107C19" w14:paraId="02E6915E" w14:textId="77777777" w:rsidTr="00A52576">
        <w:trPr>
          <w:trHeight w:val="350"/>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F8212" w14:textId="77777777" w:rsidR="009175A4" w:rsidRPr="00107C19" w:rsidRDefault="009175A4" w:rsidP="00237545">
            <w:pPr>
              <w:pStyle w:val="TableHeading"/>
              <w:rPr>
                <w:b w:val="0"/>
                <w:bCs/>
                <w:color w:val="000000" w:themeColor="text1"/>
              </w:rPr>
            </w:pPr>
            <w:r w:rsidRPr="00107C19">
              <w:rPr>
                <w:b w:val="0"/>
                <w:bCs/>
                <w:color w:val="000000" w:themeColor="text1"/>
              </w:rPr>
              <w:t xml:space="preserve">Active CRADAs with small businesses </w:t>
            </w:r>
          </w:p>
        </w:tc>
        <w:tc>
          <w:tcPr>
            <w:tcW w:w="1431" w:type="dxa"/>
            <w:tcBorders>
              <w:top w:val="single" w:sz="4" w:space="0" w:color="auto"/>
              <w:left w:val="nil"/>
              <w:bottom w:val="single" w:sz="4" w:space="0" w:color="auto"/>
              <w:right w:val="single" w:sz="4" w:space="0" w:color="auto"/>
            </w:tcBorders>
            <w:noWrap/>
            <w:vAlign w:val="center"/>
          </w:tcPr>
          <w:p w14:paraId="5B3DBF55" w14:textId="77777777" w:rsidR="009175A4" w:rsidRPr="00107C19" w:rsidRDefault="009175A4" w:rsidP="00A52576">
            <w:pPr>
              <w:pStyle w:val="TableHeading"/>
              <w:jc w:val="center"/>
              <w:rPr>
                <w:b w:val="0"/>
                <w:bCs/>
                <w:color w:val="000000" w:themeColor="text1"/>
              </w:rPr>
            </w:pPr>
            <w:r w:rsidRPr="00107C19">
              <w:rPr>
                <w:b w:val="0"/>
                <w:bCs/>
                <w:color w:val="000000" w:themeColor="text1"/>
              </w:rPr>
              <w:t>120</w:t>
            </w:r>
          </w:p>
        </w:tc>
        <w:tc>
          <w:tcPr>
            <w:tcW w:w="1310" w:type="dxa"/>
            <w:tcBorders>
              <w:top w:val="single" w:sz="4" w:space="0" w:color="auto"/>
              <w:left w:val="nil"/>
              <w:bottom w:val="single" w:sz="4" w:space="0" w:color="auto"/>
              <w:right w:val="single" w:sz="4" w:space="0" w:color="auto"/>
            </w:tcBorders>
            <w:vAlign w:val="center"/>
          </w:tcPr>
          <w:p w14:paraId="6AE21511" w14:textId="77777777" w:rsidR="009175A4" w:rsidRPr="00107C19" w:rsidRDefault="009175A4" w:rsidP="00A52576">
            <w:pPr>
              <w:pStyle w:val="TableHeading"/>
              <w:jc w:val="center"/>
              <w:rPr>
                <w:b w:val="0"/>
                <w:bCs/>
                <w:color w:val="000000" w:themeColor="text1"/>
              </w:rPr>
            </w:pPr>
            <w:r w:rsidRPr="00107C19">
              <w:rPr>
                <w:b w:val="0"/>
                <w:bCs/>
                <w:color w:val="000000" w:themeColor="text1"/>
              </w:rPr>
              <w:t>64</w:t>
            </w:r>
          </w:p>
        </w:tc>
        <w:tc>
          <w:tcPr>
            <w:tcW w:w="1309" w:type="dxa"/>
            <w:tcBorders>
              <w:top w:val="single" w:sz="4" w:space="0" w:color="auto"/>
              <w:left w:val="nil"/>
              <w:bottom w:val="single" w:sz="4" w:space="0" w:color="auto"/>
              <w:right w:val="single" w:sz="4" w:space="0" w:color="auto"/>
            </w:tcBorders>
            <w:vAlign w:val="center"/>
          </w:tcPr>
          <w:p w14:paraId="7E4F0A4F" w14:textId="77777777" w:rsidR="009175A4" w:rsidRPr="00107C19" w:rsidRDefault="009175A4" w:rsidP="00A52576">
            <w:pPr>
              <w:pStyle w:val="TableHeading"/>
              <w:jc w:val="center"/>
              <w:rPr>
                <w:b w:val="0"/>
                <w:bCs/>
                <w:color w:val="000000" w:themeColor="text1"/>
              </w:rPr>
            </w:pPr>
            <w:r w:rsidRPr="00107C19">
              <w:rPr>
                <w:b w:val="0"/>
                <w:bCs/>
                <w:color w:val="000000" w:themeColor="text1"/>
              </w:rPr>
              <w:t>24</w:t>
            </w:r>
          </w:p>
        </w:tc>
        <w:tc>
          <w:tcPr>
            <w:tcW w:w="1309" w:type="dxa"/>
            <w:tcBorders>
              <w:top w:val="single" w:sz="4" w:space="0" w:color="auto"/>
              <w:left w:val="nil"/>
              <w:bottom w:val="single" w:sz="4" w:space="0" w:color="auto"/>
              <w:right w:val="single" w:sz="4" w:space="0" w:color="auto"/>
            </w:tcBorders>
            <w:vAlign w:val="center"/>
          </w:tcPr>
          <w:p w14:paraId="394B7083" w14:textId="77777777" w:rsidR="009175A4" w:rsidRPr="00107C19" w:rsidRDefault="009175A4" w:rsidP="00A52576">
            <w:pPr>
              <w:pStyle w:val="TableHeading"/>
              <w:jc w:val="center"/>
              <w:rPr>
                <w:b w:val="0"/>
                <w:bCs/>
                <w:color w:val="000000" w:themeColor="text1"/>
              </w:rPr>
            </w:pPr>
            <w:r w:rsidRPr="00107C19">
              <w:rPr>
                <w:b w:val="0"/>
                <w:bCs/>
                <w:color w:val="000000" w:themeColor="text1"/>
              </w:rPr>
              <w:t>28</w:t>
            </w:r>
          </w:p>
        </w:tc>
        <w:tc>
          <w:tcPr>
            <w:tcW w:w="1309" w:type="dxa"/>
            <w:tcBorders>
              <w:top w:val="single" w:sz="4" w:space="0" w:color="auto"/>
              <w:left w:val="nil"/>
              <w:bottom w:val="single" w:sz="4" w:space="0" w:color="auto"/>
              <w:right w:val="single" w:sz="4" w:space="0" w:color="auto"/>
            </w:tcBorders>
            <w:vAlign w:val="center"/>
          </w:tcPr>
          <w:p w14:paraId="1E281627" w14:textId="050B44C5" w:rsidR="009175A4" w:rsidRPr="00107C19" w:rsidRDefault="004D3FB4" w:rsidP="00A52576">
            <w:pPr>
              <w:pStyle w:val="TableHeading"/>
              <w:jc w:val="center"/>
              <w:rPr>
                <w:b w:val="0"/>
                <w:bCs/>
                <w:color w:val="000000" w:themeColor="text1"/>
              </w:rPr>
            </w:pPr>
            <w:r w:rsidRPr="00107C19">
              <w:rPr>
                <w:b w:val="0"/>
                <w:bCs/>
                <w:color w:val="000000" w:themeColor="text1"/>
              </w:rPr>
              <w:t>29</w:t>
            </w:r>
          </w:p>
        </w:tc>
      </w:tr>
      <w:tr w:rsidR="00107C19" w:rsidRPr="00107C19" w14:paraId="24799479"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6263634A" w14:textId="77777777" w:rsidR="009175A4" w:rsidRPr="00107C19" w:rsidRDefault="009175A4" w:rsidP="00237545">
            <w:pPr>
              <w:pStyle w:val="TableHeading"/>
              <w:rPr>
                <w:b w:val="0"/>
                <w:bCs/>
                <w:color w:val="000000" w:themeColor="text1"/>
              </w:rPr>
            </w:pPr>
            <w:r w:rsidRPr="00107C19">
              <w:rPr>
                <w:b w:val="0"/>
                <w:bCs/>
                <w:color w:val="000000" w:themeColor="text1"/>
              </w:rPr>
              <w:t xml:space="preserve">Total number of newly executed CRADAs </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19E50B2B" w14:textId="77777777" w:rsidR="009175A4" w:rsidRPr="00107C19" w:rsidRDefault="009175A4" w:rsidP="00B2036B">
            <w:pPr>
              <w:pStyle w:val="TableHeading"/>
              <w:jc w:val="center"/>
              <w:rPr>
                <w:b w:val="0"/>
                <w:bCs/>
                <w:color w:val="000000" w:themeColor="text1"/>
              </w:rPr>
            </w:pPr>
            <w:r w:rsidRPr="00107C19">
              <w:rPr>
                <w:b w:val="0"/>
                <w:bCs/>
                <w:color w:val="000000" w:themeColor="text1"/>
              </w:rPr>
              <w:t>56</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02EA2FB7" w14:textId="77777777" w:rsidR="009175A4" w:rsidRPr="00107C19" w:rsidRDefault="009175A4" w:rsidP="00B2036B">
            <w:pPr>
              <w:pStyle w:val="TableHeading"/>
              <w:jc w:val="center"/>
              <w:rPr>
                <w:b w:val="0"/>
                <w:bCs/>
                <w:color w:val="000000" w:themeColor="text1"/>
              </w:rPr>
            </w:pPr>
            <w:r w:rsidRPr="00107C19">
              <w:rPr>
                <w:b w:val="0"/>
                <w:bCs/>
                <w:color w:val="000000" w:themeColor="text1"/>
              </w:rPr>
              <w:t>28</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6D3530B5" w14:textId="77777777" w:rsidR="009175A4" w:rsidRPr="00107C19" w:rsidRDefault="009175A4" w:rsidP="00B2036B">
            <w:pPr>
              <w:pStyle w:val="TableHeading"/>
              <w:jc w:val="center"/>
              <w:rPr>
                <w:b w:val="0"/>
                <w:bCs/>
                <w:color w:val="000000" w:themeColor="text1"/>
              </w:rPr>
            </w:pPr>
            <w:r w:rsidRPr="00107C19">
              <w:rPr>
                <w:b w:val="0"/>
                <w:bCs/>
                <w:color w:val="000000" w:themeColor="text1"/>
              </w:rPr>
              <w:t>31</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2C9A768F" w14:textId="77777777" w:rsidR="009175A4" w:rsidRPr="00107C19" w:rsidRDefault="009175A4" w:rsidP="00B2036B">
            <w:pPr>
              <w:pStyle w:val="TableHeading"/>
              <w:jc w:val="center"/>
              <w:rPr>
                <w:b w:val="0"/>
                <w:bCs/>
                <w:color w:val="000000" w:themeColor="text1"/>
              </w:rPr>
            </w:pPr>
            <w:r w:rsidRPr="00107C19">
              <w:rPr>
                <w:b w:val="0"/>
                <w:bCs/>
                <w:color w:val="000000" w:themeColor="text1"/>
              </w:rPr>
              <w:t>43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3CC31E98" w14:textId="493BCCCD" w:rsidR="009175A4" w:rsidRPr="00107C19" w:rsidRDefault="00533848" w:rsidP="00B2036B">
            <w:pPr>
              <w:pStyle w:val="TableHeading"/>
              <w:jc w:val="center"/>
              <w:rPr>
                <w:b w:val="0"/>
                <w:bCs/>
                <w:color w:val="000000" w:themeColor="text1"/>
              </w:rPr>
            </w:pPr>
            <w:r w:rsidRPr="00107C19">
              <w:rPr>
                <w:b w:val="0"/>
                <w:bCs/>
                <w:color w:val="000000" w:themeColor="text1"/>
              </w:rPr>
              <w:t>57</w:t>
            </w:r>
          </w:p>
        </w:tc>
      </w:tr>
      <w:tr w:rsidR="00107C19" w:rsidRPr="00107C19" w14:paraId="430BCBDF"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1A4F8" w14:textId="77777777" w:rsidR="009175A4" w:rsidRPr="00107C19" w:rsidRDefault="009175A4" w:rsidP="00237545">
            <w:pPr>
              <w:pStyle w:val="TableHeading"/>
              <w:rPr>
                <w:b w:val="0"/>
                <w:bCs/>
                <w:color w:val="000000" w:themeColor="text1"/>
              </w:rPr>
            </w:pPr>
            <w:r w:rsidRPr="00107C19">
              <w:rPr>
                <w:b w:val="0"/>
                <w:bCs/>
                <w:color w:val="000000" w:themeColor="text1"/>
              </w:rPr>
              <w:t>Newly executed CRADAs with small businesses</w:t>
            </w:r>
          </w:p>
        </w:tc>
        <w:tc>
          <w:tcPr>
            <w:tcW w:w="1431" w:type="dxa"/>
            <w:tcBorders>
              <w:top w:val="single" w:sz="4" w:space="0" w:color="auto"/>
              <w:left w:val="nil"/>
              <w:bottom w:val="single" w:sz="4" w:space="0" w:color="auto"/>
              <w:right w:val="single" w:sz="4" w:space="0" w:color="auto"/>
            </w:tcBorders>
            <w:noWrap/>
            <w:vAlign w:val="center"/>
          </w:tcPr>
          <w:p w14:paraId="5C62B514" w14:textId="77777777" w:rsidR="009175A4" w:rsidRPr="00107C19" w:rsidRDefault="009175A4" w:rsidP="00B2036B">
            <w:pPr>
              <w:pStyle w:val="TableHeading"/>
              <w:jc w:val="center"/>
              <w:rPr>
                <w:b w:val="0"/>
                <w:bCs/>
                <w:color w:val="000000" w:themeColor="text1"/>
              </w:rPr>
            </w:pPr>
            <w:r w:rsidRPr="00107C19">
              <w:rPr>
                <w:b w:val="0"/>
                <w:bCs/>
                <w:color w:val="000000" w:themeColor="text1"/>
              </w:rPr>
              <w:t>38</w:t>
            </w:r>
          </w:p>
        </w:tc>
        <w:tc>
          <w:tcPr>
            <w:tcW w:w="1310" w:type="dxa"/>
            <w:tcBorders>
              <w:top w:val="single" w:sz="4" w:space="0" w:color="auto"/>
              <w:left w:val="nil"/>
              <w:bottom w:val="single" w:sz="4" w:space="0" w:color="auto"/>
              <w:right w:val="single" w:sz="4" w:space="0" w:color="auto"/>
            </w:tcBorders>
            <w:vAlign w:val="center"/>
          </w:tcPr>
          <w:p w14:paraId="51C9AB30" w14:textId="77777777" w:rsidR="009175A4" w:rsidRPr="00107C19" w:rsidRDefault="009175A4" w:rsidP="00B2036B">
            <w:pPr>
              <w:pStyle w:val="TableHeading"/>
              <w:jc w:val="center"/>
              <w:rPr>
                <w:b w:val="0"/>
                <w:bCs/>
                <w:color w:val="000000" w:themeColor="text1"/>
              </w:rPr>
            </w:pPr>
            <w:r w:rsidRPr="00107C19">
              <w:rPr>
                <w:b w:val="0"/>
                <w:bCs/>
                <w:color w:val="000000" w:themeColor="text1"/>
              </w:rPr>
              <w:t>19</w:t>
            </w:r>
          </w:p>
        </w:tc>
        <w:tc>
          <w:tcPr>
            <w:tcW w:w="1309" w:type="dxa"/>
            <w:tcBorders>
              <w:top w:val="single" w:sz="4" w:space="0" w:color="auto"/>
              <w:left w:val="nil"/>
              <w:bottom w:val="single" w:sz="4" w:space="0" w:color="auto"/>
              <w:right w:val="single" w:sz="4" w:space="0" w:color="auto"/>
            </w:tcBorders>
            <w:vAlign w:val="center"/>
          </w:tcPr>
          <w:p w14:paraId="40B931FF" w14:textId="77777777" w:rsidR="009175A4" w:rsidRPr="00107C19" w:rsidRDefault="009175A4" w:rsidP="00B2036B">
            <w:pPr>
              <w:pStyle w:val="TableHeading"/>
              <w:jc w:val="center"/>
              <w:rPr>
                <w:b w:val="0"/>
                <w:bCs/>
                <w:color w:val="000000" w:themeColor="text1"/>
              </w:rPr>
            </w:pPr>
            <w:r w:rsidRPr="00107C19">
              <w:rPr>
                <w:b w:val="0"/>
                <w:bCs/>
                <w:color w:val="000000" w:themeColor="text1"/>
              </w:rPr>
              <w:t>12</w:t>
            </w:r>
          </w:p>
        </w:tc>
        <w:tc>
          <w:tcPr>
            <w:tcW w:w="1309" w:type="dxa"/>
            <w:tcBorders>
              <w:top w:val="single" w:sz="4" w:space="0" w:color="auto"/>
              <w:left w:val="nil"/>
              <w:bottom w:val="single" w:sz="4" w:space="0" w:color="auto"/>
              <w:right w:val="single" w:sz="4" w:space="0" w:color="auto"/>
            </w:tcBorders>
            <w:vAlign w:val="center"/>
          </w:tcPr>
          <w:p w14:paraId="1BBFCA26" w14:textId="77777777" w:rsidR="009175A4" w:rsidRPr="00107C19" w:rsidRDefault="009175A4" w:rsidP="00B2036B">
            <w:pPr>
              <w:pStyle w:val="TableHeading"/>
              <w:jc w:val="center"/>
              <w:rPr>
                <w:b w:val="0"/>
                <w:bCs/>
                <w:color w:val="000000" w:themeColor="text1"/>
              </w:rPr>
            </w:pPr>
            <w:r w:rsidRPr="00107C19">
              <w:rPr>
                <w:b w:val="0"/>
                <w:bCs/>
                <w:color w:val="000000" w:themeColor="text1"/>
              </w:rPr>
              <w:t>19</w:t>
            </w:r>
          </w:p>
        </w:tc>
        <w:tc>
          <w:tcPr>
            <w:tcW w:w="1309" w:type="dxa"/>
            <w:tcBorders>
              <w:top w:val="single" w:sz="4" w:space="0" w:color="auto"/>
              <w:left w:val="nil"/>
              <w:bottom w:val="single" w:sz="4" w:space="0" w:color="auto"/>
              <w:right w:val="single" w:sz="4" w:space="0" w:color="auto"/>
            </w:tcBorders>
            <w:vAlign w:val="center"/>
          </w:tcPr>
          <w:p w14:paraId="27BAC45C" w14:textId="17DAA457" w:rsidR="009175A4" w:rsidRPr="00107C19" w:rsidRDefault="00EE7351" w:rsidP="00B2036B">
            <w:pPr>
              <w:pStyle w:val="TableHeading"/>
              <w:jc w:val="center"/>
              <w:rPr>
                <w:b w:val="0"/>
                <w:bCs/>
                <w:color w:val="000000" w:themeColor="text1"/>
              </w:rPr>
            </w:pPr>
            <w:r w:rsidRPr="00107C19">
              <w:rPr>
                <w:b w:val="0"/>
                <w:bCs/>
                <w:color w:val="000000" w:themeColor="text1"/>
              </w:rPr>
              <w:t>18</w:t>
            </w:r>
          </w:p>
        </w:tc>
      </w:tr>
      <w:tr w:rsidR="00107C19" w:rsidRPr="00107C19" w14:paraId="4E40FBC6"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90AAC" w14:textId="77777777" w:rsidR="009175A4" w:rsidRPr="00107C19" w:rsidRDefault="009175A4" w:rsidP="00237545">
            <w:pPr>
              <w:pStyle w:val="TableHeading"/>
              <w:rPr>
                <w:b w:val="0"/>
                <w:bCs/>
                <w:color w:val="000000" w:themeColor="text1"/>
              </w:rPr>
            </w:pPr>
            <w:r w:rsidRPr="00107C19">
              <w:rPr>
                <w:b w:val="0"/>
                <w:bCs/>
                <w:color w:val="000000" w:themeColor="text1"/>
              </w:rPr>
              <w:t xml:space="preserve">Newly executed CRADA funds to be received </w:t>
            </w:r>
          </w:p>
        </w:tc>
        <w:tc>
          <w:tcPr>
            <w:tcW w:w="1431" w:type="dxa"/>
            <w:tcBorders>
              <w:top w:val="single" w:sz="4" w:space="0" w:color="auto"/>
              <w:left w:val="nil"/>
              <w:bottom w:val="single" w:sz="4" w:space="0" w:color="auto"/>
              <w:right w:val="single" w:sz="4" w:space="0" w:color="auto"/>
            </w:tcBorders>
            <w:noWrap/>
            <w:vAlign w:val="center"/>
          </w:tcPr>
          <w:p w14:paraId="283B281A" w14:textId="77777777" w:rsidR="009175A4" w:rsidRPr="00107C19" w:rsidRDefault="009175A4" w:rsidP="00B2036B">
            <w:pPr>
              <w:pStyle w:val="TableHeading"/>
              <w:jc w:val="center"/>
              <w:rPr>
                <w:b w:val="0"/>
                <w:bCs/>
                <w:color w:val="000000" w:themeColor="text1"/>
              </w:rPr>
            </w:pPr>
            <w:r w:rsidRPr="00107C19">
              <w:rPr>
                <w:b w:val="0"/>
                <w:bCs/>
                <w:color w:val="000000" w:themeColor="text1"/>
              </w:rPr>
              <w:t>$3,280,189</w:t>
            </w:r>
          </w:p>
        </w:tc>
        <w:tc>
          <w:tcPr>
            <w:tcW w:w="1310" w:type="dxa"/>
            <w:tcBorders>
              <w:top w:val="single" w:sz="4" w:space="0" w:color="auto"/>
              <w:left w:val="nil"/>
              <w:bottom w:val="single" w:sz="4" w:space="0" w:color="auto"/>
              <w:right w:val="single" w:sz="4" w:space="0" w:color="auto"/>
            </w:tcBorders>
            <w:vAlign w:val="center"/>
          </w:tcPr>
          <w:p w14:paraId="007E2918" w14:textId="77777777" w:rsidR="009175A4" w:rsidRPr="00107C19" w:rsidRDefault="009175A4" w:rsidP="00B2036B">
            <w:pPr>
              <w:pStyle w:val="TableHeading"/>
              <w:jc w:val="center"/>
              <w:rPr>
                <w:b w:val="0"/>
                <w:bCs/>
                <w:color w:val="000000" w:themeColor="text1"/>
              </w:rPr>
            </w:pPr>
            <w:r w:rsidRPr="00107C19">
              <w:rPr>
                <w:b w:val="0"/>
                <w:bCs/>
                <w:color w:val="000000" w:themeColor="text1"/>
              </w:rPr>
              <w:t>$1,242,717</w:t>
            </w:r>
          </w:p>
        </w:tc>
        <w:tc>
          <w:tcPr>
            <w:tcW w:w="1309" w:type="dxa"/>
            <w:tcBorders>
              <w:top w:val="single" w:sz="4" w:space="0" w:color="auto"/>
              <w:left w:val="nil"/>
              <w:bottom w:val="single" w:sz="4" w:space="0" w:color="auto"/>
              <w:right w:val="single" w:sz="4" w:space="0" w:color="auto"/>
            </w:tcBorders>
            <w:vAlign w:val="center"/>
          </w:tcPr>
          <w:p w14:paraId="02FB2150" w14:textId="77777777" w:rsidR="009175A4" w:rsidRPr="00107C19" w:rsidRDefault="009175A4" w:rsidP="00B2036B">
            <w:pPr>
              <w:pStyle w:val="TableHeading"/>
              <w:jc w:val="center"/>
              <w:rPr>
                <w:b w:val="0"/>
                <w:bCs/>
                <w:color w:val="000000" w:themeColor="text1"/>
              </w:rPr>
            </w:pPr>
            <w:r w:rsidRPr="00107C19">
              <w:rPr>
                <w:b w:val="0"/>
                <w:bCs/>
                <w:color w:val="000000" w:themeColor="text1"/>
              </w:rPr>
              <w:t>$1,860,629</w:t>
            </w:r>
          </w:p>
        </w:tc>
        <w:tc>
          <w:tcPr>
            <w:tcW w:w="1309" w:type="dxa"/>
            <w:tcBorders>
              <w:top w:val="single" w:sz="4" w:space="0" w:color="auto"/>
              <w:left w:val="nil"/>
              <w:bottom w:val="single" w:sz="4" w:space="0" w:color="auto"/>
              <w:right w:val="single" w:sz="4" w:space="0" w:color="auto"/>
            </w:tcBorders>
            <w:vAlign w:val="center"/>
          </w:tcPr>
          <w:p w14:paraId="7739B840" w14:textId="77777777" w:rsidR="009175A4" w:rsidRPr="00107C19" w:rsidRDefault="009175A4" w:rsidP="00B2036B">
            <w:pPr>
              <w:pStyle w:val="TableHeading"/>
              <w:jc w:val="center"/>
              <w:rPr>
                <w:b w:val="0"/>
                <w:bCs/>
                <w:color w:val="000000" w:themeColor="text1"/>
              </w:rPr>
            </w:pPr>
            <w:r w:rsidRPr="00107C19">
              <w:rPr>
                <w:b w:val="0"/>
                <w:bCs/>
                <w:color w:val="000000" w:themeColor="text1"/>
              </w:rPr>
              <w:t>$4,351,791</w:t>
            </w:r>
          </w:p>
        </w:tc>
        <w:tc>
          <w:tcPr>
            <w:tcW w:w="1309" w:type="dxa"/>
            <w:tcBorders>
              <w:top w:val="single" w:sz="4" w:space="0" w:color="auto"/>
              <w:left w:val="nil"/>
              <w:bottom w:val="single" w:sz="4" w:space="0" w:color="auto"/>
              <w:right w:val="single" w:sz="4" w:space="0" w:color="auto"/>
            </w:tcBorders>
            <w:vAlign w:val="center"/>
          </w:tcPr>
          <w:p w14:paraId="7C5E71CF" w14:textId="7B5368B9" w:rsidR="009175A4" w:rsidRPr="00107C19" w:rsidRDefault="006C1BA3" w:rsidP="00B2036B">
            <w:pPr>
              <w:pStyle w:val="TableHeading"/>
              <w:jc w:val="center"/>
              <w:rPr>
                <w:b w:val="0"/>
                <w:bCs/>
                <w:color w:val="000000" w:themeColor="text1"/>
              </w:rPr>
            </w:pPr>
            <w:r w:rsidRPr="00107C19">
              <w:rPr>
                <w:b w:val="0"/>
                <w:bCs/>
                <w:color w:val="000000" w:themeColor="text1"/>
              </w:rPr>
              <w:t>$</w:t>
            </w:r>
            <w:r w:rsidR="00D604FE" w:rsidRPr="00107C19">
              <w:rPr>
                <w:b w:val="0"/>
                <w:bCs/>
                <w:color w:val="000000" w:themeColor="text1"/>
              </w:rPr>
              <w:t>2</w:t>
            </w:r>
            <w:r w:rsidRPr="00107C19">
              <w:rPr>
                <w:b w:val="0"/>
                <w:bCs/>
                <w:color w:val="000000" w:themeColor="text1"/>
              </w:rPr>
              <w:t>,</w:t>
            </w:r>
            <w:r w:rsidR="006D519D" w:rsidRPr="00107C19">
              <w:rPr>
                <w:b w:val="0"/>
                <w:bCs/>
                <w:color w:val="000000" w:themeColor="text1"/>
              </w:rPr>
              <w:t>338</w:t>
            </w:r>
            <w:r w:rsidR="005854EA" w:rsidRPr="00107C19">
              <w:rPr>
                <w:b w:val="0"/>
                <w:bCs/>
                <w:color w:val="000000" w:themeColor="text1"/>
              </w:rPr>
              <w:t>,</w:t>
            </w:r>
            <w:r w:rsidR="006D519D" w:rsidRPr="00107C19">
              <w:rPr>
                <w:b w:val="0"/>
                <w:bCs/>
                <w:color w:val="000000" w:themeColor="text1"/>
              </w:rPr>
              <w:t>016</w:t>
            </w:r>
          </w:p>
        </w:tc>
      </w:tr>
      <w:tr w:rsidR="00107C19" w:rsidRPr="00107C19" w14:paraId="7E578A6E" w14:textId="77777777" w:rsidTr="00B2036B">
        <w:trPr>
          <w:trHeight w:val="365"/>
          <w:jc w:val="center"/>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2E07B239" w14:textId="4CAB27B5" w:rsidR="009175A4" w:rsidRPr="00107C19" w:rsidRDefault="009175A4" w:rsidP="00237545">
            <w:pPr>
              <w:pStyle w:val="TableHeading"/>
              <w:rPr>
                <w:b w:val="0"/>
                <w:bCs/>
                <w:color w:val="000000" w:themeColor="text1"/>
              </w:rPr>
            </w:pPr>
            <w:r w:rsidRPr="00107C19">
              <w:rPr>
                <w:b w:val="0"/>
                <w:bCs/>
                <w:color w:val="000000" w:themeColor="text1"/>
              </w:rPr>
              <w:t>Total number of active MTRAs</w:t>
            </w:r>
            <w:r w:rsidR="004C6AAE" w:rsidRPr="00107C19">
              <w:rPr>
                <w:b w:val="0"/>
                <w:bCs/>
                <w:color w:val="000000" w:themeColor="text1"/>
                <w:vertAlign w:val="superscript"/>
              </w:rPr>
              <w:t>1</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784CFFA2" w14:textId="77777777" w:rsidR="009175A4" w:rsidRPr="00107C19" w:rsidRDefault="009175A4" w:rsidP="00B2036B">
            <w:pPr>
              <w:pStyle w:val="TableHeading"/>
              <w:jc w:val="center"/>
              <w:rPr>
                <w:b w:val="0"/>
                <w:bCs/>
                <w:color w:val="000000" w:themeColor="text1"/>
              </w:rPr>
            </w:pPr>
            <w:r w:rsidRPr="00107C19">
              <w:rPr>
                <w:b w:val="0"/>
                <w:bCs/>
                <w:color w:val="000000" w:themeColor="text1"/>
              </w:rPr>
              <w:t>292</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3CF7DC45" w14:textId="77777777" w:rsidR="009175A4" w:rsidRPr="00107C19" w:rsidRDefault="009175A4" w:rsidP="00B2036B">
            <w:pPr>
              <w:pStyle w:val="TableHeading"/>
              <w:jc w:val="center"/>
              <w:rPr>
                <w:b w:val="0"/>
                <w:bCs/>
                <w:color w:val="000000" w:themeColor="text1"/>
              </w:rPr>
            </w:pPr>
            <w:r w:rsidRPr="00107C19">
              <w:rPr>
                <w:b w:val="0"/>
                <w:bCs/>
                <w:color w:val="000000" w:themeColor="text1"/>
              </w:rPr>
              <w:t>323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0BCA04A2" w14:textId="77777777" w:rsidR="009175A4" w:rsidRPr="00107C19" w:rsidRDefault="009175A4" w:rsidP="00B2036B">
            <w:pPr>
              <w:pStyle w:val="TableHeading"/>
              <w:jc w:val="center"/>
              <w:rPr>
                <w:b w:val="0"/>
                <w:bCs/>
                <w:color w:val="000000" w:themeColor="text1"/>
              </w:rPr>
            </w:pPr>
            <w:r w:rsidRPr="00107C19">
              <w:rPr>
                <w:b w:val="0"/>
                <w:bCs/>
                <w:color w:val="000000" w:themeColor="text1"/>
              </w:rPr>
              <w:t>333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60206BDA" w14:textId="77777777" w:rsidR="009175A4" w:rsidRPr="00107C19" w:rsidRDefault="009175A4" w:rsidP="00B2036B">
            <w:pPr>
              <w:pStyle w:val="TableHeading"/>
              <w:jc w:val="center"/>
              <w:rPr>
                <w:b w:val="0"/>
                <w:bCs/>
                <w:color w:val="000000" w:themeColor="text1"/>
              </w:rPr>
            </w:pPr>
            <w:r w:rsidRPr="00107C19">
              <w:rPr>
                <w:b w:val="0"/>
                <w:bCs/>
                <w:color w:val="000000" w:themeColor="text1"/>
              </w:rPr>
              <w:t>343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56D68274" w14:textId="0C2D7226" w:rsidR="009175A4" w:rsidRPr="00107C19" w:rsidRDefault="00FE13E0" w:rsidP="00B2036B">
            <w:pPr>
              <w:pStyle w:val="TableHeading"/>
              <w:jc w:val="center"/>
              <w:rPr>
                <w:b w:val="0"/>
                <w:bCs/>
                <w:color w:val="000000" w:themeColor="text1"/>
              </w:rPr>
            </w:pPr>
            <w:r w:rsidRPr="00107C19">
              <w:rPr>
                <w:b w:val="0"/>
                <w:bCs/>
                <w:color w:val="000000" w:themeColor="text1"/>
              </w:rPr>
              <w:t>385</w:t>
            </w:r>
          </w:p>
        </w:tc>
      </w:tr>
      <w:tr w:rsidR="00107C19" w:rsidRPr="00107C19" w14:paraId="3FC3D247"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6AC8C" w14:textId="77777777" w:rsidR="009175A4" w:rsidRPr="00107C19" w:rsidRDefault="009175A4" w:rsidP="00237545">
            <w:pPr>
              <w:pStyle w:val="TableHeading"/>
              <w:rPr>
                <w:b w:val="0"/>
                <w:bCs/>
                <w:color w:val="000000" w:themeColor="text1"/>
              </w:rPr>
            </w:pPr>
            <w:r w:rsidRPr="00107C19">
              <w:rPr>
                <w:b w:val="0"/>
                <w:bCs/>
                <w:color w:val="000000" w:themeColor="text1"/>
              </w:rPr>
              <w:t>Active MTRAs with small businesses</w:t>
            </w:r>
          </w:p>
        </w:tc>
        <w:tc>
          <w:tcPr>
            <w:tcW w:w="1431" w:type="dxa"/>
            <w:tcBorders>
              <w:top w:val="single" w:sz="4" w:space="0" w:color="auto"/>
              <w:left w:val="nil"/>
              <w:bottom w:val="single" w:sz="4" w:space="0" w:color="auto"/>
              <w:right w:val="single" w:sz="4" w:space="0" w:color="auto"/>
            </w:tcBorders>
            <w:noWrap/>
            <w:vAlign w:val="center"/>
          </w:tcPr>
          <w:p w14:paraId="20F66A2D"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10" w:type="dxa"/>
            <w:tcBorders>
              <w:top w:val="single" w:sz="4" w:space="0" w:color="auto"/>
              <w:left w:val="nil"/>
              <w:bottom w:val="single" w:sz="4" w:space="0" w:color="auto"/>
              <w:right w:val="single" w:sz="4" w:space="0" w:color="auto"/>
            </w:tcBorders>
            <w:vAlign w:val="center"/>
          </w:tcPr>
          <w:p w14:paraId="285408CE"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09" w:type="dxa"/>
            <w:tcBorders>
              <w:top w:val="single" w:sz="4" w:space="0" w:color="auto"/>
              <w:left w:val="nil"/>
              <w:bottom w:val="single" w:sz="4" w:space="0" w:color="auto"/>
              <w:right w:val="single" w:sz="4" w:space="0" w:color="auto"/>
            </w:tcBorders>
            <w:vAlign w:val="center"/>
          </w:tcPr>
          <w:p w14:paraId="3AE2931D"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09" w:type="dxa"/>
            <w:tcBorders>
              <w:top w:val="single" w:sz="4" w:space="0" w:color="auto"/>
              <w:left w:val="nil"/>
              <w:bottom w:val="single" w:sz="4" w:space="0" w:color="auto"/>
              <w:right w:val="single" w:sz="4" w:space="0" w:color="auto"/>
            </w:tcBorders>
            <w:vAlign w:val="center"/>
          </w:tcPr>
          <w:p w14:paraId="213295EE"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09" w:type="dxa"/>
            <w:tcBorders>
              <w:top w:val="single" w:sz="4" w:space="0" w:color="auto"/>
              <w:left w:val="nil"/>
              <w:bottom w:val="single" w:sz="4" w:space="0" w:color="auto"/>
              <w:right w:val="single" w:sz="4" w:space="0" w:color="auto"/>
            </w:tcBorders>
            <w:vAlign w:val="center"/>
          </w:tcPr>
          <w:p w14:paraId="2CAE8F7F" w14:textId="68DE53DC" w:rsidR="009175A4" w:rsidRPr="00107C19" w:rsidRDefault="00DD0233" w:rsidP="00B2036B">
            <w:pPr>
              <w:pStyle w:val="TableHeading"/>
              <w:jc w:val="center"/>
              <w:rPr>
                <w:b w:val="0"/>
                <w:bCs/>
                <w:color w:val="000000" w:themeColor="text1"/>
              </w:rPr>
            </w:pPr>
            <w:r w:rsidRPr="00107C19">
              <w:rPr>
                <w:b w:val="0"/>
                <w:bCs/>
                <w:color w:val="000000" w:themeColor="text1"/>
              </w:rPr>
              <w:t>ND</w:t>
            </w:r>
          </w:p>
        </w:tc>
      </w:tr>
      <w:tr w:rsidR="00107C19" w:rsidRPr="00107C19" w14:paraId="7C857AAE"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6D126" w14:textId="77777777" w:rsidR="009175A4" w:rsidRPr="00107C19" w:rsidRDefault="009175A4" w:rsidP="00237545">
            <w:pPr>
              <w:pStyle w:val="TableHeading"/>
              <w:rPr>
                <w:b w:val="0"/>
                <w:bCs/>
                <w:color w:val="000000" w:themeColor="text1"/>
              </w:rPr>
            </w:pPr>
            <w:r w:rsidRPr="00107C19">
              <w:rPr>
                <w:b w:val="0"/>
                <w:bCs/>
                <w:color w:val="000000" w:themeColor="text1"/>
              </w:rPr>
              <w:t>Total number of newly executed MTRAs</w:t>
            </w:r>
          </w:p>
        </w:tc>
        <w:tc>
          <w:tcPr>
            <w:tcW w:w="1431" w:type="dxa"/>
            <w:tcBorders>
              <w:top w:val="single" w:sz="4" w:space="0" w:color="auto"/>
              <w:left w:val="nil"/>
              <w:bottom w:val="single" w:sz="4" w:space="0" w:color="auto"/>
              <w:right w:val="single" w:sz="4" w:space="0" w:color="auto"/>
            </w:tcBorders>
            <w:shd w:val="clear" w:color="auto" w:fill="auto"/>
            <w:noWrap/>
            <w:vAlign w:val="center"/>
          </w:tcPr>
          <w:p w14:paraId="41727319" w14:textId="77777777" w:rsidR="009175A4" w:rsidRPr="00107C19" w:rsidRDefault="009175A4" w:rsidP="00B2036B">
            <w:pPr>
              <w:pStyle w:val="TableHeading"/>
              <w:jc w:val="center"/>
              <w:rPr>
                <w:b w:val="0"/>
                <w:bCs/>
                <w:color w:val="000000" w:themeColor="text1"/>
              </w:rPr>
            </w:pPr>
            <w:r w:rsidRPr="00107C19">
              <w:rPr>
                <w:b w:val="0"/>
                <w:bCs/>
                <w:color w:val="000000" w:themeColor="text1"/>
              </w:rPr>
              <w:t>100</w:t>
            </w:r>
          </w:p>
        </w:tc>
        <w:tc>
          <w:tcPr>
            <w:tcW w:w="1310" w:type="dxa"/>
            <w:tcBorders>
              <w:top w:val="single" w:sz="4" w:space="0" w:color="auto"/>
              <w:left w:val="nil"/>
              <w:bottom w:val="single" w:sz="4" w:space="0" w:color="auto"/>
              <w:right w:val="single" w:sz="4" w:space="0" w:color="auto"/>
            </w:tcBorders>
            <w:shd w:val="clear" w:color="auto" w:fill="auto"/>
            <w:vAlign w:val="center"/>
          </w:tcPr>
          <w:p w14:paraId="5EB66D2F" w14:textId="77777777" w:rsidR="009175A4" w:rsidRPr="00107C19" w:rsidRDefault="009175A4" w:rsidP="00B2036B">
            <w:pPr>
              <w:pStyle w:val="TableHeading"/>
              <w:jc w:val="center"/>
              <w:rPr>
                <w:b w:val="0"/>
                <w:bCs/>
                <w:color w:val="000000" w:themeColor="text1"/>
              </w:rPr>
            </w:pPr>
            <w:r w:rsidRPr="00107C19">
              <w:rPr>
                <w:b w:val="0"/>
                <w:bCs/>
                <w:color w:val="000000" w:themeColor="text1"/>
              </w:rPr>
              <w:t>106</w:t>
            </w:r>
          </w:p>
        </w:tc>
        <w:tc>
          <w:tcPr>
            <w:tcW w:w="1309" w:type="dxa"/>
            <w:tcBorders>
              <w:top w:val="single" w:sz="4" w:space="0" w:color="auto"/>
              <w:left w:val="nil"/>
              <w:bottom w:val="single" w:sz="4" w:space="0" w:color="auto"/>
              <w:right w:val="single" w:sz="4" w:space="0" w:color="auto"/>
            </w:tcBorders>
            <w:shd w:val="clear" w:color="auto" w:fill="auto"/>
            <w:vAlign w:val="center"/>
          </w:tcPr>
          <w:p w14:paraId="17877B85" w14:textId="77777777" w:rsidR="009175A4" w:rsidRPr="00107C19" w:rsidRDefault="009175A4" w:rsidP="00B2036B">
            <w:pPr>
              <w:pStyle w:val="TableHeading"/>
              <w:jc w:val="center"/>
              <w:rPr>
                <w:b w:val="0"/>
                <w:bCs/>
                <w:color w:val="000000" w:themeColor="text1"/>
              </w:rPr>
            </w:pPr>
            <w:r w:rsidRPr="00107C19">
              <w:rPr>
                <w:b w:val="0"/>
                <w:bCs/>
                <w:color w:val="000000" w:themeColor="text1"/>
              </w:rPr>
              <w:t>97</w:t>
            </w:r>
          </w:p>
        </w:tc>
        <w:tc>
          <w:tcPr>
            <w:tcW w:w="1309" w:type="dxa"/>
            <w:tcBorders>
              <w:top w:val="single" w:sz="4" w:space="0" w:color="auto"/>
              <w:left w:val="nil"/>
              <w:bottom w:val="single" w:sz="4" w:space="0" w:color="auto"/>
              <w:right w:val="single" w:sz="4" w:space="0" w:color="auto"/>
            </w:tcBorders>
            <w:shd w:val="clear" w:color="auto" w:fill="auto"/>
            <w:vAlign w:val="center"/>
          </w:tcPr>
          <w:p w14:paraId="439A4FD1" w14:textId="77777777" w:rsidR="009175A4" w:rsidRPr="00107C19" w:rsidRDefault="009175A4" w:rsidP="00B2036B">
            <w:pPr>
              <w:pStyle w:val="TableHeading"/>
              <w:jc w:val="center"/>
              <w:rPr>
                <w:b w:val="0"/>
                <w:bCs/>
                <w:color w:val="000000" w:themeColor="text1"/>
              </w:rPr>
            </w:pPr>
            <w:r w:rsidRPr="00107C19">
              <w:rPr>
                <w:b w:val="0"/>
                <w:bCs/>
                <w:color w:val="000000" w:themeColor="text1"/>
              </w:rPr>
              <w:t>95</w:t>
            </w:r>
          </w:p>
        </w:tc>
        <w:tc>
          <w:tcPr>
            <w:tcW w:w="1309" w:type="dxa"/>
            <w:tcBorders>
              <w:top w:val="single" w:sz="4" w:space="0" w:color="auto"/>
              <w:left w:val="nil"/>
              <w:bottom w:val="single" w:sz="4" w:space="0" w:color="auto"/>
              <w:right w:val="single" w:sz="4" w:space="0" w:color="auto"/>
            </w:tcBorders>
            <w:shd w:val="clear" w:color="auto" w:fill="auto"/>
            <w:vAlign w:val="center"/>
          </w:tcPr>
          <w:p w14:paraId="11F4EF1A" w14:textId="6FB56894" w:rsidR="009175A4" w:rsidRPr="00107C19" w:rsidRDefault="00DD0233" w:rsidP="00B2036B">
            <w:pPr>
              <w:pStyle w:val="TableHeading"/>
              <w:jc w:val="center"/>
              <w:rPr>
                <w:b w:val="0"/>
                <w:bCs/>
                <w:color w:val="000000" w:themeColor="text1"/>
              </w:rPr>
            </w:pPr>
            <w:r w:rsidRPr="00107C19">
              <w:rPr>
                <w:b w:val="0"/>
                <w:bCs/>
                <w:color w:val="000000" w:themeColor="text1"/>
              </w:rPr>
              <w:t>114</w:t>
            </w:r>
          </w:p>
        </w:tc>
      </w:tr>
      <w:tr w:rsidR="00107C19" w:rsidRPr="00107C19" w14:paraId="0AA63087"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054EE" w14:textId="77777777" w:rsidR="009175A4" w:rsidRPr="00107C19" w:rsidRDefault="009175A4" w:rsidP="00237545">
            <w:pPr>
              <w:pStyle w:val="TableHeading"/>
              <w:rPr>
                <w:b w:val="0"/>
                <w:bCs/>
                <w:color w:val="000000" w:themeColor="text1"/>
              </w:rPr>
            </w:pPr>
            <w:r w:rsidRPr="00107C19">
              <w:rPr>
                <w:b w:val="0"/>
                <w:bCs/>
                <w:color w:val="000000" w:themeColor="text1"/>
              </w:rPr>
              <w:t>Newly executed MTRAs with small businesses</w:t>
            </w:r>
          </w:p>
        </w:tc>
        <w:tc>
          <w:tcPr>
            <w:tcW w:w="1431" w:type="dxa"/>
            <w:tcBorders>
              <w:top w:val="single" w:sz="4" w:space="0" w:color="auto"/>
              <w:left w:val="nil"/>
              <w:bottom w:val="single" w:sz="4" w:space="0" w:color="auto"/>
              <w:right w:val="single" w:sz="4" w:space="0" w:color="auto"/>
            </w:tcBorders>
            <w:noWrap/>
            <w:vAlign w:val="center"/>
          </w:tcPr>
          <w:p w14:paraId="188701B6"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10" w:type="dxa"/>
            <w:tcBorders>
              <w:top w:val="single" w:sz="4" w:space="0" w:color="auto"/>
              <w:left w:val="nil"/>
              <w:bottom w:val="single" w:sz="4" w:space="0" w:color="auto"/>
              <w:right w:val="single" w:sz="4" w:space="0" w:color="auto"/>
            </w:tcBorders>
            <w:vAlign w:val="center"/>
          </w:tcPr>
          <w:p w14:paraId="0E594F07"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09" w:type="dxa"/>
            <w:tcBorders>
              <w:top w:val="single" w:sz="4" w:space="0" w:color="auto"/>
              <w:left w:val="nil"/>
              <w:bottom w:val="single" w:sz="4" w:space="0" w:color="auto"/>
              <w:right w:val="single" w:sz="4" w:space="0" w:color="auto"/>
            </w:tcBorders>
            <w:vAlign w:val="center"/>
          </w:tcPr>
          <w:p w14:paraId="133983F5"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09" w:type="dxa"/>
            <w:tcBorders>
              <w:top w:val="single" w:sz="4" w:space="0" w:color="auto"/>
              <w:left w:val="nil"/>
              <w:bottom w:val="single" w:sz="4" w:space="0" w:color="auto"/>
              <w:right w:val="single" w:sz="4" w:space="0" w:color="auto"/>
            </w:tcBorders>
            <w:vAlign w:val="center"/>
          </w:tcPr>
          <w:p w14:paraId="2087FB43" w14:textId="77777777" w:rsidR="009175A4" w:rsidRPr="00107C19" w:rsidRDefault="009175A4" w:rsidP="00B2036B">
            <w:pPr>
              <w:pStyle w:val="TableHeading"/>
              <w:jc w:val="center"/>
              <w:rPr>
                <w:b w:val="0"/>
                <w:bCs/>
                <w:color w:val="000000" w:themeColor="text1"/>
              </w:rPr>
            </w:pPr>
            <w:r w:rsidRPr="00107C19">
              <w:rPr>
                <w:b w:val="0"/>
                <w:bCs/>
                <w:color w:val="000000" w:themeColor="text1"/>
              </w:rPr>
              <w:t>ND</w:t>
            </w:r>
          </w:p>
        </w:tc>
        <w:tc>
          <w:tcPr>
            <w:tcW w:w="1309" w:type="dxa"/>
            <w:tcBorders>
              <w:top w:val="single" w:sz="4" w:space="0" w:color="auto"/>
              <w:left w:val="nil"/>
              <w:bottom w:val="single" w:sz="4" w:space="0" w:color="auto"/>
              <w:right w:val="single" w:sz="4" w:space="0" w:color="auto"/>
            </w:tcBorders>
            <w:vAlign w:val="center"/>
          </w:tcPr>
          <w:p w14:paraId="1BBF0818" w14:textId="30576F3E" w:rsidR="009175A4" w:rsidRPr="00107C19" w:rsidRDefault="00DD0233" w:rsidP="00B2036B">
            <w:pPr>
              <w:pStyle w:val="TableHeading"/>
              <w:jc w:val="center"/>
              <w:rPr>
                <w:b w:val="0"/>
                <w:bCs/>
                <w:color w:val="000000" w:themeColor="text1"/>
              </w:rPr>
            </w:pPr>
            <w:r w:rsidRPr="00107C19">
              <w:rPr>
                <w:b w:val="0"/>
                <w:bCs/>
                <w:color w:val="000000" w:themeColor="text1"/>
              </w:rPr>
              <w:t>ND</w:t>
            </w:r>
          </w:p>
        </w:tc>
      </w:tr>
      <w:tr w:rsidR="00107C19" w:rsidRPr="00107C19" w14:paraId="40ADCA47"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05A2D" w14:textId="77777777" w:rsidR="009175A4" w:rsidRPr="00107C19" w:rsidRDefault="009175A4" w:rsidP="00237545">
            <w:pPr>
              <w:pStyle w:val="TableHeading"/>
              <w:rPr>
                <w:b w:val="0"/>
                <w:bCs/>
                <w:color w:val="000000" w:themeColor="text1"/>
              </w:rPr>
            </w:pPr>
            <w:r w:rsidRPr="00107C19">
              <w:rPr>
                <w:b w:val="0"/>
                <w:bCs/>
                <w:color w:val="000000" w:themeColor="text1"/>
              </w:rPr>
              <w:t>Newly executed MTRA funds to be received</w:t>
            </w:r>
          </w:p>
        </w:tc>
        <w:tc>
          <w:tcPr>
            <w:tcW w:w="1431" w:type="dxa"/>
            <w:tcBorders>
              <w:top w:val="single" w:sz="4" w:space="0" w:color="auto"/>
              <w:left w:val="nil"/>
              <w:bottom w:val="single" w:sz="4" w:space="0" w:color="auto"/>
              <w:right w:val="single" w:sz="4" w:space="0" w:color="auto"/>
            </w:tcBorders>
            <w:noWrap/>
            <w:vAlign w:val="center"/>
          </w:tcPr>
          <w:p w14:paraId="36B02D7D" w14:textId="77777777" w:rsidR="009175A4" w:rsidRPr="00107C19" w:rsidRDefault="009175A4" w:rsidP="00B2036B">
            <w:pPr>
              <w:pStyle w:val="TableHeading"/>
              <w:jc w:val="center"/>
              <w:rPr>
                <w:b w:val="0"/>
                <w:bCs/>
                <w:color w:val="000000" w:themeColor="text1"/>
              </w:rPr>
            </w:pPr>
            <w:r w:rsidRPr="00107C19">
              <w:rPr>
                <w:b w:val="0"/>
                <w:bCs/>
                <w:color w:val="000000" w:themeColor="text1"/>
              </w:rPr>
              <w:t>$637,636</w:t>
            </w:r>
          </w:p>
        </w:tc>
        <w:tc>
          <w:tcPr>
            <w:tcW w:w="1310" w:type="dxa"/>
            <w:tcBorders>
              <w:top w:val="single" w:sz="4" w:space="0" w:color="auto"/>
              <w:left w:val="nil"/>
              <w:bottom w:val="single" w:sz="4" w:space="0" w:color="auto"/>
              <w:right w:val="single" w:sz="4" w:space="0" w:color="auto"/>
            </w:tcBorders>
            <w:vAlign w:val="center"/>
          </w:tcPr>
          <w:p w14:paraId="1FCDF6A5" w14:textId="77777777" w:rsidR="009175A4" w:rsidRPr="00107C19" w:rsidRDefault="009175A4" w:rsidP="00B2036B">
            <w:pPr>
              <w:pStyle w:val="TableHeading"/>
              <w:jc w:val="center"/>
              <w:rPr>
                <w:b w:val="0"/>
                <w:bCs/>
                <w:color w:val="000000" w:themeColor="text1"/>
              </w:rPr>
            </w:pPr>
            <w:r w:rsidRPr="00107C19">
              <w:rPr>
                <w:b w:val="0"/>
                <w:bCs/>
                <w:color w:val="000000" w:themeColor="text1"/>
              </w:rPr>
              <w:t>$1,575.241</w:t>
            </w:r>
          </w:p>
        </w:tc>
        <w:tc>
          <w:tcPr>
            <w:tcW w:w="1309" w:type="dxa"/>
            <w:tcBorders>
              <w:top w:val="single" w:sz="4" w:space="0" w:color="auto"/>
              <w:left w:val="nil"/>
              <w:bottom w:val="single" w:sz="4" w:space="0" w:color="auto"/>
              <w:right w:val="single" w:sz="4" w:space="0" w:color="auto"/>
            </w:tcBorders>
            <w:vAlign w:val="center"/>
          </w:tcPr>
          <w:p w14:paraId="3B7BD070" w14:textId="77777777" w:rsidR="009175A4" w:rsidRPr="00107C19" w:rsidRDefault="009175A4" w:rsidP="00B2036B">
            <w:pPr>
              <w:pStyle w:val="TableHeading"/>
              <w:jc w:val="center"/>
              <w:rPr>
                <w:b w:val="0"/>
                <w:bCs/>
                <w:color w:val="000000" w:themeColor="text1"/>
              </w:rPr>
            </w:pPr>
            <w:r w:rsidRPr="00107C19">
              <w:rPr>
                <w:b w:val="0"/>
                <w:bCs/>
                <w:color w:val="000000" w:themeColor="text1"/>
              </w:rPr>
              <w:t>$1,100,337</w:t>
            </w:r>
          </w:p>
        </w:tc>
        <w:tc>
          <w:tcPr>
            <w:tcW w:w="1309" w:type="dxa"/>
            <w:tcBorders>
              <w:top w:val="single" w:sz="4" w:space="0" w:color="auto"/>
              <w:left w:val="nil"/>
              <w:bottom w:val="single" w:sz="4" w:space="0" w:color="auto"/>
              <w:right w:val="single" w:sz="4" w:space="0" w:color="auto"/>
            </w:tcBorders>
            <w:vAlign w:val="center"/>
          </w:tcPr>
          <w:p w14:paraId="17F830E2" w14:textId="77777777" w:rsidR="009175A4" w:rsidRPr="00107C19" w:rsidRDefault="009175A4" w:rsidP="00B2036B">
            <w:pPr>
              <w:pStyle w:val="TableHeading"/>
              <w:jc w:val="center"/>
              <w:rPr>
                <w:b w:val="0"/>
                <w:bCs/>
                <w:color w:val="000000" w:themeColor="text1"/>
              </w:rPr>
            </w:pPr>
            <w:r w:rsidRPr="00107C19">
              <w:rPr>
                <w:b w:val="0"/>
                <w:bCs/>
                <w:color w:val="000000" w:themeColor="text1"/>
              </w:rPr>
              <w:t>$933,931</w:t>
            </w:r>
          </w:p>
        </w:tc>
        <w:tc>
          <w:tcPr>
            <w:tcW w:w="1309" w:type="dxa"/>
            <w:tcBorders>
              <w:top w:val="single" w:sz="4" w:space="0" w:color="auto"/>
              <w:left w:val="nil"/>
              <w:bottom w:val="single" w:sz="4" w:space="0" w:color="auto"/>
              <w:right w:val="single" w:sz="4" w:space="0" w:color="auto"/>
            </w:tcBorders>
            <w:vAlign w:val="center"/>
          </w:tcPr>
          <w:p w14:paraId="2777F990" w14:textId="60665DEA" w:rsidR="009175A4" w:rsidRPr="00107C19" w:rsidRDefault="00821132" w:rsidP="00B2036B">
            <w:pPr>
              <w:pStyle w:val="TableHeading"/>
              <w:jc w:val="center"/>
              <w:rPr>
                <w:b w:val="0"/>
                <w:bCs/>
                <w:color w:val="000000" w:themeColor="text1"/>
              </w:rPr>
            </w:pPr>
            <w:bookmarkStart w:id="475" w:name="_Hlk160175928"/>
            <w:r w:rsidRPr="00107C19">
              <w:rPr>
                <w:b w:val="0"/>
                <w:bCs/>
                <w:color w:val="000000" w:themeColor="text1"/>
              </w:rPr>
              <w:t>$</w:t>
            </w:r>
            <w:r w:rsidR="00340B56" w:rsidRPr="00107C19">
              <w:rPr>
                <w:b w:val="0"/>
                <w:bCs/>
                <w:color w:val="000000" w:themeColor="text1"/>
              </w:rPr>
              <w:t>828</w:t>
            </w:r>
            <w:r w:rsidRPr="00107C19">
              <w:rPr>
                <w:b w:val="0"/>
                <w:bCs/>
                <w:color w:val="000000" w:themeColor="text1"/>
              </w:rPr>
              <w:t>,861</w:t>
            </w:r>
            <w:bookmarkEnd w:id="475"/>
          </w:p>
        </w:tc>
      </w:tr>
      <w:tr w:rsidR="00107C19" w:rsidRPr="00107C19" w14:paraId="4B7E55E0" w14:textId="77777777" w:rsidTr="00B2036B">
        <w:trPr>
          <w:trHeight w:val="365"/>
          <w:jc w:val="center"/>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6635CBC6" w14:textId="120787A6" w:rsidR="009175A4" w:rsidRPr="00107C19" w:rsidRDefault="009175A4" w:rsidP="00237545">
            <w:pPr>
              <w:pStyle w:val="TableHeading"/>
              <w:rPr>
                <w:b w:val="0"/>
                <w:bCs/>
                <w:color w:val="000000" w:themeColor="text1"/>
              </w:rPr>
            </w:pPr>
            <w:r w:rsidRPr="00107C19">
              <w:rPr>
                <w:b w:val="0"/>
                <w:bCs/>
                <w:color w:val="000000" w:themeColor="text1"/>
              </w:rPr>
              <w:t>Total number of active other agreements</w:t>
            </w:r>
            <w:r w:rsidR="004C6AAE" w:rsidRPr="00107C19">
              <w:rPr>
                <w:b w:val="0"/>
                <w:bCs/>
                <w:color w:val="000000" w:themeColor="text1"/>
                <w:vertAlign w:val="superscript"/>
              </w:rPr>
              <w:t>2</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38D75DCC" w14:textId="77777777" w:rsidR="009175A4" w:rsidRPr="00107C19" w:rsidRDefault="009175A4" w:rsidP="00B2036B">
            <w:pPr>
              <w:pStyle w:val="TableHeading"/>
              <w:jc w:val="center"/>
              <w:rPr>
                <w:b w:val="0"/>
                <w:bCs/>
                <w:color w:val="000000" w:themeColor="text1"/>
              </w:rPr>
            </w:pPr>
            <w:r w:rsidRPr="00107C19">
              <w:rPr>
                <w:b w:val="0"/>
                <w:bCs/>
                <w:color w:val="000000" w:themeColor="text1"/>
              </w:rPr>
              <w:t>1,888</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3936200B" w14:textId="77777777" w:rsidR="009175A4" w:rsidRPr="00107C19" w:rsidRDefault="009175A4" w:rsidP="00B2036B">
            <w:pPr>
              <w:pStyle w:val="TableHeading"/>
              <w:jc w:val="center"/>
              <w:rPr>
                <w:b w:val="0"/>
                <w:bCs/>
                <w:color w:val="000000" w:themeColor="text1"/>
              </w:rPr>
            </w:pPr>
            <w:r w:rsidRPr="00107C19">
              <w:rPr>
                <w:b w:val="0"/>
                <w:bCs/>
                <w:color w:val="000000" w:themeColor="text1"/>
              </w:rPr>
              <w:t>1,987</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6C782407" w14:textId="77777777" w:rsidR="009175A4" w:rsidRPr="00107C19" w:rsidRDefault="009175A4" w:rsidP="00B2036B">
            <w:pPr>
              <w:pStyle w:val="TableHeading"/>
              <w:jc w:val="center"/>
              <w:rPr>
                <w:b w:val="0"/>
                <w:bCs/>
                <w:color w:val="000000" w:themeColor="text1"/>
              </w:rPr>
            </w:pPr>
            <w:r w:rsidRPr="00107C19">
              <w:rPr>
                <w:b w:val="0"/>
                <w:bCs/>
                <w:color w:val="000000" w:themeColor="text1"/>
              </w:rPr>
              <w:t>2,443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580B1F2C" w14:textId="77777777" w:rsidR="009175A4" w:rsidRPr="00107C19" w:rsidRDefault="009175A4" w:rsidP="00B2036B">
            <w:pPr>
              <w:pStyle w:val="TableHeading"/>
              <w:jc w:val="center"/>
              <w:rPr>
                <w:b w:val="0"/>
                <w:bCs/>
                <w:color w:val="000000" w:themeColor="text1"/>
              </w:rPr>
            </w:pPr>
            <w:r w:rsidRPr="00107C19">
              <w:rPr>
                <w:b w:val="0"/>
                <w:bCs/>
                <w:color w:val="000000" w:themeColor="text1"/>
              </w:rPr>
              <w:t>2,999</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3DB7B3ED" w14:textId="49E578DE" w:rsidR="009175A4" w:rsidRPr="00107C19" w:rsidRDefault="00DF28DD" w:rsidP="00B2036B">
            <w:pPr>
              <w:pStyle w:val="TableHeading"/>
              <w:jc w:val="center"/>
              <w:rPr>
                <w:b w:val="0"/>
                <w:bCs/>
                <w:color w:val="000000" w:themeColor="text1"/>
              </w:rPr>
            </w:pPr>
            <w:r w:rsidRPr="00107C19">
              <w:rPr>
                <w:b w:val="0"/>
                <w:bCs/>
                <w:color w:val="000000" w:themeColor="text1"/>
              </w:rPr>
              <w:t>2</w:t>
            </w:r>
            <w:r w:rsidR="006D519D" w:rsidRPr="00107C19">
              <w:rPr>
                <w:b w:val="0"/>
                <w:bCs/>
                <w:color w:val="000000" w:themeColor="text1"/>
              </w:rPr>
              <w:t>,</w:t>
            </w:r>
            <w:r w:rsidRPr="00107C19">
              <w:rPr>
                <w:b w:val="0"/>
                <w:bCs/>
                <w:color w:val="000000" w:themeColor="text1"/>
              </w:rPr>
              <w:t>275</w:t>
            </w:r>
          </w:p>
        </w:tc>
      </w:tr>
      <w:tr w:rsidR="00107C19" w:rsidRPr="00107C19" w14:paraId="05289F6D"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156DB" w14:textId="77777777" w:rsidR="009175A4" w:rsidRPr="00107C19" w:rsidRDefault="009175A4" w:rsidP="00237545">
            <w:pPr>
              <w:pStyle w:val="TableHeading"/>
              <w:rPr>
                <w:b w:val="0"/>
                <w:bCs/>
                <w:color w:val="000000" w:themeColor="text1"/>
              </w:rPr>
            </w:pPr>
            <w:r w:rsidRPr="00107C19">
              <w:rPr>
                <w:b w:val="0"/>
                <w:bCs/>
                <w:color w:val="000000" w:themeColor="text1"/>
              </w:rPr>
              <w:t xml:space="preserve">Newly executed other agreements </w:t>
            </w:r>
          </w:p>
        </w:tc>
        <w:tc>
          <w:tcPr>
            <w:tcW w:w="1431" w:type="dxa"/>
            <w:tcBorders>
              <w:top w:val="single" w:sz="4" w:space="0" w:color="auto"/>
              <w:left w:val="nil"/>
              <w:bottom w:val="single" w:sz="4" w:space="0" w:color="auto"/>
              <w:right w:val="single" w:sz="4" w:space="0" w:color="auto"/>
            </w:tcBorders>
            <w:noWrap/>
            <w:vAlign w:val="center"/>
          </w:tcPr>
          <w:p w14:paraId="565DD949" w14:textId="77777777" w:rsidR="009175A4" w:rsidRPr="00107C19" w:rsidRDefault="009175A4" w:rsidP="00B2036B">
            <w:pPr>
              <w:pStyle w:val="TableHeading"/>
              <w:jc w:val="center"/>
              <w:rPr>
                <w:b w:val="0"/>
                <w:bCs/>
                <w:color w:val="000000" w:themeColor="text1"/>
              </w:rPr>
            </w:pPr>
            <w:r w:rsidRPr="00107C19">
              <w:rPr>
                <w:b w:val="0"/>
                <w:bCs/>
                <w:color w:val="000000" w:themeColor="text1"/>
              </w:rPr>
              <w:t>951</w:t>
            </w:r>
          </w:p>
        </w:tc>
        <w:tc>
          <w:tcPr>
            <w:tcW w:w="1310" w:type="dxa"/>
            <w:tcBorders>
              <w:top w:val="single" w:sz="4" w:space="0" w:color="auto"/>
              <w:left w:val="nil"/>
              <w:bottom w:val="single" w:sz="4" w:space="0" w:color="auto"/>
              <w:right w:val="single" w:sz="4" w:space="0" w:color="auto"/>
            </w:tcBorders>
            <w:vAlign w:val="center"/>
          </w:tcPr>
          <w:p w14:paraId="6965BB88" w14:textId="77777777" w:rsidR="009175A4" w:rsidRPr="00107C19" w:rsidRDefault="009175A4" w:rsidP="00B2036B">
            <w:pPr>
              <w:pStyle w:val="TableHeading"/>
              <w:jc w:val="center"/>
              <w:rPr>
                <w:b w:val="0"/>
                <w:bCs/>
                <w:color w:val="000000" w:themeColor="text1"/>
              </w:rPr>
            </w:pPr>
            <w:r w:rsidRPr="00107C19">
              <w:rPr>
                <w:b w:val="0"/>
                <w:bCs/>
                <w:color w:val="000000" w:themeColor="text1"/>
              </w:rPr>
              <w:t>1,210</w:t>
            </w:r>
          </w:p>
        </w:tc>
        <w:tc>
          <w:tcPr>
            <w:tcW w:w="1309" w:type="dxa"/>
            <w:tcBorders>
              <w:top w:val="single" w:sz="4" w:space="0" w:color="auto"/>
              <w:left w:val="nil"/>
              <w:bottom w:val="single" w:sz="4" w:space="0" w:color="auto"/>
              <w:right w:val="single" w:sz="4" w:space="0" w:color="auto"/>
            </w:tcBorders>
            <w:vAlign w:val="center"/>
          </w:tcPr>
          <w:p w14:paraId="7ED82D77" w14:textId="77777777" w:rsidR="009175A4" w:rsidRPr="00107C19" w:rsidRDefault="009175A4" w:rsidP="00B2036B">
            <w:pPr>
              <w:pStyle w:val="TableHeading"/>
              <w:jc w:val="center"/>
              <w:rPr>
                <w:b w:val="0"/>
                <w:bCs/>
                <w:color w:val="000000" w:themeColor="text1"/>
              </w:rPr>
            </w:pPr>
            <w:r w:rsidRPr="00107C19">
              <w:rPr>
                <w:b w:val="0"/>
                <w:bCs/>
                <w:color w:val="000000" w:themeColor="text1"/>
              </w:rPr>
              <w:t>995</w:t>
            </w:r>
          </w:p>
        </w:tc>
        <w:tc>
          <w:tcPr>
            <w:tcW w:w="1309" w:type="dxa"/>
            <w:tcBorders>
              <w:top w:val="single" w:sz="4" w:space="0" w:color="auto"/>
              <w:left w:val="nil"/>
              <w:bottom w:val="single" w:sz="4" w:space="0" w:color="auto"/>
              <w:right w:val="single" w:sz="4" w:space="0" w:color="auto"/>
            </w:tcBorders>
            <w:vAlign w:val="center"/>
          </w:tcPr>
          <w:p w14:paraId="46551EFF" w14:textId="77777777" w:rsidR="009175A4" w:rsidRPr="00107C19" w:rsidRDefault="009175A4" w:rsidP="00B2036B">
            <w:pPr>
              <w:pStyle w:val="TableHeading"/>
              <w:jc w:val="center"/>
              <w:rPr>
                <w:b w:val="0"/>
                <w:bCs/>
                <w:color w:val="000000" w:themeColor="text1"/>
              </w:rPr>
            </w:pPr>
            <w:r w:rsidRPr="00107C19">
              <w:rPr>
                <w:b w:val="0"/>
                <w:bCs/>
                <w:color w:val="000000" w:themeColor="text1"/>
              </w:rPr>
              <w:t>913</w:t>
            </w:r>
          </w:p>
        </w:tc>
        <w:tc>
          <w:tcPr>
            <w:tcW w:w="1309" w:type="dxa"/>
            <w:tcBorders>
              <w:top w:val="single" w:sz="4" w:space="0" w:color="auto"/>
              <w:left w:val="nil"/>
              <w:bottom w:val="single" w:sz="4" w:space="0" w:color="auto"/>
              <w:right w:val="single" w:sz="4" w:space="0" w:color="auto"/>
            </w:tcBorders>
            <w:vAlign w:val="center"/>
          </w:tcPr>
          <w:p w14:paraId="4A9304B6" w14:textId="29768C44" w:rsidR="009175A4" w:rsidRPr="00107C19" w:rsidRDefault="008E0AE7" w:rsidP="00B2036B">
            <w:pPr>
              <w:pStyle w:val="TableHeading"/>
              <w:jc w:val="center"/>
              <w:rPr>
                <w:b w:val="0"/>
                <w:bCs/>
                <w:color w:val="000000" w:themeColor="text1"/>
              </w:rPr>
            </w:pPr>
            <w:r w:rsidRPr="00107C19">
              <w:rPr>
                <w:b w:val="0"/>
                <w:bCs/>
                <w:color w:val="000000" w:themeColor="text1"/>
              </w:rPr>
              <w:t>949</w:t>
            </w:r>
          </w:p>
        </w:tc>
      </w:tr>
      <w:tr w:rsidR="00107C19" w:rsidRPr="00107C19" w14:paraId="544F7310"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0278BBE5" w14:textId="77777777" w:rsidR="009175A4" w:rsidRPr="00107C19" w:rsidRDefault="009175A4" w:rsidP="00237545">
            <w:pPr>
              <w:pStyle w:val="TableHeading"/>
              <w:rPr>
                <w:b w:val="0"/>
                <w:bCs/>
                <w:color w:val="000000" w:themeColor="text1"/>
              </w:rPr>
            </w:pPr>
            <w:r w:rsidRPr="00107C19">
              <w:rPr>
                <w:b w:val="0"/>
                <w:bCs/>
                <w:color w:val="000000" w:themeColor="text1"/>
              </w:rPr>
              <w:t>Number of newly executed MTAs</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6CCCE282" w14:textId="77777777" w:rsidR="009175A4" w:rsidRPr="00107C19" w:rsidRDefault="009175A4" w:rsidP="00B2036B">
            <w:pPr>
              <w:pStyle w:val="TableHeading"/>
              <w:jc w:val="center"/>
              <w:rPr>
                <w:b w:val="0"/>
                <w:bCs/>
                <w:color w:val="000000" w:themeColor="text1"/>
              </w:rPr>
            </w:pPr>
            <w:r w:rsidRPr="00107C19">
              <w:rPr>
                <w:b w:val="0"/>
                <w:bCs/>
                <w:color w:val="000000" w:themeColor="text1"/>
              </w:rPr>
              <w:t>614</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0B1A766A" w14:textId="77777777" w:rsidR="009175A4" w:rsidRPr="00107C19" w:rsidRDefault="009175A4" w:rsidP="00B2036B">
            <w:pPr>
              <w:pStyle w:val="TableHeading"/>
              <w:jc w:val="center"/>
              <w:rPr>
                <w:b w:val="0"/>
                <w:bCs/>
                <w:color w:val="000000" w:themeColor="text1"/>
              </w:rPr>
            </w:pPr>
            <w:r w:rsidRPr="00107C19">
              <w:rPr>
                <w:b w:val="0"/>
                <w:bCs/>
                <w:color w:val="000000" w:themeColor="text1"/>
              </w:rPr>
              <w:t>423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113D7B2E" w14:textId="77777777" w:rsidR="009175A4" w:rsidRPr="00107C19" w:rsidRDefault="009175A4" w:rsidP="00B2036B">
            <w:pPr>
              <w:pStyle w:val="TableHeading"/>
              <w:jc w:val="center"/>
              <w:rPr>
                <w:b w:val="0"/>
                <w:bCs/>
                <w:color w:val="000000" w:themeColor="text1"/>
              </w:rPr>
            </w:pPr>
            <w:r w:rsidRPr="00107C19">
              <w:rPr>
                <w:b w:val="0"/>
                <w:bCs/>
                <w:color w:val="000000" w:themeColor="text1"/>
              </w:rPr>
              <w:t>472</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7EAB4FCD" w14:textId="77777777" w:rsidR="009175A4" w:rsidRPr="00107C19" w:rsidRDefault="009175A4" w:rsidP="00B2036B">
            <w:pPr>
              <w:pStyle w:val="TableHeading"/>
              <w:jc w:val="center"/>
              <w:rPr>
                <w:b w:val="0"/>
                <w:bCs/>
                <w:color w:val="000000" w:themeColor="text1"/>
              </w:rPr>
            </w:pPr>
            <w:r w:rsidRPr="00107C19">
              <w:rPr>
                <w:b w:val="0"/>
                <w:bCs/>
                <w:color w:val="000000" w:themeColor="text1"/>
              </w:rPr>
              <w:t>626</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0D215F3E" w14:textId="4259BC17" w:rsidR="009175A4" w:rsidRPr="00107C19" w:rsidRDefault="00E7766E" w:rsidP="00B2036B">
            <w:pPr>
              <w:pStyle w:val="TableHeading"/>
              <w:jc w:val="center"/>
              <w:rPr>
                <w:b w:val="0"/>
                <w:bCs/>
                <w:color w:val="000000" w:themeColor="text1"/>
              </w:rPr>
            </w:pPr>
            <w:r w:rsidRPr="00107C19">
              <w:rPr>
                <w:b w:val="0"/>
                <w:bCs/>
                <w:color w:val="000000" w:themeColor="text1"/>
              </w:rPr>
              <w:t>603</w:t>
            </w:r>
          </w:p>
        </w:tc>
      </w:tr>
      <w:tr w:rsidR="00107C19" w:rsidRPr="00107C19" w14:paraId="43E11EB5"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E06BB" w14:textId="77777777" w:rsidR="009175A4" w:rsidRPr="00107C19" w:rsidRDefault="009175A4" w:rsidP="00237545">
            <w:pPr>
              <w:pStyle w:val="TableHeading"/>
              <w:rPr>
                <w:b w:val="0"/>
                <w:bCs/>
                <w:color w:val="000000" w:themeColor="text1"/>
              </w:rPr>
            </w:pPr>
            <w:r w:rsidRPr="00107C19">
              <w:rPr>
                <w:b w:val="0"/>
                <w:bCs/>
                <w:color w:val="000000" w:themeColor="text1"/>
              </w:rPr>
              <w:t>Newly executed outgoing MTAs</w:t>
            </w:r>
          </w:p>
        </w:tc>
        <w:tc>
          <w:tcPr>
            <w:tcW w:w="1431" w:type="dxa"/>
            <w:tcBorders>
              <w:top w:val="single" w:sz="4" w:space="0" w:color="auto"/>
              <w:left w:val="nil"/>
              <w:bottom w:val="single" w:sz="4" w:space="0" w:color="auto"/>
              <w:right w:val="single" w:sz="4" w:space="0" w:color="auto"/>
            </w:tcBorders>
            <w:noWrap/>
            <w:vAlign w:val="center"/>
          </w:tcPr>
          <w:p w14:paraId="5A54E636" w14:textId="77777777" w:rsidR="009175A4" w:rsidRPr="00107C19" w:rsidRDefault="009175A4" w:rsidP="00B2036B">
            <w:pPr>
              <w:pStyle w:val="TableHeading"/>
              <w:jc w:val="center"/>
              <w:rPr>
                <w:b w:val="0"/>
                <w:bCs/>
                <w:color w:val="000000" w:themeColor="text1"/>
              </w:rPr>
            </w:pPr>
            <w:r w:rsidRPr="00107C19">
              <w:rPr>
                <w:b w:val="0"/>
                <w:bCs/>
                <w:color w:val="000000" w:themeColor="text1"/>
              </w:rPr>
              <w:t>398</w:t>
            </w:r>
          </w:p>
        </w:tc>
        <w:tc>
          <w:tcPr>
            <w:tcW w:w="1310" w:type="dxa"/>
            <w:tcBorders>
              <w:top w:val="single" w:sz="4" w:space="0" w:color="auto"/>
              <w:left w:val="nil"/>
              <w:bottom w:val="single" w:sz="4" w:space="0" w:color="auto"/>
              <w:right w:val="single" w:sz="4" w:space="0" w:color="auto"/>
            </w:tcBorders>
            <w:vAlign w:val="center"/>
          </w:tcPr>
          <w:p w14:paraId="06107AE4" w14:textId="77777777" w:rsidR="009175A4" w:rsidRPr="00107C19" w:rsidRDefault="009175A4" w:rsidP="00B2036B">
            <w:pPr>
              <w:pStyle w:val="TableHeading"/>
              <w:jc w:val="center"/>
              <w:rPr>
                <w:b w:val="0"/>
                <w:bCs/>
                <w:color w:val="000000" w:themeColor="text1"/>
              </w:rPr>
            </w:pPr>
            <w:r w:rsidRPr="00107C19">
              <w:rPr>
                <w:b w:val="0"/>
                <w:bCs/>
                <w:color w:val="000000" w:themeColor="text1"/>
              </w:rPr>
              <w:t>266</w:t>
            </w:r>
          </w:p>
        </w:tc>
        <w:tc>
          <w:tcPr>
            <w:tcW w:w="1309" w:type="dxa"/>
            <w:tcBorders>
              <w:top w:val="single" w:sz="4" w:space="0" w:color="auto"/>
              <w:left w:val="nil"/>
              <w:bottom w:val="single" w:sz="4" w:space="0" w:color="auto"/>
              <w:right w:val="single" w:sz="4" w:space="0" w:color="auto"/>
            </w:tcBorders>
            <w:vAlign w:val="center"/>
          </w:tcPr>
          <w:p w14:paraId="41472511" w14:textId="77777777" w:rsidR="009175A4" w:rsidRPr="00107C19" w:rsidRDefault="009175A4" w:rsidP="00B2036B">
            <w:pPr>
              <w:pStyle w:val="TableHeading"/>
              <w:jc w:val="center"/>
              <w:rPr>
                <w:b w:val="0"/>
                <w:bCs/>
                <w:color w:val="000000" w:themeColor="text1"/>
              </w:rPr>
            </w:pPr>
            <w:r w:rsidRPr="00107C19">
              <w:rPr>
                <w:b w:val="0"/>
                <w:bCs/>
                <w:color w:val="000000" w:themeColor="text1"/>
              </w:rPr>
              <w:t>335</w:t>
            </w:r>
          </w:p>
        </w:tc>
        <w:tc>
          <w:tcPr>
            <w:tcW w:w="1309" w:type="dxa"/>
            <w:tcBorders>
              <w:top w:val="single" w:sz="4" w:space="0" w:color="auto"/>
              <w:left w:val="nil"/>
              <w:bottom w:val="single" w:sz="4" w:space="0" w:color="auto"/>
              <w:right w:val="single" w:sz="4" w:space="0" w:color="auto"/>
            </w:tcBorders>
            <w:vAlign w:val="center"/>
          </w:tcPr>
          <w:p w14:paraId="6165C568" w14:textId="77777777" w:rsidR="009175A4" w:rsidRPr="00107C19" w:rsidRDefault="009175A4" w:rsidP="00B2036B">
            <w:pPr>
              <w:pStyle w:val="TableHeading"/>
              <w:jc w:val="center"/>
              <w:rPr>
                <w:b w:val="0"/>
                <w:bCs/>
                <w:color w:val="000000" w:themeColor="text1"/>
              </w:rPr>
            </w:pPr>
            <w:r w:rsidRPr="00107C19">
              <w:rPr>
                <w:b w:val="0"/>
                <w:bCs/>
                <w:color w:val="000000" w:themeColor="text1"/>
              </w:rPr>
              <w:t>370</w:t>
            </w:r>
          </w:p>
        </w:tc>
        <w:tc>
          <w:tcPr>
            <w:tcW w:w="1309" w:type="dxa"/>
            <w:tcBorders>
              <w:top w:val="single" w:sz="4" w:space="0" w:color="auto"/>
              <w:left w:val="nil"/>
              <w:bottom w:val="single" w:sz="4" w:space="0" w:color="auto"/>
              <w:right w:val="single" w:sz="4" w:space="0" w:color="auto"/>
            </w:tcBorders>
            <w:vAlign w:val="center"/>
          </w:tcPr>
          <w:p w14:paraId="18530485" w14:textId="0E2786AA" w:rsidR="009175A4" w:rsidRPr="00107C19" w:rsidRDefault="00CB1219" w:rsidP="00B2036B">
            <w:pPr>
              <w:pStyle w:val="TableHeading"/>
              <w:jc w:val="center"/>
              <w:rPr>
                <w:b w:val="0"/>
                <w:bCs/>
                <w:color w:val="000000" w:themeColor="text1"/>
              </w:rPr>
            </w:pPr>
            <w:r w:rsidRPr="00107C19">
              <w:rPr>
                <w:b w:val="0"/>
                <w:bCs/>
                <w:color w:val="000000" w:themeColor="text1"/>
              </w:rPr>
              <w:t>446</w:t>
            </w:r>
          </w:p>
        </w:tc>
      </w:tr>
      <w:tr w:rsidR="00107C19" w:rsidRPr="00107C19" w14:paraId="2DE9FDE9"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3EF08" w14:textId="77777777" w:rsidR="009175A4" w:rsidRPr="00107C19" w:rsidRDefault="009175A4" w:rsidP="00237545">
            <w:pPr>
              <w:pStyle w:val="TableHeading"/>
              <w:rPr>
                <w:b w:val="0"/>
                <w:bCs/>
                <w:color w:val="000000" w:themeColor="text1"/>
              </w:rPr>
            </w:pPr>
            <w:r w:rsidRPr="00107C19">
              <w:rPr>
                <w:b w:val="0"/>
                <w:bCs/>
                <w:color w:val="000000" w:themeColor="text1"/>
              </w:rPr>
              <w:t xml:space="preserve">Number published peer-reviewed scientific publications </w:t>
            </w:r>
          </w:p>
        </w:tc>
        <w:tc>
          <w:tcPr>
            <w:tcW w:w="1431" w:type="dxa"/>
            <w:tcBorders>
              <w:top w:val="single" w:sz="4" w:space="0" w:color="auto"/>
              <w:left w:val="nil"/>
              <w:bottom w:val="single" w:sz="4" w:space="0" w:color="auto"/>
              <w:right w:val="single" w:sz="4" w:space="0" w:color="auto"/>
            </w:tcBorders>
            <w:noWrap/>
            <w:vAlign w:val="center"/>
          </w:tcPr>
          <w:p w14:paraId="4AD5C140" w14:textId="77777777" w:rsidR="009175A4" w:rsidRPr="00107C19" w:rsidRDefault="009175A4" w:rsidP="00B2036B">
            <w:pPr>
              <w:pStyle w:val="TableHeading"/>
              <w:jc w:val="center"/>
              <w:rPr>
                <w:b w:val="0"/>
                <w:bCs/>
                <w:color w:val="000000" w:themeColor="text1"/>
              </w:rPr>
            </w:pPr>
            <w:r w:rsidRPr="00107C19">
              <w:rPr>
                <w:b w:val="0"/>
                <w:bCs/>
                <w:color w:val="000000" w:themeColor="text1"/>
              </w:rPr>
              <w:t>3,816</w:t>
            </w:r>
          </w:p>
        </w:tc>
        <w:tc>
          <w:tcPr>
            <w:tcW w:w="1310" w:type="dxa"/>
            <w:tcBorders>
              <w:top w:val="single" w:sz="4" w:space="0" w:color="auto"/>
              <w:left w:val="nil"/>
              <w:bottom w:val="single" w:sz="4" w:space="0" w:color="auto"/>
              <w:right w:val="single" w:sz="4" w:space="0" w:color="auto"/>
            </w:tcBorders>
            <w:vAlign w:val="center"/>
          </w:tcPr>
          <w:p w14:paraId="056388B3" w14:textId="77777777" w:rsidR="009175A4" w:rsidRPr="00107C19" w:rsidRDefault="009175A4" w:rsidP="00B2036B">
            <w:pPr>
              <w:pStyle w:val="TableHeading"/>
              <w:jc w:val="center"/>
              <w:rPr>
                <w:b w:val="0"/>
                <w:bCs/>
                <w:color w:val="000000" w:themeColor="text1"/>
              </w:rPr>
            </w:pPr>
            <w:r w:rsidRPr="00107C19">
              <w:rPr>
                <w:b w:val="0"/>
                <w:bCs/>
                <w:color w:val="000000" w:themeColor="text1"/>
              </w:rPr>
              <w:t>3,933</w:t>
            </w:r>
          </w:p>
        </w:tc>
        <w:tc>
          <w:tcPr>
            <w:tcW w:w="1309" w:type="dxa"/>
            <w:tcBorders>
              <w:top w:val="single" w:sz="4" w:space="0" w:color="auto"/>
              <w:left w:val="nil"/>
              <w:bottom w:val="single" w:sz="4" w:space="0" w:color="auto"/>
              <w:right w:val="single" w:sz="4" w:space="0" w:color="auto"/>
            </w:tcBorders>
            <w:vAlign w:val="center"/>
          </w:tcPr>
          <w:p w14:paraId="567FE356" w14:textId="77777777" w:rsidR="009175A4" w:rsidRPr="00107C19" w:rsidRDefault="009175A4" w:rsidP="00B2036B">
            <w:pPr>
              <w:pStyle w:val="TableHeading"/>
              <w:jc w:val="center"/>
              <w:rPr>
                <w:b w:val="0"/>
                <w:bCs/>
                <w:color w:val="000000" w:themeColor="text1"/>
              </w:rPr>
            </w:pPr>
            <w:r w:rsidRPr="00107C19">
              <w:rPr>
                <w:b w:val="0"/>
                <w:bCs/>
                <w:color w:val="000000" w:themeColor="text1"/>
              </w:rPr>
              <w:t>3,935</w:t>
            </w:r>
          </w:p>
        </w:tc>
        <w:tc>
          <w:tcPr>
            <w:tcW w:w="1309" w:type="dxa"/>
            <w:tcBorders>
              <w:top w:val="single" w:sz="4" w:space="0" w:color="auto"/>
              <w:left w:val="nil"/>
              <w:bottom w:val="single" w:sz="4" w:space="0" w:color="auto"/>
              <w:right w:val="single" w:sz="4" w:space="0" w:color="auto"/>
            </w:tcBorders>
            <w:vAlign w:val="center"/>
          </w:tcPr>
          <w:p w14:paraId="03414FCF" w14:textId="77777777" w:rsidR="009175A4" w:rsidRPr="00107C19" w:rsidRDefault="009175A4" w:rsidP="00B2036B">
            <w:pPr>
              <w:pStyle w:val="TableHeading"/>
              <w:jc w:val="center"/>
              <w:rPr>
                <w:b w:val="0"/>
                <w:bCs/>
                <w:color w:val="000000" w:themeColor="text1"/>
              </w:rPr>
            </w:pPr>
            <w:r w:rsidRPr="00107C19">
              <w:rPr>
                <w:b w:val="0"/>
                <w:bCs/>
                <w:color w:val="000000" w:themeColor="text1"/>
              </w:rPr>
              <w:t>2,278</w:t>
            </w:r>
          </w:p>
        </w:tc>
        <w:tc>
          <w:tcPr>
            <w:tcW w:w="1309" w:type="dxa"/>
            <w:tcBorders>
              <w:top w:val="single" w:sz="4" w:space="0" w:color="auto"/>
              <w:left w:val="nil"/>
              <w:bottom w:val="single" w:sz="4" w:space="0" w:color="auto"/>
              <w:right w:val="single" w:sz="4" w:space="0" w:color="auto"/>
            </w:tcBorders>
            <w:vAlign w:val="center"/>
          </w:tcPr>
          <w:p w14:paraId="7B9F6B72" w14:textId="70F3D341" w:rsidR="009175A4" w:rsidRPr="00107C19" w:rsidRDefault="002E36A6" w:rsidP="00B2036B">
            <w:pPr>
              <w:pStyle w:val="TableHeading"/>
              <w:jc w:val="center"/>
              <w:rPr>
                <w:b w:val="0"/>
                <w:bCs/>
                <w:color w:val="000000" w:themeColor="text1"/>
              </w:rPr>
            </w:pPr>
            <w:r w:rsidRPr="00107C19">
              <w:rPr>
                <w:b w:val="0"/>
                <w:bCs/>
                <w:color w:val="000000" w:themeColor="text1"/>
              </w:rPr>
              <w:t>3</w:t>
            </w:r>
            <w:r w:rsidR="006519D3" w:rsidRPr="00107C19">
              <w:rPr>
                <w:b w:val="0"/>
                <w:bCs/>
                <w:color w:val="000000" w:themeColor="text1"/>
              </w:rPr>
              <w:t>,</w:t>
            </w:r>
            <w:r w:rsidRPr="00107C19">
              <w:rPr>
                <w:b w:val="0"/>
                <w:bCs/>
                <w:color w:val="000000" w:themeColor="text1"/>
              </w:rPr>
              <w:t>384</w:t>
            </w:r>
          </w:p>
        </w:tc>
      </w:tr>
      <w:tr w:rsidR="00107C19" w:rsidRPr="00107C19" w14:paraId="63183240"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EAA0A" w14:textId="77777777" w:rsidR="009175A4" w:rsidRPr="00107C19" w:rsidRDefault="009175A4" w:rsidP="00237545">
            <w:pPr>
              <w:pStyle w:val="TableHeading"/>
              <w:rPr>
                <w:b w:val="0"/>
                <w:bCs/>
                <w:color w:val="000000" w:themeColor="text1"/>
              </w:rPr>
            </w:pPr>
            <w:r w:rsidRPr="00107C19">
              <w:rPr>
                <w:b w:val="0"/>
                <w:bCs/>
                <w:color w:val="000000" w:themeColor="text1"/>
              </w:rPr>
              <w:t>Field days</w:t>
            </w:r>
          </w:p>
        </w:tc>
        <w:tc>
          <w:tcPr>
            <w:tcW w:w="1431" w:type="dxa"/>
            <w:tcBorders>
              <w:top w:val="single" w:sz="4" w:space="0" w:color="auto"/>
              <w:left w:val="nil"/>
              <w:bottom w:val="single" w:sz="4" w:space="0" w:color="auto"/>
              <w:right w:val="single" w:sz="4" w:space="0" w:color="auto"/>
            </w:tcBorders>
            <w:noWrap/>
            <w:vAlign w:val="center"/>
          </w:tcPr>
          <w:p w14:paraId="218E05AB" w14:textId="77777777" w:rsidR="009175A4" w:rsidRPr="00107C19" w:rsidRDefault="009175A4" w:rsidP="00B2036B">
            <w:pPr>
              <w:pStyle w:val="TableHeading"/>
              <w:jc w:val="center"/>
              <w:rPr>
                <w:b w:val="0"/>
                <w:bCs/>
                <w:color w:val="000000" w:themeColor="text1"/>
              </w:rPr>
            </w:pPr>
            <w:r w:rsidRPr="00107C19">
              <w:rPr>
                <w:b w:val="0"/>
                <w:bCs/>
                <w:color w:val="000000" w:themeColor="text1"/>
              </w:rPr>
              <w:t>48</w:t>
            </w:r>
          </w:p>
        </w:tc>
        <w:tc>
          <w:tcPr>
            <w:tcW w:w="1310" w:type="dxa"/>
            <w:tcBorders>
              <w:top w:val="single" w:sz="4" w:space="0" w:color="auto"/>
              <w:left w:val="nil"/>
              <w:bottom w:val="single" w:sz="4" w:space="0" w:color="auto"/>
              <w:right w:val="single" w:sz="4" w:space="0" w:color="auto"/>
            </w:tcBorders>
            <w:vAlign w:val="center"/>
          </w:tcPr>
          <w:p w14:paraId="607C4843" w14:textId="77777777" w:rsidR="009175A4" w:rsidRPr="00107C19" w:rsidRDefault="009175A4" w:rsidP="00B2036B">
            <w:pPr>
              <w:pStyle w:val="TableHeading"/>
              <w:jc w:val="center"/>
              <w:rPr>
                <w:b w:val="0"/>
                <w:bCs/>
                <w:color w:val="000000" w:themeColor="text1"/>
              </w:rPr>
            </w:pPr>
            <w:r w:rsidRPr="00107C19">
              <w:rPr>
                <w:b w:val="0"/>
                <w:bCs/>
                <w:color w:val="000000" w:themeColor="text1"/>
              </w:rPr>
              <w:t>10</w:t>
            </w:r>
          </w:p>
        </w:tc>
        <w:tc>
          <w:tcPr>
            <w:tcW w:w="1309" w:type="dxa"/>
            <w:tcBorders>
              <w:top w:val="single" w:sz="4" w:space="0" w:color="auto"/>
              <w:left w:val="nil"/>
              <w:bottom w:val="single" w:sz="4" w:space="0" w:color="auto"/>
              <w:right w:val="single" w:sz="4" w:space="0" w:color="auto"/>
            </w:tcBorders>
            <w:vAlign w:val="center"/>
          </w:tcPr>
          <w:p w14:paraId="1AED15B3" w14:textId="77777777" w:rsidR="009175A4" w:rsidRPr="00107C19" w:rsidRDefault="009175A4" w:rsidP="00B2036B">
            <w:pPr>
              <w:pStyle w:val="TableHeading"/>
              <w:jc w:val="center"/>
              <w:rPr>
                <w:b w:val="0"/>
                <w:bCs/>
                <w:color w:val="000000" w:themeColor="text1"/>
              </w:rPr>
            </w:pPr>
            <w:r w:rsidRPr="00107C19">
              <w:rPr>
                <w:b w:val="0"/>
                <w:bCs/>
                <w:color w:val="000000" w:themeColor="text1"/>
              </w:rPr>
              <w:t>17</w:t>
            </w:r>
          </w:p>
        </w:tc>
        <w:tc>
          <w:tcPr>
            <w:tcW w:w="1309" w:type="dxa"/>
            <w:tcBorders>
              <w:top w:val="single" w:sz="4" w:space="0" w:color="auto"/>
              <w:left w:val="nil"/>
              <w:bottom w:val="single" w:sz="4" w:space="0" w:color="auto"/>
              <w:right w:val="single" w:sz="4" w:space="0" w:color="auto"/>
            </w:tcBorders>
            <w:vAlign w:val="center"/>
          </w:tcPr>
          <w:p w14:paraId="146621F6" w14:textId="77777777" w:rsidR="009175A4" w:rsidRPr="00107C19" w:rsidRDefault="009175A4" w:rsidP="00B2036B">
            <w:pPr>
              <w:pStyle w:val="TableHeading"/>
              <w:jc w:val="center"/>
              <w:rPr>
                <w:b w:val="0"/>
                <w:bCs/>
                <w:color w:val="000000" w:themeColor="text1"/>
              </w:rPr>
            </w:pPr>
            <w:r w:rsidRPr="00107C19">
              <w:rPr>
                <w:b w:val="0"/>
                <w:bCs/>
                <w:color w:val="000000" w:themeColor="text1"/>
              </w:rPr>
              <w:t>47</w:t>
            </w:r>
          </w:p>
        </w:tc>
        <w:tc>
          <w:tcPr>
            <w:tcW w:w="1309" w:type="dxa"/>
            <w:tcBorders>
              <w:top w:val="single" w:sz="4" w:space="0" w:color="auto"/>
              <w:left w:val="nil"/>
              <w:bottom w:val="single" w:sz="4" w:space="0" w:color="auto"/>
              <w:right w:val="single" w:sz="4" w:space="0" w:color="auto"/>
            </w:tcBorders>
            <w:vAlign w:val="center"/>
          </w:tcPr>
          <w:p w14:paraId="2D319B1B" w14:textId="77777777" w:rsidR="009175A4" w:rsidRPr="00107C19" w:rsidRDefault="009175A4" w:rsidP="00B2036B">
            <w:pPr>
              <w:pStyle w:val="TableHeading"/>
              <w:jc w:val="center"/>
              <w:rPr>
                <w:b w:val="0"/>
                <w:bCs/>
                <w:color w:val="000000" w:themeColor="text1"/>
              </w:rPr>
            </w:pPr>
            <w:r w:rsidRPr="00107C19">
              <w:rPr>
                <w:b w:val="0"/>
                <w:bCs/>
                <w:color w:val="000000" w:themeColor="text1"/>
              </w:rPr>
              <w:t>54</w:t>
            </w:r>
          </w:p>
        </w:tc>
      </w:tr>
      <w:tr w:rsidR="00107C19" w:rsidRPr="00107C19" w14:paraId="687C855F"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C9A1E" w14:textId="77777777" w:rsidR="009175A4" w:rsidRPr="00107C19" w:rsidRDefault="009175A4" w:rsidP="00237545">
            <w:pPr>
              <w:pStyle w:val="TableHeading"/>
              <w:rPr>
                <w:b w:val="0"/>
                <w:bCs/>
                <w:color w:val="000000" w:themeColor="text1"/>
              </w:rPr>
            </w:pPr>
            <w:r w:rsidRPr="00107C19">
              <w:rPr>
                <w:b w:val="0"/>
                <w:bCs/>
                <w:color w:val="000000" w:themeColor="text1"/>
              </w:rPr>
              <w:t>Workshops</w:t>
            </w:r>
          </w:p>
        </w:tc>
        <w:tc>
          <w:tcPr>
            <w:tcW w:w="1431" w:type="dxa"/>
            <w:tcBorders>
              <w:top w:val="single" w:sz="4" w:space="0" w:color="auto"/>
              <w:left w:val="nil"/>
              <w:bottom w:val="single" w:sz="4" w:space="0" w:color="auto"/>
              <w:right w:val="single" w:sz="4" w:space="0" w:color="auto"/>
            </w:tcBorders>
            <w:noWrap/>
            <w:vAlign w:val="center"/>
          </w:tcPr>
          <w:p w14:paraId="3FC134B5" w14:textId="77777777" w:rsidR="009175A4" w:rsidRPr="00107C19" w:rsidRDefault="009175A4" w:rsidP="00B2036B">
            <w:pPr>
              <w:pStyle w:val="TableHeading"/>
              <w:jc w:val="center"/>
              <w:rPr>
                <w:b w:val="0"/>
                <w:bCs/>
                <w:color w:val="000000" w:themeColor="text1"/>
              </w:rPr>
            </w:pPr>
            <w:r w:rsidRPr="00107C19">
              <w:rPr>
                <w:b w:val="0"/>
                <w:bCs/>
                <w:color w:val="000000" w:themeColor="text1"/>
              </w:rPr>
              <w:t>53</w:t>
            </w:r>
          </w:p>
        </w:tc>
        <w:tc>
          <w:tcPr>
            <w:tcW w:w="1310" w:type="dxa"/>
            <w:tcBorders>
              <w:top w:val="single" w:sz="4" w:space="0" w:color="auto"/>
              <w:left w:val="nil"/>
              <w:bottom w:val="single" w:sz="4" w:space="0" w:color="auto"/>
              <w:right w:val="single" w:sz="4" w:space="0" w:color="auto"/>
            </w:tcBorders>
            <w:vAlign w:val="center"/>
          </w:tcPr>
          <w:p w14:paraId="720FEC5A" w14:textId="77777777" w:rsidR="009175A4" w:rsidRPr="00107C19" w:rsidRDefault="009175A4" w:rsidP="00B2036B">
            <w:pPr>
              <w:pStyle w:val="TableHeading"/>
              <w:jc w:val="center"/>
              <w:rPr>
                <w:b w:val="0"/>
                <w:bCs/>
                <w:color w:val="000000" w:themeColor="text1"/>
              </w:rPr>
            </w:pPr>
            <w:r w:rsidRPr="00107C19">
              <w:rPr>
                <w:b w:val="0"/>
                <w:bCs/>
                <w:color w:val="000000" w:themeColor="text1"/>
              </w:rPr>
              <w:t>29</w:t>
            </w:r>
          </w:p>
        </w:tc>
        <w:tc>
          <w:tcPr>
            <w:tcW w:w="1309" w:type="dxa"/>
            <w:tcBorders>
              <w:top w:val="single" w:sz="4" w:space="0" w:color="auto"/>
              <w:left w:val="nil"/>
              <w:bottom w:val="single" w:sz="4" w:space="0" w:color="auto"/>
              <w:right w:val="single" w:sz="4" w:space="0" w:color="auto"/>
            </w:tcBorders>
            <w:vAlign w:val="center"/>
          </w:tcPr>
          <w:p w14:paraId="67EB2869" w14:textId="77777777" w:rsidR="009175A4" w:rsidRPr="00107C19" w:rsidRDefault="009175A4" w:rsidP="00B2036B">
            <w:pPr>
              <w:pStyle w:val="TableHeading"/>
              <w:jc w:val="center"/>
              <w:rPr>
                <w:b w:val="0"/>
                <w:bCs/>
                <w:color w:val="000000" w:themeColor="text1"/>
              </w:rPr>
            </w:pPr>
            <w:r w:rsidRPr="00107C19">
              <w:rPr>
                <w:b w:val="0"/>
                <w:bCs/>
                <w:color w:val="000000" w:themeColor="text1"/>
              </w:rPr>
              <w:t>35</w:t>
            </w:r>
          </w:p>
        </w:tc>
        <w:tc>
          <w:tcPr>
            <w:tcW w:w="1309" w:type="dxa"/>
            <w:tcBorders>
              <w:top w:val="single" w:sz="4" w:space="0" w:color="auto"/>
              <w:left w:val="nil"/>
              <w:bottom w:val="single" w:sz="4" w:space="0" w:color="auto"/>
              <w:right w:val="single" w:sz="4" w:space="0" w:color="auto"/>
            </w:tcBorders>
            <w:vAlign w:val="center"/>
          </w:tcPr>
          <w:p w14:paraId="437A3DC1" w14:textId="77777777" w:rsidR="009175A4" w:rsidRPr="00107C19" w:rsidRDefault="009175A4" w:rsidP="00B2036B">
            <w:pPr>
              <w:pStyle w:val="TableHeading"/>
              <w:jc w:val="center"/>
              <w:rPr>
                <w:b w:val="0"/>
                <w:bCs/>
                <w:color w:val="000000" w:themeColor="text1"/>
              </w:rPr>
            </w:pPr>
            <w:r w:rsidRPr="00107C19">
              <w:rPr>
                <w:b w:val="0"/>
                <w:bCs/>
                <w:color w:val="000000" w:themeColor="text1"/>
              </w:rPr>
              <w:t>45</w:t>
            </w:r>
          </w:p>
        </w:tc>
        <w:tc>
          <w:tcPr>
            <w:tcW w:w="1309" w:type="dxa"/>
            <w:tcBorders>
              <w:top w:val="single" w:sz="4" w:space="0" w:color="auto"/>
              <w:left w:val="nil"/>
              <w:bottom w:val="single" w:sz="4" w:space="0" w:color="auto"/>
              <w:right w:val="single" w:sz="4" w:space="0" w:color="auto"/>
            </w:tcBorders>
            <w:vAlign w:val="center"/>
          </w:tcPr>
          <w:p w14:paraId="439FE762" w14:textId="18E19045" w:rsidR="009175A4" w:rsidRPr="00107C19" w:rsidRDefault="00451D88" w:rsidP="00B2036B">
            <w:pPr>
              <w:pStyle w:val="TableHeading"/>
              <w:jc w:val="center"/>
              <w:rPr>
                <w:b w:val="0"/>
                <w:bCs/>
                <w:color w:val="000000" w:themeColor="text1"/>
              </w:rPr>
            </w:pPr>
            <w:r w:rsidRPr="00107C19">
              <w:rPr>
                <w:b w:val="0"/>
                <w:bCs/>
                <w:color w:val="000000" w:themeColor="text1"/>
              </w:rPr>
              <w:t>43</w:t>
            </w:r>
          </w:p>
        </w:tc>
      </w:tr>
      <w:tr w:rsidR="00107C19" w:rsidRPr="00107C19" w14:paraId="696B424B"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58780" w14:textId="77777777" w:rsidR="009175A4" w:rsidRPr="00107C19" w:rsidRDefault="009175A4" w:rsidP="00237545">
            <w:pPr>
              <w:pStyle w:val="TableHeading"/>
              <w:rPr>
                <w:b w:val="0"/>
                <w:bCs/>
                <w:color w:val="000000" w:themeColor="text1"/>
              </w:rPr>
            </w:pPr>
            <w:r w:rsidRPr="00107C19">
              <w:rPr>
                <w:b w:val="0"/>
                <w:bCs/>
                <w:color w:val="000000" w:themeColor="text1"/>
              </w:rPr>
              <w:t>Presentations to stakeholders</w:t>
            </w:r>
          </w:p>
        </w:tc>
        <w:tc>
          <w:tcPr>
            <w:tcW w:w="1431" w:type="dxa"/>
            <w:tcBorders>
              <w:top w:val="single" w:sz="4" w:space="0" w:color="auto"/>
              <w:left w:val="nil"/>
              <w:bottom w:val="single" w:sz="4" w:space="0" w:color="auto"/>
              <w:right w:val="single" w:sz="4" w:space="0" w:color="auto"/>
            </w:tcBorders>
            <w:noWrap/>
            <w:vAlign w:val="center"/>
          </w:tcPr>
          <w:p w14:paraId="30FBE1E3" w14:textId="77777777" w:rsidR="009175A4" w:rsidRPr="00107C19" w:rsidRDefault="009175A4" w:rsidP="00B2036B">
            <w:pPr>
              <w:pStyle w:val="TableHeading"/>
              <w:jc w:val="center"/>
              <w:rPr>
                <w:b w:val="0"/>
                <w:bCs/>
                <w:color w:val="000000" w:themeColor="text1"/>
              </w:rPr>
            </w:pPr>
            <w:r w:rsidRPr="00107C19">
              <w:rPr>
                <w:b w:val="0"/>
                <w:bCs/>
                <w:color w:val="000000" w:themeColor="text1"/>
              </w:rPr>
              <w:t>154</w:t>
            </w:r>
          </w:p>
        </w:tc>
        <w:tc>
          <w:tcPr>
            <w:tcW w:w="1310" w:type="dxa"/>
            <w:tcBorders>
              <w:top w:val="single" w:sz="4" w:space="0" w:color="auto"/>
              <w:left w:val="nil"/>
              <w:bottom w:val="single" w:sz="4" w:space="0" w:color="auto"/>
              <w:right w:val="single" w:sz="4" w:space="0" w:color="auto"/>
            </w:tcBorders>
            <w:vAlign w:val="center"/>
          </w:tcPr>
          <w:p w14:paraId="4A1597A2" w14:textId="77777777" w:rsidR="009175A4" w:rsidRPr="00107C19" w:rsidRDefault="009175A4" w:rsidP="00B2036B">
            <w:pPr>
              <w:pStyle w:val="TableHeading"/>
              <w:jc w:val="center"/>
              <w:rPr>
                <w:b w:val="0"/>
                <w:bCs/>
                <w:color w:val="000000" w:themeColor="text1"/>
              </w:rPr>
            </w:pPr>
            <w:r w:rsidRPr="00107C19">
              <w:rPr>
                <w:b w:val="0"/>
                <w:bCs/>
                <w:color w:val="000000" w:themeColor="text1"/>
              </w:rPr>
              <w:t>75</w:t>
            </w:r>
          </w:p>
        </w:tc>
        <w:tc>
          <w:tcPr>
            <w:tcW w:w="1309" w:type="dxa"/>
            <w:tcBorders>
              <w:top w:val="single" w:sz="4" w:space="0" w:color="auto"/>
              <w:left w:val="nil"/>
              <w:bottom w:val="single" w:sz="4" w:space="0" w:color="auto"/>
              <w:right w:val="single" w:sz="4" w:space="0" w:color="auto"/>
            </w:tcBorders>
            <w:vAlign w:val="center"/>
          </w:tcPr>
          <w:p w14:paraId="3966F758" w14:textId="77777777" w:rsidR="009175A4" w:rsidRPr="00107C19" w:rsidRDefault="009175A4" w:rsidP="00B2036B">
            <w:pPr>
              <w:pStyle w:val="TableHeading"/>
              <w:jc w:val="center"/>
              <w:rPr>
                <w:b w:val="0"/>
                <w:bCs/>
                <w:color w:val="000000" w:themeColor="text1"/>
              </w:rPr>
            </w:pPr>
            <w:r w:rsidRPr="00107C19">
              <w:rPr>
                <w:b w:val="0"/>
                <w:bCs/>
                <w:color w:val="000000" w:themeColor="text1"/>
              </w:rPr>
              <w:t>52</w:t>
            </w:r>
          </w:p>
        </w:tc>
        <w:tc>
          <w:tcPr>
            <w:tcW w:w="1309" w:type="dxa"/>
            <w:tcBorders>
              <w:top w:val="single" w:sz="4" w:space="0" w:color="auto"/>
              <w:left w:val="nil"/>
              <w:bottom w:val="single" w:sz="4" w:space="0" w:color="auto"/>
              <w:right w:val="single" w:sz="4" w:space="0" w:color="auto"/>
            </w:tcBorders>
            <w:vAlign w:val="center"/>
          </w:tcPr>
          <w:p w14:paraId="3E2BCE79" w14:textId="77777777" w:rsidR="009175A4" w:rsidRPr="00107C19" w:rsidRDefault="009175A4" w:rsidP="00B2036B">
            <w:pPr>
              <w:pStyle w:val="TableHeading"/>
              <w:jc w:val="center"/>
              <w:rPr>
                <w:b w:val="0"/>
                <w:bCs/>
                <w:color w:val="000000" w:themeColor="text1"/>
              </w:rPr>
            </w:pPr>
            <w:r w:rsidRPr="00107C19">
              <w:rPr>
                <w:b w:val="0"/>
                <w:bCs/>
                <w:color w:val="000000" w:themeColor="text1"/>
              </w:rPr>
              <w:t>83</w:t>
            </w:r>
          </w:p>
        </w:tc>
        <w:tc>
          <w:tcPr>
            <w:tcW w:w="1309" w:type="dxa"/>
            <w:tcBorders>
              <w:top w:val="single" w:sz="4" w:space="0" w:color="auto"/>
              <w:left w:val="nil"/>
              <w:bottom w:val="single" w:sz="4" w:space="0" w:color="auto"/>
              <w:right w:val="single" w:sz="4" w:space="0" w:color="auto"/>
            </w:tcBorders>
            <w:vAlign w:val="center"/>
          </w:tcPr>
          <w:p w14:paraId="319CDA30" w14:textId="77777777" w:rsidR="009175A4" w:rsidRPr="00107C19" w:rsidRDefault="009175A4" w:rsidP="00B2036B">
            <w:pPr>
              <w:pStyle w:val="TableHeading"/>
              <w:jc w:val="center"/>
              <w:rPr>
                <w:b w:val="0"/>
                <w:bCs/>
                <w:color w:val="000000" w:themeColor="text1"/>
              </w:rPr>
            </w:pPr>
            <w:r w:rsidRPr="00107C19">
              <w:rPr>
                <w:b w:val="0"/>
                <w:bCs/>
                <w:color w:val="000000" w:themeColor="text1"/>
              </w:rPr>
              <w:t>234</w:t>
            </w:r>
          </w:p>
        </w:tc>
      </w:tr>
      <w:tr w:rsidR="00107C19" w:rsidRPr="00107C19" w14:paraId="3F3F5F14" w14:textId="77777777" w:rsidTr="00B2036B">
        <w:trPr>
          <w:trHeight w:val="318"/>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B35CD" w14:textId="77777777" w:rsidR="009175A4" w:rsidRPr="00107C19" w:rsidRDefault="009175A4" w:rsidP="009175A4">
            <w:pPr>
              <w:spacing w:before="0" w:after="160" w:line="259" w:lineRule="auto"/>
              <w:rPr>
                <w:rFonts w:ascii="Calibri" w:hAnsi="Calibri"/>
                <w:color w:val="000000" w:themeColor="text1"/>
                <w:kern w:val="2"/>
                <w:szCs w:val="24"/>
                <w14:ligatures w14:val="standardContextual"/>
              </w:rPr>
            </w:pPr>
            <w:r w:rsidRPr="00107C19">
              <w:rPr>
                <w:rFonts w:ascii="Calibri" w:hAnsi="Calibri"/>
                <w:color w:val="000000" w:themeColor="text1"/>
                <w:kern w:val="2"/>
                <w:szCs w:val="24"/>
                <w14:ligatures w14:val="standardContextual"/>
              </w:rPr>
              <w:lastRenderedPageBreak/>
              <w:t xml:space="preserve">Demonstrations and training </w:t>
            </w:r>
          </w:p>
        </w:tc>
        <w:tc>
          <w:tcPr>
            <w:tcW w:w="1431" w:type="dxa"/>
            <w:tcBorders>
              <w:top w:val="single" w:sz="4" w:space="0" w:color="auto"/>
              <w:left w:val="nil"/>
              <w:bottom w:val="single" w:sz="4" w:space="0" w:color="auto"/>
              <w:right w:val="single" w:sz="4" w:space="0" w:color="auto"/>
            </w:tcBorders>
            <w:noWrap/>
            <w:vAlign w:val="center"/>
          </w:tcPr>
          <w:p w14:paraId="3EABCB4B" w14:textId="77777777" w:rsidR="009175A4" w:rsidRPr="00B2036B" w:rsidRDefault="009175A4" w:rsidP="00B2036B">
            <w:pPr>
              <w:pStyle w:val="TableHeading"/>
              <w:jc w:val="center"/>
              <w:rPr>
                <w:b w:val="0"/>
                <w:bCs/>
                <w:color w:val="000000" w:themeColor="text1"/>
              </w:rPr>
            </w:pPr>
            <w:r w:rsidRPr="00B2036B">
              <w:rPr>
                <w:b w:val="0"/>
                <w:bCs/>
                <w:color w:val="000000" w:themeColor="text1"/>
              </w:rPr>
              <w:t>54</w:t>
            </w:r>
          </w:p>
        </w:tc>
        <w:tc>
          <w:tcPr>
            <w:tcW w:w="1310" w:type="dxa"/>
            <w:tcBorders>
              <w:top w:val="single" w:sz="4" w:space="0" w:color="auto"/>
              <w:left w:val="nil"/>
              <w:bottom w:val="single" w:sz="4" w:space="0" w:color="auto"/>
              <w:right w:val="single" w:sz="4" w:space="0" w:color="auto"/>
            </w:tcBorders>
            <w:vAlign w:val="center"/>
          </w:tcPr>
          <w:p w14:paraId="5FA2E392" w14:textId="77777777" w:rsidR="009175A4" w:rsidRPr="00B2036B" w:rsidRDefault="009175A4" w:rsidP="00B2036B">
            <w:pPr>
              <w:pStyle w:val="TableHeading"/>
              <w:jc w:val="center"/>
              <w:rPr>
                <w:b w:val="0"/>
                <w:bCs/>
                <w:color w:val="000000" w:themeColor="text1"/>
              </w:rPr>
            </w:pPr>
            <w:r w:rsidRPr="00B2036B">
              <w:rPr>
                <w:b w:val="0"/>
                <w:bCs/>
                <w:color w:val="000000" w:themeColor="text1"/>
              </w:rPr>
              <w:t>37</w:t>
            </w:r>
          </w:p>
        </w:tc>
        <w:tc>
          <w:tcPr>
            <w:tcW w:w="1309" w:type="dxa"/>
            <w:tcBorders>
              <w:top w:val="single" w:sz="4" w:space="0" w:color="auto"/>
              <w:left w:val="nil"/>
              <w:bottom w:val="single" w:sz="4" w:space="0" w:color="auto"/>
              <w:right w:val="single" w:sz="4" w:space="0" w:color="auto"/>
            </w:tcBorders>
            <w:vAlign w:val="center"/>
          </w:tcPr>
          <w:p w14:paraId="07014464" w14:textId="77777777" w:rsidR="009175A4" w:rsidRPr="00B2036B" w:rsidRDefault="009175A4" w:rsidP="00B2036B">
            <w:pPr>
              <w:pStyle w:val="TableHeading"/>
              <w:jc w:val="center"/>
              <w:rPr>
                <w:b w:val="0"/>
                <w:bCs/>
                <w:color w:val="000000" w:themeColor="text1"/>
              </w:rPr>
            </w:pPr>
            <w:r w:rsidRPr="00B2036B">
              <w:rPr>
                <w:b w:val="0"/>
                <w:bCs/>
                <w:color w:val="000000" w:themeColor="text1"/>
              </w:rPr>
              <w:t>18</w:t>
            </w:r>
          </w:p>
        </w:tc>
        <w:tc>
          <w:tcPr>
            <w:tcW w:w="1309" w:type="dxa"/>
            <w:tcBorders>
              <w:top w:val="single" w:sz="4" w:space="0" w:color="auto"/>
              <w:left w:val="nil"/>
              <w:bottom w:val="single" w:sz="4" w:space="0" w:color="auto"/>
              <w:right w:val="single" w:sz="4" w:space="0" w:color="auto"/>
            </w:tcBorders>
            <w:vAlign w:val="center"/>
          </w:tcPr>
          <w:p w14:paraId="56A95677" w14:textId="77777777" w:rsidR="009175A4" w:rsidRPr="00B2036B" w:rsidRDefault="009175A4" w:rsidP="00B2036B">
            <w:pPr>
              <w:pStyle w:val="TableHeading"/>
              <w:jc w:val="center"/>
              <w:rPr>
                <w:b w:val="0"/>
                <w:bCs/>
                <w:color w:val="000000" w:themeColor="text1"/>
              </w:rPr>
            </w:pPr>
            <w:r w:rsidRPr="00B2036B">
              <w:rPr>
                <w:b w:val="0"/>
                <w:bCs/>
                <w:color w:val="000000" w:themeColor="text1"/>
              </w:rPr>
              <w:t>26</w:t>
            </w:r>
          </w:p>
        </w:tc>
        <w:tc>
          <w:tcPr>
            <w:tcW w:w="1309" w:type="dxa"/>
            <w:tcBorders>
              <w:top w:val="single" w:sz="4" w:space="0" w:color="auto"/>
              <w:left w:val="nil"/>
              <w:bottom w:val="single" w:sz="4" w:space="0" w:color="auto"/>
              <w:right w:val="single" w:sz="4" w:space="0" w:color="auto"/>
            </w:tcBorders>
            <w:vAlign w:val="center"/>
          </w:tcPr>
          <w:p w14:paraId="3966FE87" w14:textId="01ADD3EA" w:rsidR="009175A4" w:rsidRPr="00B2036B" w:rsidRDefault="009E5B89" w:rsidP="00B2036B">
            <w:pPr>
              <w:pStyle w:val="TableHeading"/>
              <w:jc w:val="center"/>
              <w:rPr>
                <w:b w:val="0"/>
                <w:bCs/>
                <w:color w:val="000000" w:themeColor="text1"/>
              </w:rPr>
            </w:pPr>
            <w:r w:rsidRPr="00B2036B">
              <w:rPr>
                <w:b w:val="0"/>
                <w:bCs/>
                <w:color w:val="000000" w:themeColor="text1"/>
              </w:rPr>
              <w:t>44</w:t>
            </w:r>
          </w:p>
        </w:tc>
      </w:tr>
    </w:tbl>
    <w:p w14:paraId="7D2F5A87"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14:ligatures w14:val="standardContextual"/>
        </w:rPr>
        <w:t>ND, data not available.</w:t>
      </w:r>
    </w:p>
    <w:p w14:paraId="4A621D72" w14:textId="1DB2099F"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 xml:space="preserve">1 </w:t>
      </w:r>
      <w:r w:rsidRPr="00107C19">
        <w:rPr>
          <w:rFonts w:ascii="Calibri" w:hAnsi="Calibri"/>
          <w:color w:val="000000" w:themeColor="text1"/>
          <w:kern w:val="2"/>
          <w:sz w:val="22"/>
          <w14:ligatures w14:val="standardContextual"/>
        </w:rPr>
        <w:t>Material Transfer Research Agreements. Involves collaborative research on a specific material.</w:t>
      </w:r>
    </w:p>
    <w:p w14:paraId="31106BBE" w14:textId="5E7C532E" w:rsidR="009175A4" w:rsidRPr="00107C19" w:rsidRDefault="004C6AAE"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2</w:t>
      </w:r>
      <w:r w:rsidR="009175A4" w:rsidRPr="00107C19">
        <w:rPr>
          <w:rFonts w:ascii="Calibri" w:hAnsi="Calibri"/>
          <w:color w:val="000000" w:themeColor="text1"/>
          <w:kern w:val="2"/>
          <w:sz w:val="22"/>
          <w14:ligatures w14:val="standardContextual"/>
        </w:rPr>
        <w:t xml:space="preserve"> Includes Trust Fund Cooperative Agreements, Reimbursable Agreements, Interagency Agreements, and Non-Funded Cooperative Agreements.</w:t>
      </w:r>
    </w:p>
    <w:p w14:paraId="5E021CE2" w14:textId="77777777" w:rsidR="009175A4" w:rsidRPr="00107C19" w:rsidRDefault="009175A4" w:rsidP="009175A4">
      <w:pPr>
        <w:spacing w:before="0" w:after="160" w:line="259" w:lineRule="auto"/>
        <w:rPr>
          <w:rFonts w:ascii="Calibri" w:hAnsi="Calibri"/>
          <w:b/>
          <w:bCs/>
          <w:color w:val="000000" w:themeColor="text1"/>
          <w:kern w:val="2"/>
          <w:sz w:val="22"/>
          <w14:ligatures w14:val="standardContextual"/>
        </w:rPr>
      </w:pPr>
      <w:r w:rsidRPr="00107C19">
        <w:rPr>
          <w:rFonts w:ascii="Calibri" w:hAnsi="Calibri"/>
          <w:b/>
          <w:bCs/>
          <w:color w:val="000000" w:themeColor="text1"/>
          <w:kern w:val="2"/>
          <w:sz w:val="22"/>
          <w14:ligatures w14:val="standardContextual"/>
        </w:rPr>
        <w:t>Table 2. Invention disclosures and patenting</w:t>
      </w:r>
    </w:p>
    <w:tbl>
      <w:tblPr>
        <w:tblW w:w="9720" w:type="dxa"/>
        <w:jc w:val="center"/>
        <w:tblLook w:val="04A0" w:firstRow="1" w:lastRow="0" w:firstColumn="1" w:lastColumn="0" w:noHBand="0" w:noVBand="1"/>
      </w:tblPr>
      <w:tblGrid>
        <w:gridCol w:w="4410"/>
        <w:gridCol w:w="1080"/>
        <w:gridCol w:w="1080"/>
        <w:gridCol w:w="1080"/>
        <w:gridCol w:w="1050"/>
        <w:gridCol w:w="1020"/>
      </w:tblGrid>
      <w:tr w:rsidR="00107C19" w:rsidRPr="00107C19" w14:paraId="77DC5510" w14:textId="77777777" w:rsidTr="00167353">
        <w:trPr>
          <w:trHeight w:val="302"/>
          <w:tblHeader/>
          <w:jc w:val="center"/>
        </w:trPr>
        <w:tc>
          <w:tcPr>
            <w:tcW w:w="44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1AE12C" w14:textId="77777777" w:rsidR="009175A4" w:rsidRPr="00107C19" w:rsidRDefault="009175A4" w:rsidP="00013CB4">
            <w:pPr>
              <w:pStyle w:val="TableHeading"/>
              <w:rPr>
                <w:color w:val="000000" w:themeColor="text1"/>
              </w:rPr>
            </w:pPr>
            <w:r w:rsidRPr="00107C19">
              <w:rPr>
                <w:color w:val="000000" w:themeColor="text1"/>
              </w:rPr>
              <w:t>Patenting</w:t>
            </w:r>
          </w:p>
        </w:tc>
        <w:tc>
          <w:tcPr>
            <w:tcW w:w="1080" w:type="dxa"/>
            <w:tcBorders>
              <w:top w:val="single" w:sz="4" w:space="0" w:color="auto"/>
              <w:left w:val="nil"/>
              <w:bottom w:val="single" w:sz="4" w:space="0" w:color="auto"/>
              <w:right w:val="single" w:sz="4" w:space="0" w:color="auto"/>
            </w:tcBorders>
            <w:shd w:val="clear" w:color="000000" w:fill="D9D9D9"/>
            <w:noWrap/>
            <w:vAlign w:val="center"/>
          </w:tcPr>
          <w:p w14:paraId="2C3D0B02" w14:textId="77777777" w:rsidR="009175A4" w:rsidRPr="00107C19" w:rsidRDefault="009175A4" w:rsidP="00167353">
            <w:pPr>
              <w:pStyle w:val="TableHeading"/>
              <w:jc w:val="center"/>
              <w:rPr>
                <w:color w:val="000000" w:themeColor="text1"/>
              </w:rPr>
            </w:pPr>
            <w:r w:rsidRPr="00107C19">
              <w:rPr>
                <w:color w:val="000000" w:themeColor="text1"/>
              </w:rPr>
              <w:t>2019</w:t>
            </w:r>
          </w:p>
        </w:tc>
        <w:tc>
          <w:tcPr>
            <w:tcW w:w="1080" w:type="dxa"/>
            <w:tcBorders>
              <w:top w:val="single" w:sz="4" w:space="0" w:color="auto"/>
              <w:left w:val="nil"/>
              <w:bottom w:val="single" w:sz="4" w:space="0" w:color="auto"/>
              <w:right w:val="single" w:sz="4" w:space="0" w:color="auto"/>
            </w:tcBorders>
            <w:shd w:val="clear" w:color="000000" w:fill="D9D9D9"/>
            <w:vAlign w:val="center"/>
          </w:tcPr>
          <w:p w14:paraId="3CDC2424" w14:textId="77777777" w:rsidR="009175A4" w:rsidRPr="00107C19" w:rsidRDefault="009175A4" w:rsidP="00167353">
            <w:pPr>
              <w:pStyle w:val="TableHeading"/>
              <w:jc w:val="center"/>
              <w:rPr>
                <w:color w:val="000000" w:themeColor="text1"/>
              </w:rPr>
            </w:pPr>
            <w:r w:rsidRPr="00107C19">
              <w:rPr>
                <w:color w:val="000000" w:themeColor="text1"/>
              </w:rPr>
              <w:t>2020</w:t>
            </w:r>
          </w:p>
        </w:tc>
        <w:tc>
          <w:tcPr>
            <w:tcW w:w="1080" w:type="dxa"/>
            <w:tcBorders>
              <w:top w:val="single" w:sz="4" w:space="0" w:color="auto"/>
              <w:left w:val="nil"/>
              <w:bottom w:val="single" w:sz="4" w:space="0" w:color="auto"/>
              <w:right w:val="single" w:sz="4" w:space="0" w:color="auto"/>
            </w:tcBorders>
            <w:shd w:val="clear" w:color="000000" w:fill="D9D9D9"/>
            <w:vAlign w:val="center"/>
          </w:tcPr>
          <w:p w14:paraId="64635FCE" w14:textId="77777777" w:rsidR="009175A4" w:rsidRPr="00107C19" w:rsidRDefault="009175A4" w:rsidP="00167353">
            <w:pPr>
              <w:pStyle w:val="TableHeading"/>
              <w:jc w:val="center"/>
              <w:rPr>
                <w:color w:val="000000" w:themeColor="text1"/>
              </w:rPr>
            </w:pPr>
            <w:r w:rsidRPr="00107C19">
              <w:rPr>
                <w:color w:val="000000" w:themeColor="text1"/>
              </w:rPr>
              <w:t>2021</w:t>
            </w:r>
          </w:p>
        </w:tc>
        <w:tc>
          <w:tcPr>
            <w:tcW w:w="1050" w:type="dxa"/>
            <w:tcBorders>
              <w:top w:val="single" w:sz="4" w:space="0" w:color="auto"/>
              <w:left w:val="nil"/>
              <w:bottom w:val="single" w:sz="4" w:space="0" w:color="auto"/>
              <w:right w:val="single" w:sz="4" w:space="0" w:color="auto"/>
            </w:tcBorders>
            <w:shd w:val="clear" w:color="000000" w:fill="D9D9D9"/>
            <w:vAlign w:val="center"/>
          </w:tcPr>
          <w:p w14:paraId="535F3CCC" w14:textId="77777777" w:rsidR="009175A4" w:rsidRPr="00107C19" w:rsidRDefault="009175A4" w:rsidP="00167353">
            <w:pPr>
              <w:pStyle w:val="TableHeading"/>
              <w:jc w:val="center"/>
              <w:rPr>
                <w:color w:val="000000" w:themeColor="text1"/>
              </w:rPr>
            </w:pPr>
            <w:r w:rsidRPr="00107C19">
              <w:rPr>
                <w:color w:val="000000" w:themeColor="text1"/>
              </w:rPr>
              <w:t>2022</w:t>
            </w:r>
          </w:p>
        </w:tc>
        <w:tc>
          <w:tcPr>
            <w:tcW w:w="1020" w:type="dxa"/>
            <w:tcBorders>
              <w:top w:val="single" w:sz="4" w:space="0" w:color="auto"/>
              <w:left w:val="nil"/>
              <w:bottom w:val="single" w:sz="4" w:space="0" w:color="auto"/>
              <w:right w:val="single" w:sz="4" w:space="0" w:color="auto"/>
            </w:tcBorders>
            <w:shd w:val="clear" w:color="000000" w:fill="D9D9D9"/>
            <w:vAlign w:val="center"/>
          </w:tcPr>
          <w:p w14:paraId="07AC4B95" w14:textId="77777777" w:rsidR="009175A4" w:rsidRPr="00107C19" w:rsidRDefault="009175A4" w:rsidP="00167353">
            <w:pPr>
              <w:pStyle w:val="TableHeading"/>
              <w:jc w:val="center"/>
              <w:rPr>
                <w:color w:val="000000" w:themeColor="text1"/>
              </w:rPr>
            </w:pPr>
            <w:r w:rsidRPr="00107C19">
              <w:rPr>
                <w:color w:val="000000" w:themeColor="text1"/>
              </w:rPr>
              <w:t>2023</w:t>
            </w:r>
          </w:p>
        </w:tc>
      </w:tr>
      <w:tr w:rsidR="00107C19" w:rsidRPr="00107C19" w14:paraId="28836E30" w14:textId="77777777" w:rsidTr="00167353">
        <w:trPr>
          <w:trHeight w:val="348"/>
          <w:jc w:val="center"/>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5AB84105" w14:textId="77777777" w:rsidR="009175A4" w:rsidRPr="00107C19" w:rsidRDefault="009175A4" w:rsidP="00013CB4">
            <w:pPr>
              <w:pStyle w:val="TableHeading"/>
              <w:rPr>
                <w:b w:val="0"/>
                <w:bCs/>
                <w:color w:val="000000" w:themeColor="text1"/>
              </w:rPr>
            </w:pPr>
            <w:r w:rsidRPr="00107C19">
              <w:rPr>
                <w:b w:val="0"/>
                <w:bCs/>
                <w:color w:val="000000" w:themeColor="text1"/>
              </w:rPr>
              <w:t>Total new invention disclosures</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69A3408B"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228</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36F00BA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188</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31FB1859"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172</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08E1E7A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144</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5D80928F" w14:textId="77777777" w:rsidR="009175A4" w:rsidRPr="00107C19" w:rsidRDefault="009175A4" w:rsidP="00167353">
            <w:pPr>
              <w:pStyle w:val="TableHeading"/>
              <w:jc w:val="center"/>
              <w:rPr>
                <w:b w:val="0"/>
                <w:bCs/>
                <w:color w:val="000000" w:themeColor="text1"/>
              </w:rPr>
            </w:pPr>
            <w:r w:rsidRPr="00107C19">
              <w:rPr>
                <w:b w:val="0"/>
                <w:bCs/>
                <w:color w:val="000000" w:themeColor="text1"/>
              </w:rPr>
              <w:t>97</w:t>
            </w:r>
          </w:p>
        </w:tc>
      </w:tr>
      <w:tr w:rsidR="00107C19" w:rsidRPr="00107C19" w14:paraId="6EB50E9C"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526F30A"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University co-owned </w:t>
            </w:r>
          </w:p>
        </w:tc>
        <w:tc>
          <w:tcPr>
            <w:tcW w:w="1080" w:type="dxa"/>
            <w:tcBorders>
              <w:top w:val="nil"/>
              <w:left w:val="nil"/>
              <w:bottom w:val="single" w:sz="4" w:space="0" w:color="auto"/>
              <w:right w:val="single" w:sz="4" w:space="0" w:color="auto"/>
            </w:tcBorders>
            <w:noWrap/>
            <w:vAlign w:val="center"/>
          </w:tcPr>
          <w:p w14:paraId="5246AB09" w14:textId="77777777" w:rsidR="009175A4" w:rsidRPr="00107C19" w:rsidRDefault="009175A4" w:rsidP="00167353">
            <w:pPr>
              <w:pStyle w:val="TableHeading"/>
              <w:jc w:val="center"/>
              <w:rPr>
                <w:b w:val="0"/>
                <w:bCs/>
                <w:color w:val="000000" w:themeColor="text1"/>
              </w:rPr>
            </w:pPr>
            <w:r w:rsidRPr="00107C19">
              <w:rPr>
                <w:b w:val="0"/>
                <w:bCs/>
                <w:color w:val="000000" w:themeColor="text1"/>
              </w:rPr>
              <w:t>39</w:t>
            </w:r>
          </w:p>
        </w:tc>
        <w:tc>
          <w:tcPr>
            <w:tcW w:w="1080" w:type="dxa"/>
            <w:tcBorders>
              <w:top w:val="nil"/>
              <w:left w:val="nil"/>
              <w:bottom w:val="single" w:sz="4" w:space="0" w:color="auto"/>
              <w:right w:val="single" w:sz="4" w:space="0" w:color="auto"/>
            </w:tcBorders>
            <w:vAlign w:val="center"/>
          </w:tcPr>
          <w:p w14:paraId="7C1C6164"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w:t>
            </w:r>
          </w:p>
        </w:tc>
        <w:tc>
          <w:tcPr>
            <w:tcW w:w="1080" w:type="dxa"/>
            <w:tcBorders>
              <w:top w:val="nil"/>
              <w:left w:val="nil"/>
              <w:bottom w:val="single" w:sz="4" w:space="0" w:color="auto"/>
              <w:right w:val="single" w:sz="4" w:space="0" w:color="auto"/>
            </w:tcBorders>
            <w:vAlign w:val="center"/>
          </w:tcPr>
          <w:p w14:paraId="67D1337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19</w:t>
            </w:r>
          </w:p>
        </w:tc>
        <w:tc>
          <w:tcPr>
            <w:tcW w:w="1050" w:type="dxa"/>
            <w:tcBorders>
              <w:top w:val="nil"/>
              <w:left w:val="nil"/>
              <w:bottom w:val="single" w:sz="4" w:space="0" w:color="auto"/>
              <w:right w:val="single" w:sz="4" w:space="0" w:color="auto"/>
            </w:tcBorders>
            <w:vAlign w:val="center"/>
          </w:tcPr>
          <w:p w14:paraId="5FB012B4" w14:textId="77777777" w:rsidR="009175A4" w:rsidRPr="00107C19" w:rsidRDefault="009175A4" w:rsidP="00167353">
            <w:pPr>
              <w:pStyle w:val="TableHeading"/>
              <w:jc w:val="center"/>
              <w:rPr>
                <w:b w:val="0"/>
                <w:bCs/>
                <w:color w:val="000000" w:themeColor="text1"/>
              </w:rPr>
            </w:pPr>
            <w:r w:rsidRPr="00107C19">
              <w:rPr>
                <w:b w:val="0"/>
                <w:bCs/>
                <w:color w:val="000000" w:themeColor="text1"/>
              </w:rPr>
              <w:t>34</w:t>
            </w:r>
          </w:p>
        </w:tc>
        <w:tc>
          <w:tcPr>
            <w:tcW w:w="1020" w:type="dxa"/>
            <w:tcBorders>
              <w:top w:val="nil"/>
              <w:left w:val="nil"/>
              <w:bottom w:val="single" w:sz="4" w:space="0" w:color="auto"/>
              <w:right w:val="single" w:sz="4" w:space="0" w:color="auto"/>
            </w:tcBorders>
            <w:vAlign w:val="center"/>
          </w:tcPr>
          <w:p w14:paraId="00CA5F42"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w:t>
            </w:r>
          </w:p>
        </w:tc>
      </w:tr>
      <w:tr w:rsidR="00107C19" w:rsidRPr="00107C19" w14:paraId="59CCAAA9"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32FE7A40"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Non-university co-owned </w:t>
            </w:r>
          </w:p>
        </w:tc>
        <w:tc>
          <w:tcPr>
            <w:tcW w:w="1080" w:type="dxa"/>
            <w:tcBorders>
              <w:top w:val="nil"/>
              <w:left w:val="nil"/>
              <w:bottom w:val="single" w:sz="4" w:space="0" w:color="auto"/>
              <w:right w:val="single" w:sz="4" w:space="0" w:color="auto"/>
            </w:tcBorders>
            <w:noWrap/>
            <w:vAlign w:val="center"/>
          </w:tcPr>
          <w:p w14:paraId="67A4A6C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w:t>
            </w:r>
          </w:p>
        </w:tc>
        <w:tc>
          <w:tcPr>
            <w:tcW w:w="1080" w:type="dxa"/>
            <w:tcBorders>
              <w:top w:val="nil"/>
              <w:left w:val="nil"/>
              <w:bottom w:val="single" w:sz="4" w:space="0" w:color="auto"/>
              <w:right w:val="single" w:sz="4" w:space="0" w:color="auto"/>
            </w:tcBorders>
            <w:vAlign w:val="center"/>
          </w:tcPr>
          <w:p w14:paraId="329E8BE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w:t>
            </w:r>
          </w:p>
        </w:tc>
        <w:tc>
          <w:tcPr>
            <w:tcW w:w="1080" w:type="dxa"/>
            <w:tcBorders>
              <w:top w:val="nil"/>
              <w:left w:val="nil"/>
              <w:bottom w:val="single" w:sz="4" w:space="0" w:color="auto"/>
              <w:right w:val="single" w:sz="4" w:space="0" w:color="auto"/>
            </w:tcBorders>
            <w:vAlign w:val="center"/>
          </w:tcPr>
          <w:p w14:paraId="076A5A44"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c>
          <w:tcPr>
            <w:tcW w:w="1050" w:type="dxa"/>
            <w:tcBorders>
              <w:top w:val="nil"/>
              <w:left w:val="nil"/>
              <w:bottom w:val="single" w:sz="4" w:space="0" w:color="auto"/>
              <w:right w:val="single" w:sz="4" w:space="0" w:color="auto"/>
            </w:tcBorders>
            <w:vAlign w:val="center"/>
          </w:tcPr>
          <w:p w14:paraId="16159668"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20" w:type="dxa"/>
            <w:tcBorders>
              <w:top w:val="nil"/>
              <w:left w:val="nil"/>
              <w:bottom w:val="single" w:sz="4" w:space="0" w:color="auto"/>
              <w:right w:val="single" w:sz="4" w:space="0" w:color="auto"/>
            </w:tcBorders>
            <w:vAlign w:val="center"/>
          </w:tcPr>
          <w:p w14:paraId="5537D3F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r>
      <w:tr w:rsidR="00107C19" w:rsidRPr="00107C19" w14:paraId="07E43E70"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1BBC0B1C"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USDA solely owned </w:t>
            </w:r>
          </w:p>
        </w:tc>
        <w:tc>
          <w:tcPr>
            <w:tcW w:w="1080" w:type="dxa"/>
            <w:tcBorders>
              <w:top w:val="nil"/>
              <w:left w:val="nil"/>
              <w:bottom w:val="single" w:sz="4" w:space="0" w:color="auto"/>
              <w:right w:val="single" w:sz="4" w:space="0" w:color="auto"/>
            </w:tcBorders>
            <w:noWrap/>
            <w:vAlign w:val="center"/>
          </w:tcPr>
          <w:p w14:paraId="1802F25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171</w:t>
            </w:r>
          </w:p>
        </w:tc>
        <w:tc>
          <w:tcPr>
            <w:tcW w:w="1080" w:type="dxa"/>
            <w:tcBorders>
              <w:top w:val="nil"/>
              <w:left w:val="nil"/>
              <w:bottom w:val="single" w:sz="4" w:space="0" w:color="auto"/>
              <w:right w:val="single" w:sz="4" w:space="0" w:color="auto"/>
            </w:tcBorders>
            <w:vAlign w:val="center"/>
          </w:tcPr>
          <w:p w14:paraId="44188E4F" w14:textId="77777777" w:rsidR="009175A4" w:rsidRPr="00107C19" w:rsidRDefault="009175A4" w:rsidP="00167353">
            <w:pPr>
              <w:pStyle w:val="TableHeading"/>
              <w:jc w:val="center"/>
              <w:rPr>
                <w:b w:val="0"/>
                <w:bCs/>
                <w:color w:val="000000" w:themeColor="text1"/>
              </w:rPr>
            </w:pPr>
            <w:r w:rsidRPr="00107C19">
              <w:rPr>
                <w:b w:val="0"/>
                <w:bCs/>
                <w:color w:val="000000" w:themeColor="text1"/>
              </w:rPr>
              <w:t>47</w:t>
            </w:r>
          </w:p>
        </w:tc>
        <w:tc>
          <w:tcPr>
            <w:tcW w:w="1080" w:type="dxa"/>
            <w:tcBorders>
              <w:top w:val="nil"/>
              <w:left w:val="nil"/>
              <w:bottom w:val="single" w:sz="4" w:space="0" w:color="auto"/>
              <w:right w:val="single" w:sz="4" w:space="0" w:color="auto"/>
            </w:tcBorders>
            <w:vAlign w:val="center"/>
          </w:tcPr>
          <w:p w14:paraId="7D185333" w14:textId="77777777" w:rsidR="009175A4" w:rsidRPr="00107C19" w:rsidRDefault="009175A4" w:rsidP="00167353">
            <w:pPr>
              <w:pStyle w:val="TableHeading"/>
              <w:jc w:val="center"/>
              <w:rPr>
                <w:b w:val="0"/>
                <w:bCs/>
                <w:color w:val="000000" w:themeColor="text1"/>
              </w:rPr>
            </w:pPr>
            <w:r w:rsidRPr="00107C19">
              <w:rPr>
                <w:b w:val="0"/>
                <w:bCs/>
                <w:color w:val="000000" w:themeColor="text1"/>
              </w:rPr>
              <w:t>40</w:t>
            </w:r>
          </w:p>
        </w:tc>
        <w:tc>
          <w:tcPr>
            <w:tcW w:w="1050" w:type="dxa"/>
            <w:tcBorders>
              <w:top w:val="nil"/>
              <w:left w:val="nil"/>
              <w:bottom w:val="single" w:sz="4" w:space="0" w:color="auto"/>
              <w:right w:val="single" w:sz="4" w:space="0" w:color="auto"/>
            </w:tcBorders>
            <w:vAlign w:val="center"/>
          </w:tcPr>
          <w:p w14:paraId="293CB7F3" w14:textId="77777777" w:rsidR="009175A4" w:rsidRPr="00107C19" w:rsidRDefault="009175A4" w:rsidP="00167353">
            <w:pPr>
              <w:pStyle w:val="TableHeading"/>
              <w:jc w:val="center"/>
              <w:rPr>
                <w:b w:val="0"/>
                <w:bCs/>
                <w:color w:val="000000" w:themeColor="text1"/>
              </w:rPr>
            </w:pPr>
            <w:r w:rsidRPr="00107C19">
              <w:rPr>
                <w:b w:val="0"/>
                <w:bCs/>
                <w:color w:val="000000" w:themeColor="text1"/>
              </w:rPr>
              <w:t>52</w:t>
            </w:r>
          </w:p>
        </w:tc>
        <w:tc>
          <w:tcPr>
            <w:tcW w:w="1020" w:type="dxa"/>
            <w:tcBorders>
              <w:top w:val="nil"/>
              <w:left w:val="nil"/>
              <w:bottom w:val="single" w:sz="4" w:space="0" w:color="auto"/>
              <w:right w:val="single" w:sz="4" w:space="0" w:color="auto"/>
            </w:tcBorders>
            <w:vAlign w:val="center"/>
          </w:tcPr>
          <w:p w14:paraId="1969B8D3" w14:textId="77777777" w:rsidR="009175A4" w:rsidRPr="00107C19" w:rsidRDefault="009175A4" w:rsidP="00167353">
            <w:pPr>
              <w:pStyle w:val="TableHeading"/>
              <w:jc w:val="center"/>
              <w:rPr>
                <w:b w:val="0"/>
                <w:bCs/>
                <w:color w:val="000000" w:themeColor="text1"/>
              </w:rPr>
            </w:pPr>
            <w:r w:rsidRPr="00107C19">
              <w:rPr>
                <w:b w:val="0"/>
                <w:bCs/>
                <w:color w:val="000000" w:themeColor="text1"/>
              </w:rPr>
              <w:t>41</w:t>
            </w:r>
          </w:p>
        </w:tc>
      </w:tr>
      <w:tr w:rsidR="00107C19" w:rsidRPr="00107C19" w14:paraId="3977AB7D"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5A3C029D" w14:textId="77777777" w:rsidR="009175A4" w:rsidRPr="00107C19" w:rsidRDefault="009175A4" w:rsidP="00013CB4">
            <w:pPr>
              <w:pStyle w:val="TableHeading"/>
              <w:rPr>
                <w:b w:val="0"/>
                <w:bCs/>
                <w:color w:val="000000" w:themeColor="text1"/>
              </w:rPr>
            </w:pPr>
            <w:r w:rsidRPr="00107C19">
              <w:rPr>
                <w:b w:val="0"/>
                <w:bCs/>
                <w:color w:val="000000" w:themeColor="text1"/>
              </w:rPr>
              <w:t>Biological materials invention disclosures</w:t>
            </w:r>
          </w:p>
        </w:tc>
        <w:tc>
          <w:tcPr>
            <w:tcW w:w="1080" w:type="dxa"/>
            <w:tcBorders>
              <w:top w:val="nil"/>
              <w:left w:val="nil"/>
              <w:bottom w:val="single" w:sz="4" w:space="0" w:color="auto"/>
              <w:right w:val="single" w:sz="4" w:space="0" w:color="auto"/>
            </w:tcBorders>
            <w:noWrap/>
            <w:vAlign w:val="center"/>
          </w:tcPr>
          <w:p w14:paraId="4B3D1627" w14:textId="77777777" w:rsidR="009175A4" w:rsidRPr="00107C19" w:rsidRDefault="009175A4" w:rsidP="00167353">
            <w:pPr>
              <w:pStyle w:val="TableHeading"/>
              <w:jc w:val="center"/>
              <w:rPr>
                <w:b w:val="0"/>
                <w:bCs/>
                <w:color w:val="000000" w:themeColor="text1"/>
              </w:rPr>
            </w:pPr>
            <w:r w:rsidRPr="00107C19">
              <w:rPr>
                <w:b w:val="0"/>
                <w:bCs/>
                <w:color w:val="000000" w:themeColor="text1"/>
              </w:rPr>
              <w:t>86</w:t>
            </w:r>
          </w:p>
        </w:tc>
        <w:tc>
          <w:tcPr>
            <w:tcW w:w="1080" w:type="dxa"/>
            <w:tcBorders>
              <w:top w:val="nil"/>
              <w:left w:val="nil"/>
              <w:bottom w:val="single" w:sz="4" w:space="0" w:color="auto"/>
              <w:right w:val="single" w:sz="4" w:space="0" w:color="auto"/>
            </w:tcBorders>
            <w:vAlign w:val="center"/>
          </w:tcPr>
          <w:p w14:paraId="0187BD33" w14:textId="77777777" w:rsidR="009175A4" w:rsidRPr="00107C19" w:rsidRDefault="009175A4" w:rsidP="00167353">
            <w:pPr>
              <w:pStyle w:val="TableHeading"/>
              <w:jc w:val="center"/>
              <w:rPr>
                <w:b w:val="0"/>
                <w:bCs/>
                <w:color w:val="000000" w:themeColor="text1"/>
              </w:rPr>
            </w:pPr>
            <w:r w:rsidRPr="00107C19">
              <w:rPr>
                <w:b w:val="0"/>
                <w:bCs/>
                <w:color w:val="000000" w:themeColor="text1"/>
              </w:rPr>
              <w:t>46</w:t>
            </w:r>
          </w:p>
        </w:tc>
        <w:tc>
          <w:tcPr>
            <w:tcW w:w="1080" w:type="dxa"/>
            <w:tcBorders>
              <w:top w:val="nil"/>
              <w:left w:val="nil"/>
              <w:bottom w:val="single" w:sz="4" w:space="0" w:color="auto"/>
              <w:right w:val="single" w:sz="4" w:space="0" w:color="auto"/>
            </w:tcBorders>
            <w:vAlign w:val="center"/>
          </w:tcPr>
          <w:p w14:paraId="4F71F7A3" w14:textId="77777777" w:rsidR="009175A4" w:rsidRPr="00107C19" w:rsidRDefault="009175A4" w:rsidP="00167353">
            <w:pPr>
              <w:pStyle w:val="TableHeading"/>
              <w:jc w:val="center"/>
              <w:rPr>
                <w:b w:val="0"/>
                <w:bCs/>
                <w:color w:val="000000" w:themeColor="text1"/>
              </w:rPr>
            </w:pPr>
            <w:r w:rsidRPr="00107C19">
              <w:rPr>
                <w:b w:val="0"/>
                <w:bCs/>
                <w:color w:val="000000" w:themeColor="text1"/>
              </w:rPr>
              <w:t>74</w:t>
            </w:r>
          </w:p>
        </w:tc>
        <w:tc>
          <w:tcPr>
            <w:tcW w:w="1050" w:type="dxa"/>
            <w:tcBorders>
              <w:top w:val="nil"/>
              <w:left w:val="nil"/>
              <w:bottom w:val="single" w:sz="4" w:space="0" w:color="auto"/>
              <w:right w:val="single" w:sz="4" w:space="0" w:color="auto"/>
            </w:tcBorders>
            <w:vAlign w:val="center"/>
          </w:tcPr>
          <w:p w14:paraId="62360533"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w:t>
            </w:r>
          </w:p>
        </w:tc>
        <w:tc>
          <w:tcPr>
            <w:tcW w:w="1020" w:type="dxa"/>
            <w:tcBorders>
              <w:top w:val="nil"/>
              <w:left w:val="nil"/>
              <w:bottom w:val="single" w:sz="4" w:space="0" w:color="auto"/>
              <w:right w:val="single" w:sz="4" w:space="0" w:color="auto"/>
            </w:tcBorders>
            <w:vAlign w:val="center"/>
          </w:tcPr>
          <w:p w14:paraId="4D726AC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19</w:t>
            </w:r>
          </w:p>
        </w:tc>
      </w:tr>
      <w:tr w:rsidR="00107C19" w:rsidRPr="00107C19" w14:paraId="6464888B" w14:textId="77777777" w:rsidTr="00167353">
        <w:trPr>
          <w:trHeight w:val="302"/>
          <w:jc w:val="center"/>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AA7A9" w14:textId="77777777" w:rsidR="009175A4" w:rsidRPr="00107C19" w:rsidRDefault="009175A4" w:rsidP="00013CB4">
            <w:pPr>
              <w:pStyle w:val="TableHeading"/>
              <w:rPr>
                <w:b w:val="0"/>
                <w:bCs/>
                <w:color w:val="000000" w:themeColor="text1"/>
              </w:rPr>
            </w:pPr>
            <w:r w:rsidRPr="00107C19">
              <w:rPr>
                <w:b w:val="0"/>
                <w:bCs/>
                <w:color w:val="000000" w:themeColor="text1"/>
              </w:rPr>
              <w:t>Life science invention disclosures</w:t>
            </w:r>
          </w:p>
        </w:tc>
        <w:tc>
          <w:tcPr>
            <w:tcW w:w="1080" w:type="dxa"/>
            <w:tcBorders>
              <w:top w:val="single" w:sz="4" w:space="0" w:color="auto"/>
              <w:left w:val="nil"/>
              <w:bottom w:val="single" w:sz="4" w:space="0" w:color="auto"/>
              <w:right w:val="single" w:sz="4" w:space="0" w:color="auto"/>
            </w:tcBorders>
            <w:noWrap/>
            <w:vAlign w:val="center"/>
          </w:tcPr>
          <w:p w14:paraId="30FEE2A6" w14:textId="77777777" w:rsidR="009175A4" w:rsidRPr="00107C19" w:rsidRDefault="009175A4" w:rsidP="00167353">
            <w:pPr>
              <w:pStyle w:val="TableHeading"/>
              <w:jc w:val="center"/>
              <w:rPr>
                <w:b w:val="0"/>
                <w:bCs/>
                <w:color w:val="000000" w:themeColor="text1"/>
              </w:rPr>
            </w:pPr>
            <w:r w:rsidRPr="00107C19">
              <w:rPr>
                <w:b w:val="0"/>
                <w:bCs/>
                <w:color w:val="000000" w:themeColor="text1"/>
              </w:rPr>
              <w:t>47</w:t>
            </w:r>
          </w:p>
        </w:tc>
        <w:tc>
          <w:tcPr>
            <w:tcW w:w="1080" w:type="dxa"/>
            <w:tcBorders>
              <w:top w:val="single" w:sz="4" w:space="0" w:color="auto"/>
              <w:left w:val="nil"/>
              <w:bottom w:val="single" w:sz="4" w:space="0" w:color="auto"/>
              <w:right w:val="single" w:sz="4" w:space="0" w:color="auto"/>
            </w:tcBorders>
            <w:vAlign w:val="center"/>
          </w:tcPr>
          <w:p w14:paraId="3D49D57E" w14:textId="77777777" w:rsidR="009175A4" w:rsidRPr="00107C19" w:rsidRDefault="009175A4" w:rsidP="00167353">
            <w:pPr>
              <w:pStyle w:val="TableHeading"/>
              <w:jc w:val="center"/>
              <w:rPr>
                <w:b w:val="0"/>
                <w:bCs/>
                <w:color w:val="000000" w:themeColor="text1"/>
              </w:rPr>
            </w:pPr>
            <w:r w:rsidRPr="00107C19">
              <w:rPr>
                <w:b w:val="0"/>
                <w:bCs/>
                <w:color w:val="000000" w:themeColor="text1"/>
              </w:rPr>
              <w:t>35</w:t>
            </w:r>
          </w:p>
        </w:tc>
        <w:tc>
          <w:tcPr>
            <w:tcW w:w="1080" w:type="dxa"/>
            <w:tcBorders>
              <w:top w:val="single" w:sz="4" w:space="0" w:color="auto"/>
              <w:left w:val="nil"/>
              <w:bottom w:val="single" w:sz="4" w:space="0" w:color="auto"/>
              <w:right w:val="single" w:sz="4" w:space="0" w:color="auto"/>
            </w:tcBorders>
            <w:vAlign w:val="center"/>
          </w:tcPr>
          <w:p w14:paraId="54901EC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w:t>
            </w:r>
          </w:p>
        </w:tc>
        <w:tc>
          <w:tcPr>
            <w:tcW w:w="1050" w:type="dxa"/>
            <w:tcBorders>
              <w:top w:val="single" w:sz="4" w:space="0" w:color="auto"/>
              <w:left w:val="nil"/>
              <w:bottom w:val="single" w:sz="4" w:space="0" w:color="auto"/>
              <w:right w:val="single" w:sz="4" w:space="0" w:color="auto"/>
            </w:tcBorders>
            <w:vAlign w:val="center"/>
          </w:tcPr>
          <w:p w14:paraId="37F9E0F5"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w:t>
            </w:r>
          </w:p>
        </w:tc>
        <w:tc>
          <w:tcPr>
            <w:tcW w:w="1020" w:type="dxa"/>
            <w:tcBorders>
              <w:top w:val="single" w:sz="4" w:space="0" w:color="auto"/>
              <w:left w:val="nil"/>
              <w:bottom w:val="single" w:sz="4" w:space="0" w:color="auto"/>
              <w:right w:val="single" w:sz="4" w:space="0" w:color="auto"/>
            </w:tcBorders>
            <w:vAlign w:val="center"/>
          </w:tcPr>
          <w:p w14:paraId="0837EBFA" w14:textId="77777777" w:rsidR="009175A4" w:rsidRPr="00107C19" w:rsidRDefault="009175A4" w:rsidP="00167353">
            <w:pPr>
              <w:pStyle w:val="TableHeading"/>
              <w:jc w:val="center"/>
              <w:rPr>
                <w:b w:val="0"/>
                <w:bCs/>
                <w:color w:val="000000" w:themeColor="text1"/>
              </w:rPr>
            </w:pPr>
            <w:r w:rsidRPr="00107C19">
              <w:rPr>
                <w:b w:val="0"/>
                <w:bCs/>
                <w:color w:val="000000" w:themeColor="text1"/>
              </w:rPr>
              <w:t>34</w:t>
            </w:r>
          </w:p>
        </w:tc>
      </w:tr>
      <w:tr w:rsidR="00107C19" w:rsidRPr="00107C19" w14:paraId="7824B4DE"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FD73B92" w14:textId="77777777" w:rsidR="009175A4" w:rsidRPr="00107C19" w:rsidRDefault="009175A4" w:rsidP="00013CB4">
            <w:pPr>
              <w:pStyle w:val="TableHeading"/>
              <w:rPr>
                <w:b w:val="0"/>
                <w:bCs/>
                <w:color w:val="000000" w:themeColor="text1"/>
              </w:rPr>
            </w:pPr>
            <w:r w:rsidRPr="00107C19">
              <w:rPr>
                <w:b w:val="0"/>
                <w:bCs/>
                <w:color w:val="000000" w:themeColor="text1"/>
              </w:rPr>
              <w:t>Chemical invention disclosures</w:t>
            </w:r>
          </w:p>
        </w:tc>
        <w:tc>
          <w:tcPr>
            <w:tcW w:w="1080" w:type="dxa"/>
            <w:tcBorders>
              <w:top w:val="nil"/>
              <w:left w:val="nil"/>
              <w:bottom w:val="single" w:sz="4" w:space="0" w:color="auto"/>
              <w:right w:val="single" w:sz="4" w:space="0" w:color="auto"/>
            </w:tcBorders>
            <w:noWrap/>
            <w:vAlign w:val="center"/>
          </w:tcPr>
          <w:p w14:paraId="7F1552A3" w14:textId="77777777" w:rsidR="009175A4" w:rsidRPr="00107C19" w:rsidRDefault="009175A4" w:rsidP="00167353">
            <w:pPr>
              <w:pStyle w:val="TableHeading"/>
              <w:jc w:val="center"/>
              <w:rPr>
                <w:b w:val="0"/>
                <w:bCs/>
                <w:color w:val="000000" w:themeColor="text1"/>
              </w:rPr>
            </w:pPr>
            <w:r w:rsidRPr="00107C19">
              <w:rPr>
                <w:b w:val="0"/>
                <w:bCs/>
                <w:color w:val="000000" w:themeColor="text1"/>
              </w:rPr>
              <w:t>42</w:t>
            </w:r>
          </w:p>
        </w:tc>
        <w:tc>
          <w:tcPr>
            <w:tcW w:w="1080" w:type="dxa"/>
            <w:tcBorders>
              <w:top w:val="nil"/>
              <w:left w:val="nil"/>
              <w:bottom w:val="single" w:sz="4" w:space="0" w:color="auto"/>
              <w:right w:val="single" w:sz="4" w:space="0" w:color="auto"/>
            </w:tcBorders>
            <w:vAlign w:val="center"/>
          </w:tcPr>
          <w:p w14:paraId="70102821"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w:t>
            </w:r>
          </w:p>
        </w:tc>
        <w:tc>
          <w:tcPr>
            <w:tcW w:w="1080" w:type="dxa"/>
            <w:tcBorders>
              <w:top w:val="nil"/>
              <w:left w:val="nil"/>
              <w:bottom w:val="single" w:sz="4" w:space="0" w:color="auto"/>
              <w:right w:val="single" w:sz="4" w:space="0" w:color="auto"/>
            </w:tcBorders>
            <w:vAlign w:val="center"/>
          </w:tcPr>
          <w:p w14:paraId="36E07000"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w:t>
            </w:r>
          </w:p>
        </w:tc>
        <w:tc>
          <w:tcPr>
            <w:tcW w:w="1050" w:type="dxa"/>
            <w:tcBorders>
              <w:top w:val="nil"/>
              <w:left w:val="nil"/>
              <w:bottom w:val="single" w:sz="4" w:space="0" w:color="auto"/>
              <w:right w:val="single" w:sz="4" w:space="0" w:color="auto"/>
            </w:tcBorders>
            <w:vAlign w:val="center"/>
          </w:tcPr>
          <w:p w14:paraId="5B358D2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23</w:t>
            </w:r>
          </w:p>
        </w:tc>
        <w:tc>
          <w:tcPr>
            <w:tcW w:w="1020" w:type="dxa"/>
            <w:tcBorders>
              <w:top w:val="nil"/>
              <w:left w:val="nil"/>
              <w:bottom w:val="single" w:sz="4" w:space="0" w:color="auto"/>
              <w:right w:val="single" w:sz="4" w:space="0" w:color="auto"/>
            </w:tcBorders>
            <w:vAlign w:val="center"/>
          </w:tcPr>
          <w:p w14:paraId="30744917" w14:textId="77777777" w:rsidR="009175A4" w:rsidRPr="00107C19" w:rsidRDefault="009175A4" w:rsidP="00167353">
            <w:pPr>
              <w:pStyle w:val="TableHeading"/>
              <w:jc w:val="center"/>
              <w:rPr>
                <w:b w:val="0"/>
                <w:bCs/>
                <w:color w:val="000000" w:themeColor="text1"/>
              </w:rPr>
            </w:pPr>
            <w:r w:rsidRPr="00107C19">
              <w:rPr>
                <w:b w:val="0"/>
                <w:bCs/>
                <w:color w:val="000000" w:themeColor="text1"/>
              </w:rPr>
              <w:t>26</w:t>
            </w:r>
          </w:p>
        </w:tc>
      </w:tr>
      <w:tr w:rsidR="00107C19" w:rsidRPr="00107C19" w14:paraId="575E6F93" w14:textId="77777777" w:rsidTr="00167353">
        <w:trPr>
          <w:trHeight w:val="302"/>
          <w:jc w:val="center"/>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BADB9" w14:textId="77777777" w:rsidR="009175A4" w:rsidRPr="00107C19" w:rsidRDefault="009175A4" w:rsidP="00013CB4">
            <w:pPr>
              <w:pStyle w:val="TableHeading"/>
              <w:rPr>
                <w:b w:val="0"/>
                <w:bCs/>
                <w:color w:val="000000" w:themeColor="text1"/>
              </w:rPr>
            </w:pPr>
            <w:r w:rsidRPr="00107C19">
              <w:rPr>
                <w:b w:val="0"/>
                <w:bCs/>
                <w:color w:val="000000" w:themeColor="text1"/>
              </w:rPr>
              <w:t>Mechanical and measurement invention disclosures</w:t>
            </w:r>
          </w:p>
        </w:tc>
        <w:tc>
          <w:tcPr>
            <w:tcW w:w="1080" w:type="dxa"/>
            <w:tcBorders>
              <w:top w:val="single" w:sz="4" w:space="0" w:color="auto"/>
              <w:left w:val="nil"/>
              <w:bottom w:val="single" w:sz="4" w:space="0" w:color="auto"/>
              <w:right w:val="single" w:sz="4" w:space="0" w:color="auto"/>
            </w:tcBorders>
            <w:noWrap/>
            <w:vAlign w:val="center"/>
          </w:tcPr>
          <w:p w14:paraId="13845C7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w:t>
            </w:r>
          </w:p>
        </w:tc>
        <w:tc>
          <w:tcPr>
            <w:tcW w:w="1080" w:type="dxa"/>
            <w:tcBorders>
              <w:top w:val="single" w:sz="4" w:space="0" w:color="auto"/>
              <w:left w:val="nil"/>
              <w:bottom w:val="single" w:sz="4" w:space="0" w:color="auto"/>
              <w:right w:val="single" w:sz="4" w:space="0" w:color="auto"/>
            </w:tcBorders>
            <w:vAlign w:val="center"/>
          </w:tcPr>
          <w:p w14:paraId="57DBF4E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c>
          <w:tcPr>
            <w:tcW w:w="1080" w:type="dxa"/>
            <w:tcBorders>
              <w:top w:val="single" w:sz="4" w:space="0" w:color="auto"/>
              <w:left w:val="nil"/>
              <w:bottom w:val="single" w:sz="4" w:space="0" w:color="auto"/>
              <w:right w:val="single" w:sz="4" w:space="0" w:color="auto"/>
            </w:tcBorders>
            <w:vAlign w:val="center"/>
          </w:tcPr>
          <w:p w14:paraId="2C50350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c>
          <w:tcPr>
            <w:tcW w:w="1050" w:type="dxa"/>
            <w:tcBorders>
              <w:top w:val="single" w:sz="4" w:space="0" w:color="auto"/>
              <w:left w:val="nil"/>
              <w:bottom w:val="single" w:sz="4" w:space="0" w:color="auto"/>
              <w:right w:val="single" w:sz="4" w:space="0" w:color="auto"/>
            </w:tcBorders>
            <w:vAlign w:val="center"/>
          </w:tcPr>
          <w:p w14:paraId="1C0F8DA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w:t>
            </w:r>
          </w:p>
        </w:tc>
        <w:tc>
          <w:tcPr>
            <w:tcW w:w="1020" w:type="dxa"/>
            <w:tcBorders>
              <w:top w:val="single" w:sz="4" w:space="0" w:color="auto"/>
              <w:left w:val="nil"/>
              <w:bottom w:val="single" w:sz="4" w:space="0" w:color="auto"/>
              <w:right w:val="single" w:sz="4" w:space="0" w:color="auto"/>
            </w:tcBorders>
            <w:vAlign w:val="center"/>
          </w:tcPr>
          <w:p w14:paraId="1BBA5BBF"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w:t>
            </w:r>
          </w:p>
        </w:tc>
      </w:tr>
      <w:tr w:rsidR="00107C19" w:rsidRPr="00107C19" w14:paraId="20960477"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CEB354A" w14:textId="77777777" w:rsidR="009175A4" w:rsidRPr="00107C19" w:rsidRDefault="009175A4" w:rsidP="00013CB4">
            <w:pPr>
              <w:pStyle w:val="TableHeading"/>
              <w:rPr>
                <w:b w:val="0"/>
                <w:bCs/>
                <w:color w:val="000000" w:themeColor="text1"/>
              </w:rPr>
            </w:pPr>
            <w:r w:rsidRPr="00107C19">
              <w:rPr>
                <w:b w:val="0"/>
                <w:bCs/>
                <w:color w:val="000000" w:themeColor="text1"/>
              </w:rPr>
              <w:t>Plant patents</w:t>
            </w:r>
            <w:r w:rsidRPr="00107C19">
              <w:rPr>
                <w:b w:val="0"/>
                <w:bCs/>
                <w:color w:val="000000" w:themeColor="text1"/>
                <w:vertAlign w:val="superscript"/>
              </w:rPr>
              <w:t>1</w:t>
            </w:r>
          </w:p>
        </w:tc>
        <w:tc>
          <w:tcPr>
            <w:tcW w:w="1080" w:type="dxa"/>
            <w:tcBorders>
              <w:top w:val="nil"/>
              <w:left w:val="nil"/>
              <w:bottom w:val="single" w:sz="4" w:space="0" w:color="auto"/>
              <w:right w:val="single" w:sz="4" w:space="0" w:color="auto"/>
            </w:tcBorders>
            <w:noWrap/>
            <w:vAlign w:val="center"/>
          </w:tcPr>
          <w:p w14:paraId="46683E6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w:t>
            </w:r>
          </w:p>
        </w:tc>
        <w:tc>
          <w:tcPr>
            <w:tcW w:w="1080" w:type="dxa"/>
            <w:tcBorders>
              <w:top w:val="nil"/>
              <w:left w:val="nil"/>
              <w:bottom w:val="single" w:sz="4" w:space="0" w:color="auto"/>
              <w:right w:val="single" w:sz="4" w:space="0" w:color="auto"/>
            </w:tcBorders>
            <w:vAlign w:val="center"/>
          </w:tcPr>
          <w:p w14:paraId="282E2206"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080" w:type="dxa"/>
            <w:tcBorders>
              <w:top w:val="nil"/>
              <w:left w:val="nil"/>
              <w:bottom w:val="single" w:sz="4" w:space="0" w:color="auto"/>
              <w:right w:val="single" w:sz="4" w:space="0" w:color="auto"/>
            </w:tcBorders>
            <w:vAlign w:val="center"/>
          </w:tcPr>
          <w:p w14:paraId="0CDC13A7"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50" w:type="dxa"/>
            <w:tcBorders>
              <w:top w:val="nil"/>
              <w:left w:val="nil"/>
              <w:bottom w:val="single" w:sz="4" w:space="0" w:color="auto"/>
              <w:right w:val="single" w:sz="4" w:space="0" w:color="auto"/>
            </w:tcBorders>
            <w:vAlign w:val="center"/>
          </w:tcPr>
          <w:p w14:paraId="71EAAE7A"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c>
          <w:tcPr>
            <w:tcW w:w="1020" w:type="dxa"/>
            <w:tcBorders>
              <w:top w:val="nil"/>
              <w:left w:val="nil"/>
              <w:bottom w:val="single" w:sz="4" w:space="0" w:color="auto"/>
              <w:right w:val="single" w:sz="4" w:space="0" w:color="auto"/>
            </w:tcBorders>
            <w:vAlign w:val="center"/>
          </w:tcPr>
          <w:p w14:paraId="53348318"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r>
      <w:tr w:rsidR="00107C19" w:rsidRPr="00107C19" w14:paraId="1188285E"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36360D6B" w14:textId="77777777" w:rsidR="009175A4" w:rsidRPr="00107C19" w:rsidRDefault="009175A4" w:rsidP="00013CB4">
            <w:pPr>
              <w:pStyle w:val="TableHeading"/>
              <w:rPr>
                <w:b w:val="0"/>
                <w:bCs/>
                <w:color w:val="000000" w:themeColor="text1"/>
              </w:rPr>
            </w:pPr>
            <w:r w:rsidRPr="00107C19">
              <w:rPr>
                <w:b w:val="0"/>
                <w:bCs/>
                <w:color w:val="000000" w:themeColor="text1"/>
              </w:rPr>
              <w:t>Plant variety protection</w:t>
            </w:r>
            <w:r w:rsidRPr="00107C19">
              <w:rPr>
                <w:b w:val="0"/>
                <w:bCs/>
                <w:color w:val="000000" w:themeColor="text1"/>
                <w:vertAlign w:val="superscript"/>
              </w:rPr>
              <w:t>1</w:t>
            </w:r>
          </w:p>
        </w:tc>
        <w:tc>
          <w:tcPr>
            <w:tcW w:w="1080" w:type="dxa"/>
            <w:tcBorders>
              <w:top w:val="nil"/>
              <w:left w:val="nil"/>
              <w:bottom w:val="single" w:sz="4" w:space="0" w:color="auto"/>
              <w:right w:val="single" w:sz="4" w:space="0" w:color="auto"/>
            </w:tcBorders>
            <w:noWrap/>
            <w:vAlign w:val="center"/>
          </w:tcPr>
          <w:p w14:paraId="52AD8096"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080" w:type="dxa"/>
            <w:tcBorders>
              <w:top w:val="nil"/>
              <w:left w:val="nil"/>
              <w:bottom w:val="single" w:sz="4" w:space="0" w:color="auto"/>
              <w:right w:val="single" w:sz="4" w:space="0" w:color="auto"/>
            </w:tcBorders>
            <w:vAlign w:val="center"/>
          </w:tcPr>
          <w:p w14:paraId="652AD59A"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080" w:type="dxa"/>
            <w:tcBorders>
              <w:top w:val="nil"/>
              <w:left w:val="nil"/>
              <w:bottom w:val="single" w:sz="4" w:space="0" w:color="auto"/>
              <w:right w:val="single" w:sz="4" w:space="0" w:color="auto"/>
            </w:tcBorders>
            <w:vAlign w:val="center"/>
          </w:tcPr>
          <w:p w14:paraId="3751705A"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050" w:type="dxa"/>
            <w:tcBorders>
              <w:top w:val="nil"/>
              <w:left w:val="nil"/>
              <w:bottom w:val="single" w:sz="4" w:space="0" w:color="auto"/>
              <w:right w:val="single" w:sz="4" w:space="0" w:color="auto"/>
            </w:tcBorders>
            <w:vAlign w:val="center"/>
          </w:tcPr>
          <w:p w14:paraId="4A500CC1"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w:t>
            </w:r>
          </w:p>
        </w:tc>
        <w:tc>
          <w:tcPr>
            <w:tcW w:w="1020" w:type="dxa"/>
            <w:tcBorders>
              <w:top w:val="nil"/>
              <w:left w:val="nil"/>
              <w:bottom w:val="single" w:sz="4" w:space="0" w:color="auto"/>
              <w:right w:val="single" w:sz="4" w:space="0" w:color="auto"/>
            </w:tcBorders>
            <w:vAlign w:val="center"/>
          </w:tcPr>
          <w:p w14:paraId="7C061CB4"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r>
      <w:tr w:rsidR="00107C19" w:rsidRPr="00107C19" w14:paraId="4AFC08E6"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2F81651B" w14:textId="77777777" w:rsidR="009175A4" w:rsidRPr="00107C19" w:rsidRDefault="009175A4" w:rsidP="00013CB4">
            <w:pPr>
              <w:pStyle w:val="TableHeading"/>
              <w:rPr>
                <w:b w:val="0"/>
                <w:bCs/>
                <w:color w:val="000000" w:themeColor="text1"/>
              </w:rPr>
            </w:pPr>
            <w:r w:rsidRPr="00107C19">
              <w:rPr>
                <w:b w:val="0"/>
                <w:bCs/>
                <w:color w:val="000000" w:themeColor="text1"/>
              </w:rPr>
              <w:t>Plant breeder’s rights</w:t>
            </w:r>
            <w:r w:rsidRPr="00107C19">
              <w:rPr>
                <w:b w:val="0"/>
                <w:bCs/>
                <w:color w:val="000000" w:themeColor="text1"/>
                <w:vertAlign w:val="superscript"/>
              </w:rPr>
              <w:t>1</w:t>
            </w:r>
            <w:r w:rsidRPr="00107C19">
              <w:rPr>
                <w:b w:val="0"/>
                <w:bCs/>
                <w:color w:val="000000" w:themeColor="text1"/>
              </w:rPr>
              <w:t xml:space="preserve"> </w:t>
            </w:r>
          </w:p>
        </w:tc>
        <w:tc>
          <w:tcPr>
            <w:tcW w:w="1080" w:type="dxa"/>
            <w:tcBorders>
              <w:top w:val="nil"/>
              <w:left w:val="nil"/>
              <w:bottom w:val="single" w:sz="4" w:space="0" w:color="auto"/>
              <w:right w:val="single" w:sz="4" w:space="0" w:color="auto"/>
            </w:tcBorders>
            <w:noWrap/>
            <w:vAlign w:val="center"/>
          </w:tcPr>
          <w:p w14:paraId="1210972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c>
          <w:tcPr>
            <w:tcW w:w="1080" w:type="dxa"/>
            <w:tcBorders>
              <w:top w:val="nil"/>
              <w:left w:val="nil"/>
              <w:bottom w:val="single" w:sz="4" w:space="0" w:color="auto"/>
              <w:right w:val="single" w:sz="4" w:space="0" w:color="auto"/>
            </w:tcBorders>
            <w:vAlign w:val="center"/>
          </w:tcPr>
          <w:p w14:paraId="21844F13"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80" w:type="dxa"/>
            <w:tcBorders>
              <w:top w:val="nil"/>
              <w:left w:val="nil"/>
              <w:bottom w:val="single" w:sz="4" w:space="0" w:color="auto"/>
              <w:right w:val="single" w:sz="4" w:space="0" w:color="auto"/>
            </w:tcBorders>
            <w:vAlign w:val="center"/>
          </w:tcPr>
          <w:p w14:paraId="6BDA4871"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50" w:type="dxa"/>
            <w:tcBorders>
              <w:top w:val="nil"/>
              <w:left w:val="nil"/>
              <w:bottom w:val="single" w:sz="4" w:space="0" w:color="auto"/>
              <w:right w:val="single" w:sz="4" w:space="0" w:color="auto"/>
            </w:tcBorders>
            <w:vAlign w:val="center"/>
          </w:tcPr>
          <w:p w14:paraId="301A0E43"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20" w:type="dxa"/>
            <w:tcBorders>
              <w:top w:val="nil"/>
              <w:left w:val="nil"/>
              <w:bottom w:val="single" w:sz="4" w:space="0" w:color="auto"/>
              <w:right w:val="single" w:sz="4" w:space="0" w:color="auto"/>
            </w:tcBorders>
            <w:vAlign w:val="center"/>
          </w:tcPr>
          <w:p w14:paraId="72A1F9E0"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r w:rsidR="00107C19" w:rsidRPr="00107C19" w14:paraId="550024AC"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41EE4994" w14:textId="77777777" w:rsidR="009175A4" w:rsidRPr="00107C19" w:rsidRDefault="009175A4" w:rsidP="00013CB4">
            <w:pPr>
              <w:pStyle w:val="TableHeading"/>
              <w:rPr>
                <w:b w:val="0"/>
                <w:bCs/>
                <w:color w:val="000000" w:themeColor="text1"/>
              </w:rPr>
            </w:pPr>
            <w:r w:rsidRPr="00107C19">
              <w:rPr>
                <w:b w:val="0"/>
                <w:bCs/>
                <w:color w:val="000000" w:themeColor="text1"/>
              </w:rPr>
              <w:t>Plant public release</w:t>
            </w:r>
          </w:p>
        </w:tc>
        <w:tc>
          <w:tcPr>
            <w:tcW w:w="1080" w:type="dxa"/>
            <w:tcBorders>
              <w:top w:val="nil"/>
              <w:left w:val="nil"/>
              <w:bottom w:val="single" w:sz="4" w:space="0" w:color="auto"/>
              <w:right w:val="single" w:sz="4" w:space="0" w:color="auto"/>
            </w:tcBorders>
            <w:noWrap/>
            <w:vAlign w:val="center"/>
          </w:tcPr>
          <w:p w14:paraId="6D898D6D"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w:t>
            </w:r>
          </w:p>
        </w:tc>
        <w:tc>
          <w:tcPr>
            <w:tcW w:w="1080" w:type="dxa"/>
            <w:tcBorders>
              <w:top w:val="nil"/>
              <w:left w:val="nil"/>
              <w:bottom w:val="single" w:sz="4" w:space="0" w:color="auto"/>
              <w:right w:val="single" w:sz="4" w:space="0" w:color="auto"/>
            </w:tcBorders>
            <w:vAlign w:val="center"/>
          </w:tcPr>
          <w:p w14:paraId="5103868F" w14:textId="77777777" w:rsidR="009175A4" w:rsidRPr="00107C19" w:rsidRDefault="009175A4" w:rsidP="00167353">
            <w:pPr>
              <w:pStyle w:val="TableHeading"/>
              <w:jc w:val="center"/>
              <w:rPr>
                <w:b w:val="0"/>
                <w:bCs/>
                <w:color w:val="000000" w:themeColor="text1"/>
              </w:rPr>
            </w:pPr>
            <w:r w:rsidRPr="00107C19">
              <w:rPr>
                <w:b w:val="0"/>
                <w:bCs/>
                <w:color w:val="000000" w:themeColor="text1"/>
              </w:rPr>
              <w:t>52</w:t>
            </w:r>
          </w:p>
        </w:tc>
        <w:tc>
          <w:tcPr>
            <w:tcW w:w="1080" w:type="dxa"/>
            <w:tcBorders>
              <w:top w:val="nil"/>
              <w:left w:val="nil"/>
              <w:bottom w:val="single" w:sz="4" w:space="0" w:color="auto"/>
              <w:right w:val="single" w:sz="4" w:space="0" w:color="auto"/>
            </w:tcBorders>
            <w:vAlign w:val="center"/>
          </w:tcPr>
          <w:p w14:paraId="0F4DEE73" w14:textId="77777777" w:rsidR="009175A4" w:rsidRPr="00107C19" w:rsidRDefault="009175A4" w:rsidP="00167353">
            <w:pPr>
              <w:pStyle w:val="TableHeading"/>
              <w:jc w:val="center"/>
              <w:rPr>
                <w:b w:val="0"/>
                <w:bCs/>
                <w:color w:val="000000" w:themeColor="text1"/>
              </w:rPr>
            </w:pPr>
            <w:r w:rsidRPr="00107C19">
              <w:rPr>
                <w:b w:val="0"/>
                <w:bCs/>
                <w:color w:val="000000" w:themeColor="text1"/>
              </w:rPr>
              <w:t>26</w:t>
            </w:r>
          </w:p>
        </w:tc>
        <w:tc>
          <w:tcPr>
            <w:tcW w:w="1050" w:type="dxa"/>
            <w:tcBorders>
              <w:top w:val="nil"/>
              <w:left w:val="nil"/>
              <w:bottom w:val="single" w:sz="4" w:space="0" w:color="auto"/>
              <w:right w:val="single" w:sz="4" w:space="0" w:color="auto"/>
            </w:tcBorders>
            <w:vAlign w:val="center"/>
          </w:tcPr>
          <w:p w14:paraId="3BC164BB"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w:t>
            </w:r>
          </w:p>
        </w:tc>
        <w:tc>
          <w:tcPr>
            <w:tcW w:w="1020" w:type="dxa"/>
            <w:tcBorders>
              <w:top w:val="nil"/>
              <w:left w:val="nil"/>
              <w:bottom w:val="single" w:sz="4" w:space="0" w:color="auto"/>
              <w:right w:val="single" w:sz="4" w:space="0" w:color="auto"/>
            </w:tcBorders>
            <w:vAlign w:val="center"/>
          </w:tcPr>
          <w:p w14:paraId="05422132" w14:textId="77777777" w:rsidR="009175A4" w:rsidRPr="00107C19" w:rsidRDefault="009175A4" w:rsidP="00167353">
            <w:pPr>
              <w:pStyle w:val="TableHeading"/>
              <w:jc w:val="center"/>
              <w:rPr>
                <w:b w:val="0"/>
                <w:bCs/>
                <w:color w:val="000000" w:themeColor="text1"/>
              </w:rPr>
            </w:pPr>
            <w:r w:rsidRPr="00107C19">
              <w:rPr>
                <w:b w:val="0"/>
                <w:bCs/>
                <w:color w:val="000000" w:themeColor="text1"/>
              </w:rPr>
              <w:t>ND</w:t>
            </w:r>
          </w:p>
        </w:tc>
      </w:tr>
      <w:tr w:rsidR="00107C19" w:rsidRPr="00107C19" w14:paraId="77685596"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018BCC74" w14:textId="77777777" w:rsidR="009175A4" w:rsidRPr="00107C19" w:rsidRDefault="009175A4" w:rsidP="00013CB4">
            <w:pPr>
              <w:pStyle w:val="TableHeading"/>
              <w:rPr>
                <w:b w:val="0"/>
                <w:bCs/>
                <w:color w:val="000000" w:themeColor="text1"/>
              </w:rPr>
            </w:pPr>
            <w:r w:rsidRPr="00107C19">
              <w:rPr>
                <w:b w:val="0"/>
                <w:bCs/>
                <w:color w:val="000000" w:themeColor="text1"/>
              </w:rPr>
              <w:t>Based upon CRADA research</w:t>
            </w:r>
          </w:p>
        </w:tc>
        <w:tc>
          <w:tcPr>
            <w:tcW w:w="1080" w:type="dxa"/>
            <w:tcBorders>
              <w:top w:val="nil"/>
              <w:left w:val="nil"/>
              <w:bottom w:val="single" w:sz="4" w:space="0" w:color="auto"/>
              <w:right w:val="single" w:sz="4" w:space="0" w:color="auto"/>
            </w:tcBorders>
            <w:noWrap/>
            <w:vAlign w:val="center"/>
          </w:tcPr>
          <w:p w14:paraId="6B2F3C2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w:t>
            </w:r>
          </w:p>
        </w:tc>
        <w:tc>
          <w:tcPr>
            <w:tcW w:w="1080" w:type="dxa"/>
            <w:tcBorders>
              <w:top w:val="nil"/>
              <w:left w:val="nil"/>
              <w:bottom w:val="single" w:sz="4" w:space="0" w:color="auto"/>
              <w:right w:val="single" w:sz="4" w:space="0" w:color="auto"/>
            </w:tcBorders>
            <w:vAlign w:val="center"/>
          </w:tcPr>
          <w:p w14:paraId="0E2499D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c>
          <w:tcPr>
            <w:tcW w:w="1080" w:type="dxa"/>
            <w:tcBorders>
              <w:top w:val="nil"/>
              <w:left w:val="nil"/>
              <w:bottom w:val="single" w:sz="4" w:space="0" w:color="auto"/>
              <w:right w:val="single" w:sz="4" w:space="0" w:color="auto"/>
            </w:tcBorders>
            <w:vAlign w:val="center"/>
          </w:tcPr>
          <w:p w14:paraId="2D2E8621" w14:textId="77777777" w:rsidR="009175A4" w:rsidRPr="00107C19" w:rsidRDefault="009175A4" w:rsidP="00167353">
            <w:pPr>
              <w:pStyle w:val="TableHeading"/>
              <w:jc w:val="center"/>
              <w:rPr>
                <w:b w:val="0"/>
                <w:bCs/>
                <w:color w:val="000000" w:themeColor="text1"/>
              </w:rPr>
            </w:pPr>
            <w:r w:rsidRPr="00107C19">
              <w:rPr>
                <w:b w:val="0"/>
                <w:bCs/>
                <w:color w:val="000000" w:themeColor="text1"/>
              </w:rPr>
              <w:t>8</w:t>
            </w:r>
          </w:p>
        </w:tc>
        <w:tc>
          <w:tcPr>
            <w:tcW w:w="1050" w:type="dxa"/>
            <w:tcBorders>
              <w:top w:val="nil"/>
              <w:left w:val="nil"/>
              <w:bottom w:val="single" w:sz="4" w:space="0" w:color="auto"/>
              <w:right w:val="single" w:sz="4" w:space="0" w:color="auto"/>
            </w:tcBorders>
            <w:vAlign w:val="center"/>
          </w:tcPr>
          <w:p w14:paraId="6CDC5C3A"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c>
          <w:tcPr>
            <w:tcW w:w="1020" w:type="dxa"/>
            <w:tcBorders>
              <w:top w:val="nil"/>
              <w:left w:val="nil"/>
              <w:bottom w:val="single" w:sz="4" w:space="0" w:color="auto"/>
              <w:right w:val="single" w:sz="4" w:space="0" w:color="auto"/>
            </w:tcBorders>
            <w:vAlign w:val="center"/>
          </w:tcPr>
          <w:p w14:paraId="5CCB1EC5"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r>
      <w:tr w:rsidR="00107C19" w:rsidRPr="00107C19" w14:paraId="0D22F59B" w14:textId="77777777" w:rsidTr="00167353">
        <w:trPr>
          <w:trHeight w:val="348"/>
          <w:jc w:val="center"/>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78A85C84" w14:textId="77777777" w:rsidR="009175A4" w:rsidRPr="00107C19" w:rsidRDefault="009175A4" w:rsidP="00013CB4">
            <w:pPr>
              <w:pStyle w:val="TableHeading"/>
              <w:rPr>
                <w:b w:val="0"/>
                <w:bCs/>
                <w:color w:val="000000" w:themeColor="text1"/>
              </w:rPr>
            </w:pPr>
            <w:r w:rsidRPr="00107C19">
              <w:rPr>
                <w:b w:val="0"/>
                <w:bCs/>
                <w:color w:val="000000" w:themeColor="text1"/>
              </w:rPr>
              <w:t>Total U.S. patent applications filed</w:t>
            </w:r>
            <w:r w:rsidRPr="00107C19">
              <w:rPr>
                <w:b w:val="0"/>
                <w:bCs/>
                <w:color w:val="000000" w:themeColor="text1"/>
                <w:vertAlign w:val="superscript"/>
              </w:rPr>
              <w:t>2</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6DF22C10" w14:textId="77777777" w:rsidR="009175A4" w:rsidRPr="00107C19" w:rsidRDefault="009175A4" w:rsidP="00167353">
            <w:pPr>
              <w:pStyle w:val="TableHeading"/>
              <w:jc w:val="center"/>
              <w:rPr>
                <w:b w:val="0"/>
                <w:bCs/>
                <w:color w:val="000000" w:themeColor="text1"/>
              </w:rPr>
            </w:pPr>
            <w:r w:rsidRPr="00107C19">
              <w:rPr>
                <w:b w:val="0"/>
                <w:bCs/>
                <w:color w:val="000000" w:themeColor="text1"/>
              </w:rPr>
              <w:t>85</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7E91423E" w14:textId="77777777" w:rsidR="009175A4" w:rsidRPr="00107C19" w:rsidRDefault="009175A4" w:rsidP="00167353">
            <w:pPr>
              <w:pStyle w:val="TableHeading"/>
              <w:jc w:val="center"/>
              <w:rPr>
                <w:b w:val="0"/>
                <w:bCs/>
                <w:color w:val="000000" w:themeColor="text1"/>
              </w:rPr>
            </w:pPr>
            <w:r w:rsidRPr="00107C19">
              <w:rPr>
                <w:b w:val="0"/>
                <w:bCs/>
                <w:color w:val="000000" w:themeColor="text1"/>
              </w:rPr>
              <w:t>76</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25A73C09" w14:textId="77777777" w:rsidR="009175A4" w:rsidRPr="00107C19" w:rsidRDefault="009175A4" w:rsidP="00167353">
            <w:pPr>
              <w:pStyle w:val="TableHeading"/>
              <w:jc w:val="center"/>
              <w:rPr>
                <w:b w:val="0"/>
                <w:bCs/>
                <w:color w:val="000000" w:themeColor="text1"/>
              </w:rPr>
            </w:pPr>
            <w:r w:rsidRPr="00107C19">
              <w:rPr>
                <w:b w:val="0"/>
                <w:bCs/>
                <w:color w:val="000000" w:themeColor="text1"/>
              </w:rPr>
              <w:t>74</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1BB6F452" w14:textId="77777777" w:rsidR="009175A4" w:rsidRPr="00107C19" w:rsidRDefault="009175A4" w:rsidP="00167353">
            <w:pPr>
              <w:pStyle w:val="TableHeading"/>
              <w:jc w:val="center"/>
              <w:rPr>
                <w:b w:val="0"/>
                <w:bCs/>
                <w:color w:val="000000" w:themeColor="text1"/>
              </w:rPr>
            </w:pPr>
            <w:r w:rsidRPr="00107C19">
              <w:rPr>
                <w:b w:val="0"/>
                <w:bCs/>
                <w:color w:val="000000" w:themeColor="text1"/>
              </w:rPr>
              <w:t>64</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54C7B977" w14:textId="77777777" w:rsidR="009175A4" w:rsidRPr="00107C19" w:rsidRDefault="009175A4" w:rsidP="00167353">
            <w:pPr>
              <w:pStyle w:val="TableHeading"/>
              <w:jc w:val="center"/>
              <w:rPr>
                <w:b w:val="0"/>
                <w:bCs/>
                <w:color w:val="000000" w:themeColor="text1"/>
              </w:rPr>
            </w:pPr>
            <w:r w:rsidRPr="00107C19">
              <w:rPr>
                <w:b w:val="0"/>
                <w:bCs/>
                <w:color w:val="000000" w:themeColor="text1"/>
              </w:rPr>
              <w:t>53</w:t>
            </w:r>
          </w:p>
        </w:tc>
      </w:tr>
      <w:tr w:rsidR="00107C19" w:rsidRPr="00107C19" w14:paraId="398280E4" w14:textId="77777777" w:rsidTr="00167353">
        <w:trPr>
          <w:trHeight w:val="333"/>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134F9F4"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University co-owned </w:t>
            </w:r>
          </w:p>
        </w:tc>
        <w:tc>
          <w:tcPr>
            <w:tcW w:w="1080" w:type="dxa"/>
            <w:tcBorders>
              <w:top w:val="nil"/>
              <w:left w:val="nil"/>
              <w:bottom w:val="single" w:sz="4" w:space="0" w:color="auto"/>
              <w:right w:val="single" w:sz="4" w:space="0" w:color="auto"/>
            </w:tcBorders>
            <w:noWrap/>
            <w:vAlign w:val="center"/>
          </w:tcPr>
          <w:p w14:paraId="3865B36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80" w:type="dxa"/>
            <w:tcBorders>
              <w:top w:val="nil"/>
              <w:left w:val="nil"/>
              <w:bottom w:val="single" w:sz="4" w:space="0" w:color="auto"/>
              <w:right w:val="single" w:sz="4" w:space="0" w:color="auto"/>
            </w:tcBorders>
            <w:vAlign w:val="center"/>
          </w:tcPr>
          <w:p w14:paraId="30A10F66"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w:t>
            </w:r>
          </w:p>
        </w:tc>
        <w:tc>
          <w:tcPr>
            <w:tcW w:w="1080" w:type="dxa"/>
            <w:tcBorders>
              <w:top w:val="nil"/>
              <w:left w:val="nil"/>
              <w:bottom w:val="single" w:sz="4" w:space="0" w:color="auto"/>
              <w:right w:val="single" w:sz="4" w:space="0" w:color="auto"/>
            </w:tcBorders>
            <w:vAlign w:val="center"/>
          </w:tcPr>
          <w:p w14:paraId="2DD89BB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19</w:t>
            </w:r>
          </w:p>
        </w:tc>
        <w:tc>
          <w:tcPr>
            <w:tcW w:w="1050" w:type="dxa"/>
            <w:tcBorders>
              <w:top w:val="nil"/>
              <w:left w:val="nil"/>
              <w:bottom w:val="single" w:sz="4" w:space="0" w:color="auto"/>
              <w:right w:val="single" w:sz="4" w:space="0" w:color="auto"/>
            </w:tcBorders>
            <w:vAlign w:val="center"/>
          </w:tcPr>
          <w:p w14:paraId="69DB79C6"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w:t>
            </w:r>
          </w:p>
        </w:tc>
        <w:tc>
          <w:tcPr>
            <w:tcW w:w="1020" w:type="dxa"/>
            <w:tcBorders>
              <w:top w:val="nil"/>
              <w:left w:val="nil"/>
              <w:bottom w:val="single" w:sz="4" w:space="0" w:color="auto"/>
              <w:right w:val="single" w:sz="4" w:space="0" w:color="auto"/>
            </w:tcBorders>
            <w:vAlign w:val="center"/>
          </w:tcPr>
          <w:p w14:paraId="23DB922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w:t>
            </w:r>
          </w:p>
        </w:tc>
      </w:tr>
      <w:tr w:rsidR="00107C19" w:rsidRPr="00107C19" w14:paraId="56F3DD34" w14:textId="77777777" w:rsidTr="00167353">
        <w:trPr>
          <w:trHeight w:val="333"/>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5E97706F" w14:textId="77777777" w:rsidR="009175A4" w:rsidRPr="00107C19" w:rsidRDefault="009175A4" w:rsidP="00013CB4">
            <w:pPr>
              <w:pStyle w:val="TableHeading"/>
              <w:rPr>
                <w:b w:val="0"/>
                <w:bCs/>
                <w:color w:val="000000" w:themeColor="text1"/>
              </w:rPr>
            </w:pPr>
            <w:r w:rsidRPr="00107C19">
              <w:rPr>
                <w:b w:val="0"/>
                <w:bCs/>
                <w:color w:val="000000" w:themeColor="text1"/>
              </w:rPr>
              <w:t>Non-university co-owned</w:t>
            </w:r>
          </w:p>
        </w:tc>
        <w:tc>
          <w:tcPr>
            <w:tcW w:w="1080" w:type="dxa"/>
            <w:tcBorders>
              <w:top w:val="nil"/>
              <w:left w:val="nil"/>
              <w:bottom w:val="single" w:sz="4" w:space="0" w:color="auto"/>
              <w:right w:val="single" w:sz="4" w:space="0" w:color="auto"/>
            </w:tcBorders>
            <w:noWrap/>
            <w:vAlign w:val="center"/>
          </w:tcPr>
          <w:p w14:paraId="72C148B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80" w:type="dxa"/>
            <w:tcBorders>
              <w:top w:val="nil"/>
              <w:left w:val="nil"/>
              <w:bottom w:val="single" w:sz="4" w:space="0" w:color="auto"/>
              <w:right w:val="single" w:sz="4" w:space="0" w:color="auto"/>
            </w:tcBorders>
            <w:vAlign w:val="center"/>
          </w:tcPr>
          <w:p w14:paraId="7C0F47A7"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w:t>
            </w:r>
          </w:p>
        </w:tc>
        <w:tc>
          <w:tcPr>
            <w:tcW w:w="1080" w:type="dxa"/>
            <w:tcBorders>
              <w:top w:val="nil"/>
              <w:left w:val="nil"/>
              <w:bottom w:val="single" w:sz="4" w:space="0" w:color="auto"/>
              <w:right w:val="single" w:sz="4" w:space="0" w:color="auto"/>
            </w:tcBorders>
            <w:vAlign w:val="center"/>
          </w:tcPr>
          <w:p w14:paraId="713CD44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50" w:type="dxa"/>
            <w:tcBorders>
              <w:top w:val="nil"/>
              <w:left w:val="nil"/>
              <w:bottom w:val="single" w:sz="4" w:space="0" w:color="auto"/>
              <w:right w:val="single" w:sz="4" w:space="0" w:color="auto"/>
            </w:tcBorders>
            <w:vAlign w:val="center"/>
          </w:tcPr>
          <w:p w14:paraId="45A8259F"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w:t>
            </w:r>
          </w:p>
        </w:tc>
        <w:tc>
          <w:tcPr>
            <w:tcW w:w="1020" w:type="dxa"/>
            <w:tcBorders>
              <w:top w:val="nil"/>
              <w:left w:val="nil"/>
              <w:bottom w:val="single" w:sz="4" w:space="0" w:color="auto"/>
              <w:right w:val="single" w:sz="4" w:space="0" w:color="auto"/>
            </w:tcBorders>
            <w:vAlign w:val="center"/>
          </w:tcPr>
          <w:p w14:paraId="5EB81469"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r>
      <w:tr w:rsidR="00107C19" w:rsidRPr="00107C19" w14:paraId="31D7DEC6" w14:textId="77777777" w:rsidTr="00167353">
        <w:trPr>
          <w:trHeight w:val="333"/>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647A04A8" w14:textId="77777777" w:rsidR="009175A4" w:rsidRPr="00107C19" w:rsidRDefault="009175A4" w:rsidP="00013CB4">
            <w:pPr>
              <w:pStyle w:val="TableHeading"/>
              <w:rPr>
                <w:b w:val="0"/>
                <w:bCs/>
                <w:color w:val="000000" w:themeColor="text1"/>
              </w:rPr>
            </w:pPr>
            <w:r w:rsidRPr="00107C19">
              <w:rPr>
                <w:b w:val="0"/>
                <w:bCs/>
                <w:color w:val="000000" w:themeColor="text1"/>
              </w:rPr>
              <w:t>USDA solely owned</w:t>
            </w:r>
          </w:p>
        </w:tc>
        <w:tc>
          <w:tcPr>
            <w:tcW w:w="1080" w:type="dxa"/>
            <w:tcBorders>
              <w:top w:val="nil"/>
              <w:left w:val="nil"/>
              <w:bottom w:val="single" w:sz="4" w:space="0" w:color="auto"/>
              <w:right w:val="single" w:sz="4" w:space="0" w:color="auto"/>
            </w:tcBorders>
            <w:noWrap/>
            <w:vAlign w:val="center"/>
          </w:tcPr>
          <w:p w14:paraId="38118908" w14:textId="77777777" w:rsidR="009175A4" w:rsidRPr="00107C19" w:rsidRDefault="009175A4" w:rsidP="00167353">
            <w:pPr>
              <w:pStyle w:val="TableHeading"/>
              <w:jc w:val="center"/>
              <w:rPr>
                <w:b w:val="0"/>
                <w:bCs/>
                <w:color w:val="000000" w:themeColor="text1"/>
              </w:rPr>
            </w:pPr>
            <w:r w:rsidRPr="00107C19">
              <w:rPr>
                <w:b w:val="0"/>
                <w:bCs/>
                <w:color w:val="000000" w:themeColor="text1"/>
              </w:rPr>
              <w:t>51</w:t>
            </w:r>
          </w:p>
        </w:tc>
        <w:tc>
          <w:tcPr>
            <w:tcW w:w="1080" w:type="dxa"/>
            <w:tcBorders>
              <w:top w:val="nil"/>
              <w:left w:val="nil"/>
              <w:bottom w:val="single" w:sz="4" w:space="0" w:color="auto"/>
              <w:right w:val="single" w:sz="4" w:space="0" w:color="auto"/>
            </w:tcBorders>
            <w:vAlign w:val="center"/>
          </w:tcPr>
          <w:p w14:paraId="13C2D63E"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w:t>
            </w:r>
          </w:p>
        </w:tc>
        <w:tc>
          <w:tcPr>
            <w:tcW w:w="1080" w:type="dxa"/>
            <w:tcBorders>
              <w:top w:val="nil"/>
              <w:left w:val="nil"/>
              <w:bottom w:val="single" w:sz="4" w:space="0" w:color="auto"/>
              <w:right w:val="single" w:sz="4" w:space="0" w:color="auto"/>
            </w:tcBorders>
            <w:vAlign w:val="center"/>
          </w:tcPr>
          <w:p w14:paraId="34A1D64D" w14:textId="77777777" w:rsidR="009175A4" w:rsidRPr="00107C19" w:rsidRDefault="009175A4" w:rsidP="00167353">
            <w:pPr>
              <w:pStyle w:val="TableHeading"/>
              <w:jc w:val="center"/>
              <w:rPr>
                <w:b w:val="0"/>
                <w:bCs/>
                <w:color w:val="000000" w:themeColor="text1"/>
              </w:rPr>
            </w:pPr>
            <w:r w:rsidRPr="00107C19">
              <w:rPr>
                <w:b w:val="0"/>
                <w:bCs/>
                <w:color w:val="000000" w:themeColor="text1"/>
              </w:rPr>
              <w:t>38</w:t>
            </w:r>
          </w:p>
        </w:tc>
        <w:tc>
          <w:tcPr>
            <w:tcW w:w="1050" w:type="dxa"/>
            <w:tcBorders>
              <w:top w:val="nil"/>
              <w:left w:val="nil"/>
              <w:bottom w:val="single" w:sz="4" w:space="0" w:color="auto"/>
              <w:right w:val="single" w:sz="4" w:space="0" w:color="auto"/>
            </w:tcBorders>
            <w:vAlign w:val="center"/>
          </w:tcPr>
          <w:p w14:paraId="3FA71047"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w:t>
            </w:r>
          </w:p>
        </w:tc>
        <w:tc>
          <w:tcPr>
            <w:tcW w:w="1020" w:type="dxa"/>
            <w:tcBorders>
              <w:top w:val="nil"/>
              <w:left w:val="nil"/>
              <w:bottom w:val="single" w:sz="4" w:space="0" w:color="auto"/>
              <w:right w:val="single" w:sz="4" w:space="0" w:color="auto"/>
            </w:tcBorders>
            <w:vAlign w:val="center"/>
          </w:tcPr>
          <w:p w14:paraId="07285880"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w:t>
            </w:r>
          </w:p>
        </w:tc>
      </w:tr>
      <w:tr w:rsidR="00107C19" w:rsidRPr="00107C19" w14:paraId="57DA2FBC"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18A1537" w14:textId="77777777" w:rsidR="009175A4" w:rsidRPr="00107C19" w:rsidRDefault="009175A4" w:rsidP="00013CB4">
            <w:pPr>
              <w:pStyle w:val="TableHeading"/>
              <w:rPr>
                <w:b w:val="0"/>
                <w:bCs/>
                <w:color w:val="000000" w:themeColor="text1"/>
              </w:rPr>
            </w:pPr>
            <w:r w:rsidRPr="00107C19">
              <w:rPr>
                <w:b w:val="0"/>
                <w:bCs/>
                <w:color w:val="000000" w:themeColor="text1"/>
              </w:rPr>
              <w:t>Life science patent applications filed</w:t>
            </w:r>
          </w:p>
        </w:tc>
        <w:tc>
          <w:tcPr>
            <w:tcW w:w="1080" w:type="dxa"/>
            <w:tcBorders>
              <w:top w:val="nil"/>
              <w:left w:val="nil"/>
              <w:bottom w:val="single" w:sz="4" w:space="0" w:color="auto"/>
              <w:right w:val="single" w:sz="4" w:space="0" w:color="auto"/>
            </w:tcBorders>
            <w:noWrap/>
            <w:vAlign w:val="center"/>
          </w:tcPr>
          <w:p w14:paraId="695CBD2A"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w:t>
            </w:r>
          </w:p>
        </w:tc>
        <w:tc>
          <w:tcPr>
            <w:tcW w:w="1080" w:type="dxa"/>
            <w:tcBorders>
              <w:top w:val="nil"/>
              <w:left w:val="nil"/>
              <w:bottom w:val="single" w:sz="4" w:space="0" w:color="auto"/>
              <w:right w:val="single" w:sz="4" w:space="0" w:color="auto"/>
            </w:tcBorders>
            <w:vAlign w:val="center"/>
          </w:tcPr>
          <w:p w14:paraId="25D1DA76"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w:t>
            </w:r>
          </w:p>
        </w:tc>
        <w:tc>
          <w:tcPr>
            <w:tcW w:w="1080" w:type="dxa"/>
            <w:tcBorders>
              <w:top w:val="nil"/>
              <w:left w:val="nil"/>
              <w:bottom w:val="single" w:sz="4" w:space="0" w:color="auto"/>
              <w:right w:val="single" w:sz="4" w:space="0" w:color="auto"/>
            </w:tcBorders>
            <w:vAlign w:val="center"/>
          </w:tcPr>
          <w:p w14:paraId="7EB6B16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w:t>
            </w:r>
          </w:p>
        </w:tc>
        <w:tc>
          <w:tcPr>
            <w:tcW w:w="1050" w:type="dxa"/>
            <w:tcBorders>
              <w:top w:val="nil"/>
              <w:left w:val="nil"/>
              <w:bottom w:val="single" w:sz="4" w:space="0" w:color="auto"/>
              <w:right w:val="single" w:sz="4" w:space="0" w:color="auto"/>
            </w:tcBorders>
            <w:vAlign w:val="center"/>
          </w:tcPr>
          <w:p w14:paraId="41C1137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19</w:t>
            </w:r>
          </w:p>
        </w:tc>
        <w:tc>
          <w:tcPr>
            <w:tcW w:w="1020" w:type="dxa"/>
            <w:tcBorders>
              <w:top w:val="nil"/>
              <w:left w:val="nil"/>
              <w:bottom w:val="single" w:sz="4" w:space="0" w:color="auto"/>
              <w:right w:val="single" w:sz="4" w:space="0" w:color="auto"/>
            </w:tcBorders>
            <w:vAlign w:val="center"/>
          </w:tcPr>
          <w:p w14:paraId="27147BB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r>
      <w:tr w:rsidR="00107C19" w:rsidRPr="00107C19" w14:paraId="3B225CE9"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6866117E" w14:textId="77777777" w:rsidR="009175A4" w:rsidRPr="00107C19" w:rsidRDefault="009175A4" w:rsidP="00013CB4">
            <w:pPr>
              <w:pStyle w:val="TableHeading"/>
              <w:rPr>
                <w:b w:val="0"/>
                <w:bCs/>
                <w:color w:val="000000" w:themeColor="text1"/>
              </w:rPr>
            </w:pPr>
            <w:r w:rsidRPr="00107C19">
              <w:rPr>
                <w:b w:val="0"/>
                <w:bCs/>
                <w:color w:val="000000" w:themeColor="text1"/>
              </w:rPr>
              <w:t>Chemical patent applications filed</w:t>
            </w:r>
          </w:p>
        </w:tc>
        <w:tc>
          <w:tcPr>
            <w:tcW w:w="1080" w:type="dxa"/>
            <w:tcBorders>
              <w:top w:val="nil"/>
              <w:left w:val="nil"/>
              <w:bottom w:val="single" w:sz="4" w:space="0" w:color="auto"/>
              <w:right w:val="single" w:sz="4" w:space="0" w:color="auto"/>
            </w:tcBorders>
            <w:noWrap/>
            <w:vAlign w:val="center"/>
          </w:tcPr>
          <w:p w14:paraId="2EB9F294" w14:textId="77777777" w:rsidR="009175A4" w:rsidRPr="00107C19" w:rsidRDefault="009175A4" w:rsidP="00167353">
            <w:pPr>
              <w:pStyle w:val="TableHeading"/>
              <w:jc w:val="center"/>
              <w:rPr>
                <w:b w:val="0"/>
                <w:bCs/>
                <w:color w:val="000000" w:themeColor="text1"/>
              </w:rPr>
            </w:pPr>
            <w:r w:rsidRPr="00107C19">
              <w:rPr>
                <w:b w:val="0"/>
                <w:bCs/>
                <w:color w:val="000000" w:themeColor="text1"/>
              </w:rPr>
              <w:t>34</w:t>
            </w:r>
          </w:p>
        </w:tc>
        <w:tc>
          <w:tcPr>
            <w:tcW w:w="1080" w:type="dxa"/>
            <w:tcBorders>
              <w:top w:val="nil"/>
              <w:left w:val="nil"/>
              <w:bottom w:val="single" w:sz="4" w:space="0" w:color="auto"/>
              <w:right w:val="single" w:sz="4" w:space="0" w:color="auto"/>
            </w:tcBorders>
            <w:vAlign w:val="center"/>
          </w:tcPr>
          <w:p w14:paraId="2E9BEF82" w14:textId="77777777" w:rsidR="009175A4" w:rsidRPr="00107C19" w:rsidRDefault="009175A4" w:rsidP="00167353">
            <w:pPr>
              <w:pStyle w:val="TableHeading"/>
              <w:jc w:val="center"/>
              <w:rPr>
                <w:b w:val="0"/>
                <w:bCs/>
                <w:color w:val="000000" w:themeColor="text1"/>
              </w:rPr>
            </w:pPr>
            <w:r w:rsidRPr="00107C19">
              <w:rPr>
                <w:b w:val="0"/>
                <w:bCs/>
                <w:color w:val="000000" w:themeColor="text1"/>
              </w:rPr>
              <w:t>40</w:t>
            </w:r>
          </w:p>
        </w:tc>
        <w:tc>
          <w:tcPr>
            <w:tcW w:w="1080" w:type="dxa"/>
            <w:tcBorders>
              <w:top w:val="nil"/>
              <w:left w:val="nil"/>
              <w:bottom w:val="single" w:sz="4" w:space="0" w:color="auto"/>
              <w:right w:val="single" w:sz="4" w:space="0" w:color="auto"/>
            </w:tcBorders>
            <w:vAlign w:val="center"/>
          </w:tcPr>
          <w:p w14:paraId="2F401C9A" w14:textId="77777777" w:rsidR="009175A4" w:rsidRPr="00107C19" w:rsidRDefault="009175A4" w:rsidP="00167353">
            <w:pPr>
              <w:pStyle w:val="TableHeading"/>
              <w:jc w:val="center"/>
              <w:rPr>
                <w:b w:val="0"/>
                <w:bCs/>
                <w:color w:val="000000" w:themeColor="text1"/>
              </w:rPr>
            </w:pPr>
            <w:r w:rsidRPr="00107C19">
              <w:rPr>
                <w:b w:val="0"/>
                <w:bCs/>
                <w:color w:val="000000" w:themeColor="text1"/>
              </w:rPr>
              <w:t>38</w:t>
            </w:r>
          </w:p>
        </w:tc>
        <w:tc>
          <w:tcPr>
            <w:tcW w:w="1050" w:type="dxa"/>
            <w:tcBorders>
              <w:top w:val="nil"/>
              <w:left w:val="nil"/>
              <w:bottom w:val="single" w:sz="4" w:space="0" w:color="auto"/>
              <w:right w:val="single" w:sz="4" w:space="0" w:color="auto"/>
            </w:tcBorders>
            <w:vAlign w:val="center"/>
          </w:tcPr>
          <w:p w14:paraId="499619A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w:t>
            </w:r>
          </w:p>
        </w:tc>
        <w:tc>
          <w:tcPr>
            <w:tcW w:w="1020" w:type="dxa"/>
            <w:tcBorders>
              <w:top w:val="nil"/>
              <w:left w:val="nil"/>
              <w:bottom w:val="single" w:sz="4" w:space="0" w:color="auto"/>
              <w:right w:val="single" w:sz="4" w:space="0" w:color="auto"/>
            </w:tcBorders>
            <w:vAlign w:val="center"/>
          </w:tcPr>
          <w:p w14:paraId="1E6245F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r>
      <w:tr w:rsidR="00107C19" w:rsidRPr="00107C19" w14:paraId="0F7BD404"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3053241F" w14:textId="77777777" w:rsidR="009175A4" w:rsidRPr="00107C19" w:rsidRDefault="009175A4" w:rsidP="00013CB4">
            <w:pPr>
              <w:pStyle w:val="TableHeading"/>
              <w:rPr>
                <w:b w:val="0"/>
                <w:bCs/>
                <w:color w:val="000000" w:themeColor="text1"/>
              </w:rPr>
            </w:pPr>
            <w:r w:rsidRPr="00107C19">
              <w:rPr>
                <w:b w:val="0"/>
                <w:bCs/>
                <w:color w:val="000000" w:themeColor="text1"/>
              </w:rPr>
              <w:t>Mechanical and measurement patent applications filed</w:t>
            </w:r>
          </w:p>
        </w:tc>
        <w:tc>
          <w:tcPr>
            <w:tcW w:w="1080" w:type="dxa"/>
            <w:tcBorders>
              <w:top w:val="nil"/>
              <w:left w:val="nil"/>
              <w:bottom w:val="single" w:sz="4" w:space="0" w:color="auto"/>
              <w:right w:val="single" w:sz="4" w:space="0" w:color="auto"/>
            </w:tcBorders>
            <w:noWrap/>
            <w:vAlign w:val="center"/>
          </w:tcPr>
          <w:p w14:paraId="009D8C10"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w:t>
            </w:r>
          </w:p>
        </w:tc>
        <w:tc>
          <w:tcPr>
            <w:tcW w:w="1080" w:type="dxa"/>
            <w:tcBorders>
              <w:top w:val="nil"/>
              <w:left w:val="nil"/>
              <w:bottom w:val="single" w:sz="4" w:space="0" w:color="auto"/>
              <w:right w:val="single" w:sz="4" w:space="0" w:color="auto"/>
            </w:tcBorders>
            <w:vAlign w:val="center"/>
          </w:tcPr>
          <w:p w14:paraId="3712EA46" w14:textId="77777777" w:rsidR="009175A4" w:rsidRPr="00107C19" w:rsidRDefault="009175A4" w:rsidP="00167353">
            <w:pPr>
              <w:pStyle w:val="TableHeading"/>
              <w:jc w:val="center"/>
              <w:rPr>
                <w:b w:val="0"/>
                <w:bCs/>
                <w:color w:val="000000" w:themeColor="text1"/>
              </w:rPr>
            </w:pPr>
            <w:r w:rsidRPr="00107C19">
              <w:rPr>
                <w:b w:val="0"/>
                <w:bCs/>
                <w:color w:val="000000" w:themeColor="text1"/>
              </w:rPr>
              <w:t>8</w:t>
            </w:r>
          </w:p>
        </w:tc>
        <w:tc>
          <w:tcPr>
            <w:tcW w:w="1080" w:type="dxa"/>
            <w:tcBorders>
              <w:top w:val="nil"/>
              <w:left w:val="nil"/>
              <w:bottom w:val="single" w:sz="4" w:space="0" w:color="auto"/>
              <w:right w:val="single" w:sz="4" w:space="0" w:color="auto"/>
            </w:tcBorders>
            <w:vAlign w:val="center"/>
          </w:tcPr>
          <w:p w14:paraId="6BB25C90"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c>
          <w:tcPr>
            <w:tcW w:w="1050" w:type="dxa"/>
            <w:tcBorders>
              <w:top w:val="nil"/>
              <w:left w:val="nil"/>
              <w:bottom w:val="single" w:sz="4" w:space="0" w:color="auto"/>
              <w:right w:val="single" w:sz="4" w:space="0" w:color="auto"/>
            </w:tcBorders>
            <w:vAlign w:val="center"/>
          </w:tcPr>
          <w:p w14:paraId="3496038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c>
          <w:tcPr>
            <w:tcW w:w="1020" w:type="dxa"/>
            <w:tcBorders>
              <w:top w:val="nil"/>
              <w:left w:val="nil"/>
              <w:bottom w:val="single" w:sz="4" w:space="0" w:color="auto"/>
              <w:right w:val="single" w:sz="4" w:space="0" w:color="auto"/>
            </w:tcBorders>
            <w:vAlign w:val="center"/>
          </w:tcPr>
          <w:p w14:paraId="7A11948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r>
      <w:tr w:rsidR="00107C19" w:rsidRPr="00107C19" w14:paraId="61354E40"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C815055" w14:textId="77777777" w:rsidR="009175A4" w:rsidRPr="00107C19" w:rsidRDefault="009175A4" w:rsidP="00013CB4">
            <w:pPr>
              <w:pStyle w:val="TableHeading"/>
              <w:rPr>
                <w:b w:val="0"/>
                <w:bCs/>
                <w:color w:val="000000" w:themeColor="text1"/>
              </w:rPr>
            </w:pPr>
            <w:r w:rsidRPr="00107C19">
              <w:rPr>
                <w:b w:val="0"/>
                <w:bCs/>
                <w:color w:val="000000" w:themeColor="text1"/>
              </w:rPr>
              <w:lastRenderedPageBreak/>
              <w:t>Plant patents</w:t>
            </w:r>
          </w:p>
        </w:tc>
        <w:tc>
          <w:tcPr>
            <w:tcW w:w="1080" w:type="dxa"/>
            <w:tcBorders>
              <w:top w:val="nil"/>
              <w:left w:val="nil"/>
              <w:bottom w:val="single" w:sz="4" w:space="0" w:color="auto"/>
              <w:right w:val="single" w:sz="4" w:space="0" w:color="auto"/>
            </w:tcBorders>
            <w:noWrap/>
            <w:vAlign w:val="center"/>
          </w:tcPr>
          <w:p w14:paraId="27F38D2B"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080" w:type="dxa"/>
            <w:tcBorders>
              <w:top w:val="nil"/>
              <w:left w:val="nil"/>
              <w:bottom w:val="single" w:sz="4" w:space="0" w:color="auto"/>
              <w:right w:val="single" w:sz="4" w:space="0" w:color="auto"/>
            </w:tcBorders>
            <w:vAlign w:val="center"/>
          </w:tcPr>
          <w:p w14:paraId="457B7E9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c>
          <w:tcPr>
            <w:tcW w:w="1080" w:type="dxa"/>
            <w:tcBorders>
              <w:top w:val="nil"/>
              <w:left w:val="nil"/>
              <w:bottom w:val="single" w:sz="4" w:space="0" w:color="auto"/>
              <w:right w:val="single" w:sz="4" w:space="0" w:color="auto"/>
            </w:tcBorders>
            <w:vAlign w:val="center"/>
          </w:tcPr>
          <w:p w14:paraId="2DB53EA1"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50" w:type="dxa"/>
            <w:tcBorders>
              <w:top w:val="nil"/>
              <w:left w:val="nil"/>
              <w:bottom w:val="single" w:sz="4" w:space="0" w:color="auto"/>
              <w:right w:val="single" w:sz="4" w:space="0" w:color="auto"/>
            </w:tcBorders>
            <w:vAlign w:val="center"/>
          </w:tcPr>
          <w:p w14:paraId="1D30680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c>
          <w:tcPr>
            <w:tcW w:w="1020" w:type="dxa"/>
            <w:tcBorders>
              <w:top w:val="nil"/>
              <w:left w:val="nil"/>
              <w:bottom w:val="single" w:sz="4" w:space="0" w:color="auto"/>
              <w:right w:val="single" w:sz="4" w:space="0" w:color="auto"/>
            </w:tcBorders>
            <w:vAlign w:val="center"/>
          </w:tcPr>
          <w:p w14:paraId="6514921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r>
      <w:tr w:rsidR="00107C19" w:rsidRPr="00107C19" w14:paraId="3DB27D8D"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507DB8B"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Plant variety protection </w:t>
            </w:r>
          </w:p>
        </w:tc>
        <w:tc>
          <w:tcPr>
            <w:tcW w:w="1080" w:type="dxa"/>
            <w:tcBorders>
              <w:top w:val="nil"/>
              <w:left w:val="nil"/>
              <w:bottom w:val="single" w:sz="4" w:space="0" w:color="auto"/>
              <w:right w:val="single" w:sz="4" w:space="0" w:color="auto"/>
            </w:tcBorders>
            <w:noWrap/>
            <w:vAlign w:val="center"/>
          </w:tcPr>
          <w:p w14:paraId="297E4BB9"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080" w:type="dxa"/>
            <w:tcBorders>
              <w:top w:val="nil"/>
              <w:left w:val="nil"/>
              <w:bottom w:val="single" w:sz="4" w:space="0" w:color="auto"/>
              <w:right w:val="single" w:sz="4" w:space="0" w:color="auto"/>
            </w:tcBorders>
            <w:vAlign w:val="center"/>
          </w:tcPr>
          <w:p w14:paraId="6D2BC515" w14:textId="77777777" w:rsidR="009175A4" w:rsidRPr="00107C19" w:rsidRDefault="009175A4" w:rsidP="00167353">
            <w:pPr>
              <w:pStyle w:val="TableHeading"/>
              <w:jc w:val="center"/>
              <w:rPr>
                <w:b w:val="0"/>
                <w:bCs/>
                <w:color w:val="000000" w:themeColor="text1"/>
              </w:rPr>
            </w:pPr>
            <w:r w:rsidRPr="00107C19">
              <w:rPr>
                <w:b w:val="0"/>
                <w:bCs/>
                <w:color w:val="000000" w:themeColor="text1"/>
              </w:rPr>
              <w:t>5</w:t>
            </w:r>
          </w:p>
        </w:tc>
        <w:tc>
          <w:tcPr>
            <w:tcW w:w="1080" w:type="dxa"/>
            <w:tcBorders>
              <w:top w:val="nil"/>
              <w:left w:val="nil"/>
              <w:bottom w:val="single" w:sz="4" w:space="0" w:color="auto"/>
              <w:right w:val="single" w:sz="4" w:space="0" w:color="auto"/>
            </w:tcBorders>
            <w:vAlign w:val="center"/>
          </w:tcPr>
          <w:p w14:paraId="43349E68" w14:textId="77777777" w:rsidR="009175A4" w:rsidRPr="00107C19" w:rsidRDefault="009175A4" w:rsidP="00167353">
            <w:pPr>
              <w:pStyle w:val="TableHeading"/>
              <w:jc w:val="center"/>
              <w:rPr>
                <w:b w:val="0"/>
                <w:bCs/>
                <w:color w:val="000000" w:themeColor="text1"/>
              </w:rPr>
            </w:pPr>
            <w:r w:rsidRPr="00107C19">
              <w:rPr>
                <w:b w:val="0"/>
                <w:bCs/>
                <w:color w:val="000000" w:themeColor="text1"/>
              </w:rPr>
              <w:t>5</w:t>
            </w:r>
          </w:p>
        </w:tc>
        <w:tc>
          <w:tcPr>
            <w:tcW w:w="1050" w:type="dxa"/>
            <w:tcBorders>
              <w:top w:val="nil"/>
              <w:left w:val="nil"/>
              <w:bottom w:val="single" w:sz="4" w:space="0" w:color="auto"/>
              <w:right w:val="single" w:sz="4" w:space="0" w:color="auto"/>
            </w:tcBorders>
            <w:vAlign w:val="center"/>
          </w:tcPr>
          <w:p w14:paraId="54ADC549" w14:textId="77777777" w:rsidR="009175A4" w:rsidRPr="00107C19" w:rsidRDefault="009175A4" w:rsidP="00167353">
            <w:pPr>
              <w:pStyle w:val="TableHeading"/>
              <w:jc w:val="center"/>
              <w:rPr>
                <w:b w:val="0"/>
                <w:bCs/>
                <w:color w:val="000000" w:themeColor="text1"/>
              </w:rPr>
            </w:pPr>
            <w:r w:rsidRPr="00107C19">
              <w:rPr>
                <w:b w:val="0"/>
                <w:bCs/>
                <w:color w:val="000000" w:themeColor="text1"/>
              </w:rPr>
              <w:t>5</w:t>
            </w:r>
          </w:p>
        </w:tc>
        <w:tc>
          <w:tcPr>
            <w:tcW w:w="1020" w:type="dxa"/>
            <w:tcBorders>
              <w:top w:val="nil"/>
              <w:left w:val="nil"/>
              <w:bottom w:val="single" w:sz="4" w:space="0" w:color="auto"/>
              <w:right w:val="single" w:sz="4" w:space="0" w:color="auto"/>
            </w:tcBorders>
            <w:vAlign w:val="center"/>
          </w:tcPr>
          <w:p w14:paraId="297662A1"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r>
      <w:tr w:rsidR="00107C19" w:rsidRPr="00107C19" w14:paraId="00BEEBAD" w14:textId="77777777" w:rsidTr="00167353">
        <w:trPr>
          <w:trHeight w:val="302"/>
          <w:jc w:val="center"/>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03875382" w14:textId="77777777" w:rsidR="009175A4" w:rsidRPr="00107C19" w:rsidRDefault="009175A4" w:rsidP="00013CB4">
            <w:pPr>
              <w:pStyle w:val="TableHeading"/>
              <w:rPr>
                <w:b w:val="0"/>
                <w:bCs/>
                <w:color w:val="000000" w:themeColor="text1"/>
              </w:rPr>
            </w:pPr>
            <w:r w:rsidRPr="00107C19">
              <w:rPr>
                <w:b w:val="0"/>
                <w:bCs/>
                <w:color w:val="000000" w:themeColor="text1"/>
              </w:rPr>
              <w:t>Total U.S. patents issued</w:t>
            </w:r>
            <w:r w:rsidRPr="00107C19">
              <w:rPr>
                <w:b w:val="0"/>
                <w:bCs/>
                <w:color w:val="000000" w:themeColor="text1"/>
                <w:vertAlign w:val="superscript"/>
              </w:rPr>
              <w:t>2</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799B4810" w14:textId="77777777" w:rsidR="009175A4" w:rsidRPr="00107C19" w:rsidRDefault="009175A4" w:rsidP="00167353">
            <w:pPr>
              <w:pStyle w:val="TableHeading"/>
              <w:jc w:val="center"/>
              <w:rPr>
                <w:b w:val="0"/>
                <w:bCs/>
                <w:color w:val="000000" w:themeColor="text1"/>
              </w:rPr>
            </w:pPr>
            <w:r w:rsidRPr="00107C19">
              <w:rPr>
                <w:b w:val="0"/>
                <w:bCs/>
                <w:color w:val="000000" w:themeColor="text1"/>
              </w:rPr>
              <w:t>65</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55288399" w14:textId="77777777" w:rsidR="009175A4" w:rsidRPr="00107C19" w:rsidRDefault="009175A4" w:rsidP="00167353">
            <w:pPr>
              <w:pStyle w:val="TableHeading"/>
              <w:jc w:val="center"/>
              <w:rPr>
                <w:b w:val="0"/>
                <w:bCs/>
                <w:color w:val="000000" w:themeColor="text1"/>
              </w:rPr>
            </w:pPr>
            <w:r w:rsidRPr="00107C19">
              <w:rPr>
                <w:b w:val="0"/>
                <w:bCs/>
                <w:color w:val="000000" w:themeColor="text1"/>
              </w:rPr>
              <w:t>50</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0E4D731B" w14:textId="77777777" w:rsidR="009175A4" w:rsidRPr="00107C19" w:rsidRDefault="009175A4" w:rsidP="00167353">
            <w:pPr>
              <w:pStyle w:val="TableHeading"/>
              <w:jc w:val="center"/>
              <w:rPr>
                <w:b w:val="0"/>
                <w:bCs/>
                <w:color w:val="000000" w:themeColor="text1"/>
              </w:rPr>
            </w:pPr>
            <w:r w:rsidRPr="00107C19">
              <w:rPr>
                <w:b w:val="0"/>
                <w:bCs/>
                <w:color w:val="000000" w:themeColor="text1"/>
              </w:rPr>
              <w:t>40</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4C458336"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21C7957F"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w:t>
            </w:r>
          </w:p>
        </w:tc>
      </w:tr>
      <w:tr w:rsidR="00107C19" w:rsidRPr="00107C19" w14:paraId="289C3649"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37640AB7"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University co-owned </w:t>
            </w:r>
          </w:p>
        </w:tc>
        <w:tc>
          <w:tcPr>
            <w:tcW w:w="1080" w:type="dxa"/>
            <w:tcBorders>
              <w:top w:val="nil"/>
              <w:left w:val="nil"/>
              <w:bottom w:val="single" w:sz="4" w:space="0" w:color="auto"/>
              <w:right w:val="single" w:sz="4" w:space="0" w:color="auto"/>
            </w:tcBorders>
            <w:noWrap/>
            <w:vAlign w:val="center"/>
          </w:tcPr>
          <w:p w14:paraId="13FBD12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c>
          <w:tcPr>
            <w:tcW w:w="1080" w:type="dxa"/>
            <w:tcBorders>
              <w:top w:val="nil"/>
              <w:left w:val="nil"/>
              <w:bottom w:val="single" w:sz="4" w:space="0" w:color="auto"/>
              <w:right w:val="single" w:sz="4" w:space="0" w:color="auto"/>
            </w:tcBorders>
            <w:vAlign w:val="center"/>
          </w:tcPr>
          <w:p w14:paraId="3E9436E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w:t>
            </w:r>
          </w:p>
        </w:tc>
        <w:tc>
          <w:tcPr>
            <w:tcW w:w="1080" w:type="dxa"/>
            <w:tcBorders>
              <w:top w:val="nil"/>
              <w:left w:val="nil"/>
              <w:bottom w:val="single" w:sz="4" w:space="0" w:color="auto"/>
              <w:right w:val="single" w:sz="4" w:space="0" w:color="auto"/>
            </w:tcBorders>
            <w:vAlign w:val="center"/>
          </w:tcPr>
          <w:p w14:paraId="570A7B41" w14:textId="77777777" w:rsidR="009175A4" w:rsidRPr="00107C19" w:rsidRDefault="009175A4" w:rsidP="00167353">
            <w:pPr>
              <w:pStyle w:val="TableHeading"/>
              <w:jc w:val="center"/>
              <w:rPr>
                <w:b w:val="0"/>
                <w:bCs/>
                <w:color w:val="000000" w:themeColor="text1"/>
              </w:rPr>
            </w:pPr>
            <w:r w:rsidRPr="00107C19">
              <w:rPr>
                <w:b w:val="0"/>
                <w:bCs/>
                <w:color w:val="000000" w:themeColor="text1"/>
              </w:rPr>
              <w:t>8</w:t>
            </w:r>
          </w:p>
        </w:tc>
        <w:tc>
          <w:tcPr>
            <w:tcW w:w="1050" w:type="dxa"/>
            <w:tcBorders>
              <w:top w:val="nil"/>
              <w:left w:val="nil"/>
              <w:bottom w:val="single" w:sz="4" w:space="0" w:color="auto"/>
              <w:right w:val="single" w:sz="4" w:space="0" w:color="auto"/>
            </w:tcBorders>
            <w:vAlign w:val="center"/>
          </w:tcPr>
          <w:p w14:paraId="48274FD1" w14:textId="77777777" w:rsidR="009175A4" w:rsidRPr="00107C19" w:rsidRDefault="009175A4" w:rsidP="00167353">
            <w:pPr>
              <w:pStyle w:val="TableHeading"/>
              <w:jc w:val="center"/>
              <w:rPr>
                <w:b w:val="0"/>
                <w:bCs/>
                <w:color w:val="000000" w:themeColor="text1"/>
              </w:rPr>
            </w:pPr>
            <w:r w:rsidRPr="00107C19">
              <w:rPr>
                <w:b w:val="0"/>
                <w:bCs/>
                <w:color w:val="000000" w:themeColor="text1"/>
              </w:rPr>
              <w:t>8</w:t>
            </w:r>
          </w:p>
        </w:tc>
        <w:tc>
          <w:tcPr>
            <w:tcW w:w="1020" w:type="dxa"/>
            <w:tcBorders>
              <w:top w:val="nil"/>
              <w:left w:val="nil"/>
              <w:bottom w:val="single" w:sz="4" w:space="0" w:color="auto"/>
              <w:right w:val="single" w:sz="4" w:space="0" w:color="auto"/>
            </w:tcBorders>
            <w:vAlign w:val="center"/>
          </w:tcPr>
          <w:p w14:paraId="272DF1A6"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r>
      <w:tr w:rsidR="00107C19" w:rsidRPr="00107C19" w14:paraId="72BBC2F1"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0BDB6537" w14:textId="77777777" w:rsidR="009175A4" w:rsidRPr="00107C19" w:rsidRDefault="009175A4" w:rsidP="00013CB4">
            <w:pPr>
              <w:pStyle w:val="TableHeading"/>
              <w:rPr>
                <w:b w:val="0"/>
                <w:bCs/>
                <w:color w:val="000000" w:themeColor="text1"/>
              </w:rPr>
            </w:pPr>
            <w:r w:rsidRPr="00107C19">
              <w:rPr>
                <w:b w:val="0"/>
                <w:bCs/>
                <w:color w:val="000000" w:themeColor="text1"/>
              </w:rPr>
              <w:t>Non-university co-owned</w:t>
            </w:r>
          </w:p>
        </w:tc>
        <w:tc>
          <w:tcPr>
            <w:tcW w:w="1080" w:type="dxa"/>
            <w:tcBorders>
              <w:top w:val="nil"/>
              <w:left w:val="nil"/>
              <w:bottom w:val="single" w:sz="4" w:space="0" w:color="auto"/>
              <w:right w:val="single" w:sz="4" w:space="0" w:color="auto"/>
            </w:tcBorders>
            <w:noWrap/>
            <w:vAlign w:val="center"/>
          </w:tcPr>
          <w:p w14:paraId="7AC6A886"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w:t>
            </w:r>
          </w:p>
        </w:tc>
        <w:tc>
          <w:tcPr>
            <w:tcW w:w="1080" w:type="dxa"/>
            <w:tcBorders>
              <w:top w:val="nil"/>
              <w:left w:val="nil"/>
              <w:bottom w:val="single" w:sz="4" w:space="0" w:color="auto"/>
              <w:right w:val="single" w:sz="4" w:space="0" w:color="auto"/>
            </w:tcBorders>
            <w:vAlign w:val="center"/>
          </w:tcPr>
          <w:p w14:paraId="323C09B4"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c>
          <w:tcPr>
            <w:tcW w:w="1080" w:type="dxa"/>
            <w:tcBorders>
              <w:top w:val="nil"/>
              <w:left w:val="nil"/>
              <w:bottom w:val="single" w:sz="4" w:space="0" w:color="auto"/>
              <w:right w:val="single" w:sz="4" w:space="0" w:color="auto"/>
            </w:tcBorders>
            <w:vAlign w:val="center"/>
          </w:tcPr>
          <w:p w14:paraId="444CFCF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c>
          <w:tcPr>
            <w:tcW w:w="1050" w:type="dxa"/>
            <w:tcBorders>
              <w:top w:val="nil"/>
              <w:left w:val="nil"/>
              <w:bottom w:val="single" w:sz="4" w:space="0" w:color="auto"/>
              <w:right w:val="single" w:sz="4" w:space="0" w:color="auto"/>
            </w:tcBorders>
            <w:vAlign w:val="center"/>
          </w:tcPr>
          <w:p w14:paraId="5891102E"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c>
          <w:tcPr>
            <w:tcW w:w="1020" w:type="dxa"/>
            <w:tcBorders>
              <w:top w:val="nil"/>
              <w:left w:val="nil"/>
              <w:bottom w:val="single" w:sz="4" w:space="0" w:color="auto"/>
              <w:right w:val="single" w:sz="4" w:space="0" w:color="auto"/>
            </w:tcBorders>
            <w:vAlign w:val="center"/>
          </w:tcPr>
          <w:p w14:paraId="502691FF"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r>
      <w:tr w:rsidR="00107C19" w:rsidRPr="00107C19" w14:paraId="29AE07B6"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2832998E" w14:textId="77777777" w:rsidR="009175A4" w:rsidRPr="00107C19" w:rsidRDefault="009175A4" w:rsidP="00013CB4">
            <w:pPr>
              <w:pStyle w:val="TableHeading"/>
              <w:rPr>
                <w:b w:val="0"/>
                <w:bCs/>
                <w:color w:val="000000" w:themeColor="text1"/>
              </w:rPr>
            </w:pPr>
            <w:r w:rsidRPr="00107C19">
              <w:rPr>
                <w:b w:val="0"/>
                <w:bCs/>
                <w:color w:val="000000" w:themeColor="text1"/>
              </w:rPr>
              <w:t>USDA solely owned</w:t>
            </w:r>
          </w:p>
        </w:tc>
        <w:tc>
          <w:tcPr>
            <w:tcW w:w="1080" w:type="dxa"/>
            <w:tcBorders>
              <w:top w:val="nil"/>
              <w:left w:val="nil"/>
              <w:bottom w:val="single" w:sz="4" w:space="0" w:color="auto"/>
              <w:right w:val="single" w:sz="4" w:space="0" w:color="auto"/>
            </w:tcBorders>
            <w:noWrap/>
            <w:vAlign w:val="center"/>
          </w:tcPr>
          <w:p w14:paraId="383995C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28</w:t>
            </w:r>
          </w:p>
        </w:tc>
        <w:tc>
          <w:tcPr>
            <w:tcW w:w="1080" w:type="dxa"/>
            <w:tcBorders>
              <w:top w:val="nil"/>
              <w:left w:val="nil"/>
              <w:bottom w:val="single" w:sz="4" w:space="0" w:color="auto"/>
              <w:right w:val="single" w:sz="4" w:space="0" w:color="auto"/>
            </w:tcBorders>
            <w:vAlign w:val="center"/>
          </w:tcPr>
          <w:p w14:paraId="1432FDA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w:t>
            </w:r>
          </w:p>
        </w:tc>
        <w:tc>
          <w:tcPr>
            <w:tcW w:w="1080" w:type="dxa"/>
            <w:tcBorders>
              <w:top w:val="nil"/>
              <w:left w:val="nil"/>
              <w:bottom w:val="single" w:sz="4" w:space="0" w:color="auto"/>
              <w:right w:val="single" w:sz="4" w:space="0" w:color="auto"/>
            </w:tcBorders>
            <w:vAlign w:val="center"/>
          </w:tcPr>
          <w:p w14:paraId="0339E921"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w:t>
            </w:r>
          </w:p>
        </w:tc>
        <w:tc>
          <w:tcPr>
            <w:tcW w:w="1050" w:type="dxa"/>
            <w:tcBorders>
              <w:top w:val="nil"/>
              <w:left w:val="nil"/>
              <w:bottom w:val="single" w:sz="4" w:space="0" w:color="auto"/>
              <w:right w:val="single" w:sz="4" w:space="0" w:color="auto"/>
            </w:tcBorders>
            <w:vAlign w:val="center"/>
          </w:tcPr>
          <w:p w14:paraId="5FB15B5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w:t>
            </w:r>
          </w:p>
        </w:tc>
        <w:tc>
          <w:tcPr>
            <w:tcW w:w="1020" w:type="dxa"/>
            <w:tcBorders>
              <w:top w:val="nil"/>
              <w:left w:val="nil"/>
              <w:bottom w:val="single" w:sz="4" w:space="0" w:color="auto"/>
              <w:right w:val="single" w:sz="4" w:space="0" w:color="auto"/>
            </w:tcBorders>
            <w:vAlign w:val="center"/>
          </w:tcPr>
          <w:p w14:paraId="32094BCF"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r>
      <w:tr w:rsidR="00107C19" w:rsidRPr="00107C19" w14:paraId="3F3E6F37"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46A9DD9" w14:textId="77777777" w:rsidR="009175A4" w:rsidRPr="00107C19" w:rsidRDefault="009175A4" w:rsidP="00013CB4">
            <w:pPr>
              <w:pStyle w:val="TableHeading"/>
              <w:rPr>
                <w:b w:val="0"/>
                <w:bCs/>
                <w:color w:val="000000" w:themeColor="text1"/>
              </w:rPr>
            </w:pPr>
            <w:r w:rsidRPr="00107C19">
              <w:rPr>
                <w:b w:val="0"/>
                <w:bCs/>
                <w:color w:val="000000" w:themeColor="text1"/>
              </w:rPr>
              <w:t>Life science patents issued</w:t>
            </w:r>
          </w:p>
        </w:tc>
        <w:tc>
          <w:tcPr>
            <w:tcW w:w="1080" w:type="dxa"/>
            <w:tcBorders>
              <w:top w:val="nil"/>
              <w:left w:val="nil"/>
              <w:bottom w:val="single" w:sz="4" w:space="0" w:color="auto"/>
              <w:right w:val="single" w:sz="4" w:space="0" w:color="auto"/>
            </w:tcBorders>
            <w:noWrap/>
            <w:vAlign w:val="center"/>
          </w:tcPr>
          <w:p w14:paraId="5936414E"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w:t>
            </w:r>
          </w:p>
        </w:tc>
        <w:tc>
          <w:tcPr>
            <w:tcW w:w="1080" w:type="dxa"/>
            <w:tcBorders>
              <w:top w:val="nil"/>
              <w:left w:val="nil"/>
              <w:bottom w:val="single" w:sz="4" w:space="0" w:color="auto"/>
              <w:right w:val="single" w:sz="4" w:space="0" w:color="auto"/>
            </w:tcBorders>
            <w:vAlign w:val="center"/>
          </w:tcPr>
          <w:p w14:paraId="11744560"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80" w:type="dxa"/>
            <w:tcBorders>
              <w:top w:val="nil"/>
              <w:left w:val="nil"/>
              <w:bottom w:val="single" w:sz="4" w:space="0" w:color="auto"/>
              <w:right w:val="single" w:sz="4" w:space="0" w:color="auto"/>
            </w:tcBorders>
            <w:vAlign w:val="center"/>
          </w:tcPr>
          <w:p w14:paraId="349626E7"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w:t>
            </w:r>
          </w:p>
        </w:tc>
        <w:tc>
          <w:tcPr>
            <w:tcW w:w="1050" w:type="dxa"/>
            <w:tcBorders>
              <w:top w:val="nil"/>
              <w:left w:val="nil"/>
              <w:bottom w:val="single" w:sz="4" w:space="0" w:color="auto"/>
              <w:right w:val="single" w:sz="4" w:space="0" w:color="auto"/>
            </w:tcBorders>
            <w:vAlign w:val="center"/>
          </w:tcPr>
          <w:p w14:paraId="7F5F3A24" w14:textId="77777777" w:rsidR="009175A4" w:rsidRPr="00107C19" w:rsidRDefault="009175A4" w:rsidP="00167353">
            <w:pPr>
              <w:pStyle w:val="TableHeading"/>
              <w:jc w:val="center"/>
              <w:rPr>
                <w:b w:val="0"/>
                <w:bCs/>
                <w:color w:val="000000" w:themeColor="text1"/>
              </w:rPr>
            </w:pPr>
            <w:r w:rsidRPr="00107C19">
              <w:rPr>
                <w:b w:val="0"/>
                <w:bCs/>
                <w:color w:val="000000" w:themeColor="text1"/>
              </w:rPr>
              <w:t>8</w:t>
            </w:r>
          </w:p>
        </w:tc>
        <w:tc>
          <w:tcPr>
            <w:tcW w:w="1020" w:type="dxa"/>
            <w:tcBorders>
              <w:top w:val="nil"/>
              <w:left w:val="nil"/>
              <w:bottom w:val="single" w:sz="4" w:space="0" w:color="auto"/>
              <w:right w:val="single" w:sz="4" w:space="0" w:color="auto"/>
            </w:tcBorders>
            <w:vAlign w:val="center"/>
          </w:tcPr>
          <w:p w14:paraId="03466933"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r>
      <w:tr w:rsidR="00107C19" w:rsidRPr="00107C19" w14:paraId="5B81AFEA"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93D78D5" w14:textId="77777777" w:rsidR="009175A4" w:rsidRPr="00107C19" w:rsidRDefault="009175A4" w:rsidP="00013CB4">
            <w:pPr>
              <w:pStyle w:val="TableHeading"/>
              <w:rPr>
                <w:b w:val="0"/>
                <w:bCs/>
                <w:color w:val="000000" w:themeColor="text1"/>
              </w:rPr>
            </w:pPr>
            <w:r w:rsidRPr="00107C19">
              <w:rPr>
                <w:b w:val="0"/>
                <w:bCs/>
                <w:color w:val="000000" w:themeColor="text1"/>
              </w:rPr>
              <w:t>Chemical patents issued</w:t>
            </w:r>
          </w:p>
        </w:tc>
        <w:tc>
          <w:tcPr>
            <w:tcW w:w="1080" w:type="dxa"/>
            <w:tcBorders>
              <w:top w:val="nil"/>
              <w:left w:val="nil"/>
              <w:bottom w:val="single" w:sz="4" w:space="0" w:color="auto"/>
              <w:right w:val="single" w:sz="4" w:space="0" w:color="auto"/>
            </w:tcBorders>
            <w:noWrap/>
            <w:vAlign w:val="center"/>
          </w:tcPr>
          <w:p w14:paraId="26516AC8"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80" w:type="dxa"/>
            <w:tcBorders>
              <w:top w:val="nil"/>
              <w:left w:val="nil"/>
              <w:bottom w:val="single" w:sz="4" w:space="0" w:color="auto"/>
              <w:right w:val="single" w:sz="4" w:space="0" w:color="auto"/>
            </w:tcBorders>
            <w:vAlign w:val="center"/>
          </w:tcPr>
          <w:p w14:paraId="1C7A479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80" w:type="dxa"/>
            <w:tcBorders>
              <w:top w:val="nil"/>
              <w:left w:val="nil"/>
              <w:bottom w:val="single" w:sz="4" w:space="0" w:color="auto"/>
              <w:right w:val="single" w:sz="4" w:space="0" w:color="auto"/>
            </w:tcBorders>
            <w:vAlign w:val="center"/>
          </w:tcPr>
          <w:p w14:paraId="1A19F40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w:t>
            </w:r>
          </w:p>
        </w:tc>
        <w:tc>
          <w:tcPr>
            <w:tcW w:w="1050" w:type="dxa"/>
            <w:tcBorders>
              <w:top w:val="nil"/>
              <w:left w:val="nil"/>
              <w:bottom w:val="single" w:sz="4" w:space="0" w:color="auto"/>
              <w:right w:val="single" w:sz="4" w:space="0" w:color="auto"/>
            </w:tcBorders>
            <w:vAlign w:val="center"/>
          </w:tcPr>
          <w:p w14:paraId="70B4826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w:t>
            </w:r>
          </w:p>
        </w:tc>
        <w:tc>
          <w:tcPr>
            <w:tcW w:w="1020" w:type="dxa"/>
            <w:tcBorders>
              <w:top w:val="nil"/>
              <w:left w:val="nil"/>
              <w:bottom w:val="single" w:sz="4" w:space="0" w:color="auto"/>
              <w:right w:val="single" w:sz="4" w:space="0" w:color="auto"/>
            </w:tcBorders>
            <w:vAlign w:val="center"/>
          </w:tcPr>
          <w:p w14:paraId="57FB3734"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r>
      <w:tr w:rsidR="00107C19" w:rsidRPr="00107C19" w14:paraId="019CA3E2"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9467EAC" w14:textId="77777777" w:rsidR="009175A4" w:rsidRPr="00107C19" w:rsidRDefault="009175A4" w:rsidP="00013CB4">
            <w:pPr>
              <w:pStyle w:val="TableHeading"/>
              <w:rPr>
                <w:b w:val="0"/>
                <w:bCs/>
                <w:color w:val="000000" w:themeColor="text1"/>
              </w:rPr>
            </w:pPr>
            <w:r w:rsidRPr="00107C19">
              <w:rPr>
                <w:b w:val="0"/>
                <w:bCs/>
                <w:color w:val="000000" w:themeColor="text1"/>
              </w:rPr>
              <w:t>Mechanical and measurement patents issued</w:t>
            </w:r>
          </w:p>
        </w:tc>
        <w:tc>
          <w:tcPr>
            <w:tcW w:w="1080" w:type="dxa"/>
            <w:tcBorders>
              <w:top w:val="nil"/>
              <w:left w:val="nil"/>
              <w:bottom w:val="single" w:sz="4" w:space="0" w:color="auto"/>
              <w:right w:val="single" w:sz="4" w:space="0" w:color="auto"/>
            </w:tcBorders>
            <w:noWrap/>
            <w:vAlign w:val="center"/>
          </w:tcPr>
          <w:p w14:paraId="40765E15"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080" w:type="dxa"/>
            <w:tcBorders>
              <w:top w:val="nil"/>
              <w:left w:val="nil"/>
              <w:bottom w:val="single" w:sz="4" w:space="0" w:color="auto"/>
              <w:right w:val="single" w:sz="4" w:space="0" w:color="auto"/>
            </w:tcBorders>
            <w:vAlign w:val="center"/>
          </w:tcPr>
          <w:p w14:paraId="18041E0E"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080" w:type="dxa"/>
            <w:tcBorders>
              <w:top w:val="nil"/>
              <w:left w:val="nil"/>
              <w:bottom w:val="single" w:sz="4" w:space="0" w:color="auto"/>
              <w:right w:val="single" w:sz="4" w:space="0" w:color="auto"/>
            </w:tcBorders>
            <w:vAlign w:val="center"/>
          </w:tcPr>
          <w:p w14:paraId="7101AB11" w14:textId="77777777" w:rsidR="009175A4" w:rsidRPr="00107C19" w:rsidRDefault="009175A4" w:rsidP="00167353">
            <w:pPr>
              <w:pStyle w:val="TableHeading"/>
              <w:jc w:val="center"/>
              <w:rPr>
                <w:b w:val="0"/>
                <w:bCs/>
                <w:color w:val="000000" w:themeColor="text1"/>
              </w:rPr>
            </w:pPr>
            <w:r w:rsidRPr="00107C19">
              <w:rPr>
                <w:b w:val="0"/>
                <w:bCs/>
                <w:color w:val="000000" w:themeColor="text1"/>
              </w:rPr>
              <w:t>5</w:t>
            </w:r>
          </w:p>
        </w:tc>
        <w:tc>
          <w:tcPr>
            <w:tcW w:w="1050" w:type="dxa"/>
            <w:tcBorders>
              <w:top w:val="nil"/>
              <w:left w:val="nil"/>
              <w:bottom w:val="single" w:sz="4" w:space="0" w:color="auto"/>
              <w:right w:val="single" w:sz="4" w:space="0" w:color="auto"/>
            </w:tcBorders>
            <w:vAlign w:val="center"/>
          </w:tcPr>
          <w:p w14:paraId="680C9CEA"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020" w:type="dxa"/>
            <w:tcBorders>
              <w:top w:val="nil"/>
              <w:left w:val="nil"/>
              <w:bottom w:val="single" w:sz="4" w:space="0" w:color="auto"/>
              <w:right w:val="single" w:sz="4" w:space="0" w:color="auto"/>
            </w:tcBorders>
            <w:vAlign w:val="center"/>
          </w:tcPr>
          <w:p w14:paraId="46ECB30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r>
      <w:tr w:rsidR="00107C19" w:rsidRPr="00107C19" w14:paraId="25C0CDB5"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147B924" w14:textId="77777777" w:rsidR="009175A4" w:rsidRPr="00107C19" w:rsidRDefault="009175A4" w:rsidP="00013CB4">
            <w:pPr>
              <w:pStyle w:val="TableHeading"/>
              <w:rPr>
                <w:b w:val="0"/>
                <w:bCs/>
                <w:color w:val="000000" w:themeColor="text1"/>
              </w:rPr>
            </w:pPr>
            <w:r w:rsidRPr="00107C19">
              <w:rPr>
                <w:b w:val="0"/>
                <w:bCs/>
                <w:color w:val="000000" w:themeColor="text1"/>
              </w:rPr>
              <w:t>Plant patents</w:t>
            </w:r>
          </w:p>
        </w:tc>
        <w:tc>
          <w:tcPr>
            <w:tcW w:w="1080" w:type="dxa"/>
            <w:tcBorders>
              <w:top w:val="nil"/>
              <w:left w:val="nil"/>
              <w:bottom w:val="single" w:sz="4" w:space="0" w:color="auto"/>
              <w:right w:val="single" w:sz="4" w:space="0" w:color="auto"/>
            </w:tcBorders>
            <w:noWrap/>
            <w:vAlign w:val="center"/>
          </w:tcPr>
          <w:p w14:paraId="67968214" w14:textId="77777777" w:rsidR="009175A4" w:rsidRPr="00107C19" w:rsidRDefault="009175A4" w:rsidP="00167353">
            <w:pPr>
              <w:pStyle w:val="TableHeading"/>
              <w:jc w:val="center"/>
              <w:rPr>
                <w:b w:val="0"/>
                <w:bCs/>
                <w:color w:val="000000" w:themeColor="text1"/>
              </w:rPr>
            </w:pPr>
            <w:r w:rsidRPr="00107C19">
              <w:rPr>
                <w:b w:val="0"/>
                <w:bCs/>
                <w:color w:val="000000" w:themeColor="text1"/>
              </w:rPr>
              <w:t>8</w:t>
            </w:r>
          </w:p>
        </w:tc>
        <w:tc>
          <w:tcPr>
            <w:tcW w:w="1080" w:type="dxa"/>
            <w:tcBorders>
              <w:top w:val="nil"/>
              <w:left w:val="nil"/>
              <w:bottom w:val="single" w:sz="4" w:space="0" w:color="auto"/>
              <w:right w:val="single" w:sz="4" w:space="0" w:color="auto"/>
            </w:tcBorders>
            <w:vAlign w:val="center"/>
          </w:tcPr>
          <w:p w14:paraId="14092324"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c>
          <w:tcPr>
            <w:tcW w:w="1080" w:type="dxa"/>
            <w:tcBorders>
              <w:top w:val="nil"/>
              <w:left w:val="nil"/>
              <w:bottom w:val="single" w:sz="4" w:space="0" w:color="auto"/>
              <w:right w:val="single" w:sz="4" w:space="0" w:color="auto"/>
            </w:tcBorders>
            <w:vAlign w:val="center"/>
          </w:tcPr>
          <w:p w14:paraId="3D95E8CE"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c>
          <w:tcPr>
            <w:tcW w:w="1050" w:type="dxa"/>
            <w:tcBorders>
              <w:top w:val="nil"/>
              <w:left w:val="nil"/>
              <w:bottom w:val="single" w:sz="4" w:space="0" w:color="auto"/>
              <w:right w:val="single" w:sz="4" w:space="0" w:color="auto"/>
            </w:tcBorders>
            <w:vAlign w:val="center"/>
          </w:tcPr>
          <w:p w14:paraId="3B1100A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c>
          <w:tcPr>
            <w:tcW w:w="1020" w:type="dxa"/>
            <w:tcBorders>
              <w:top w:val="nil"/>
              <w:left w:val="nil"/>
              <w:bottom w:val="single" w:sz="4" w:space="0" w:color="auto"/>
              <w:right w:val="single" w:sz="4" w:space="0" w:color="auto"/>
            </w:tcBorders>
            <w:vAlign w:val="center"/>
          </w:tcPr>
          <w:p w14:paraId="1653BE86"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r>
      <w:tr w:rsidR="00107C19" w:rsidRPr="00107C19" w14:paraId="0F31EC3F" w14:textId="77777777" w:rsidTr="00167353">
        <w:trPr>
          <w:trHeight w:val="302"/>
          <w:jc w:val="center"/>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70A066FA"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Plant variety protection </w:t>
            </w:r>
          </w:p>
        </w:tc>
        <w:tc>
          <w:tcPr>
            <w:tcW w:w="1080" w:type="dxa"/>
            <w:tcBorders>
              <w:top w:val="nil"/>
              <w:left w:val="nil"/>
              <w:bottom w:val="single" w:sz="4" w:space="0" w:color="auto"/>
              <w:right w:val="single" w:sz="4" w:space="0" w:color="auto"/>
            </w:tcBorders>
            <w:noWrap/>
            <w:vAlign w:val="center"/>
          </w:tcPr>
          <w:p w14:paraId="549B76EF"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c>
          <w:tcPr>
            <w:tcW w:w="1080" w:type="dxa"/>
            <w:tcBorders>
              <w:top w:val="nil"/>
              <w:left w:val="nil"/>
              <w:bottom w:val="single" w:sz="4" w:space="0" w:color="auto"/>
              <w:right w:val="single" w:sz="4" w:space="0" w:color="auto"/>
            </w:tcBorders>
            <w:vAlign w:val="center"/>
          </w:tcPr>
          <w:p w14:paraId="6B2EA13D"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080" w:type="dxa"/>
            <w:tcBorders>
              <w:top w:val="nil"/>
              <w:left w:val="nil"/>
              <w:bottom w:val="single" w:sz="4" w:space="0" w:color="auto"/>
              <w:right w:val="single" w:sz="4" w:space="0" w:color="auto"/>
            </w:tcBorders>
            <w:vAlign w:val="center"/>
          </w:tcPr>
          <w:p w14:paraId="76EC890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c>
          <w:tcPr>
            <w:tcW w:w="1050" w:type="dxa"/>
            <w:tcBorders>
              <w:top w:val="nil"/>
              <w:left w:val="nil"/>
              <w:bottom w:val="single" w:sz="4" w:space="0" w:color="auto"/>
              <w:right w:val="single" w:sz="4" w:space="0" w:color="auto"/>
            </w:tcBorders>
            <w:vAlign w:val="center"/>
          </w:tcPr>
          <w:p w14:paraId="6B5108A3"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020" w:type="dxa"/>
            <w:tcBorders>
              <w:top w:val="nil"/>
              <w:left w:val="nil"/>
              <w:bottom w:val="single" w:sz="4" w:space="0" w:color="auto"/>
              <w:right w:val="single" w:sz="4" w:space="0" w:color="auto"/>
            </w:tcBorders>
            <w:vAlign w:val="center"/>
          </w:tcPr>
          <w:p w14:paraId="1EC5393F" w14:textId="77777777" w:rsidR="009175A4" w:rsidRPr="00107C19" w:rsidRDefault="009175A4" w:rsidP="00167353">
            <w:pPr>
              <w:pStyle w:val="TableHeading"/>
              <w:jc w:val="center"/>
              <w:rPr>
                <w:b w:val="0"/>
                <w:bCs/>
                <w:color w:val="000000" w:themeColor="text1"/>
              </w:rPr>
            </w:pPr>
            <w:r w:rsidRPr="00107C19">
              <w:rPr>
                <w:b w:val="0"/>
                <w:bCs/>
                <w:color w:val="000000" w:themeColor="text1"/>
              </w:rPr>
              <w:t>1</w:t>
            </w:r>
          </w:p>
        </w:tc>
      </w:tr>
      <w:tr w:rsidR="00107C19" w:rsidRPr="00107C19" w14:paraId="7208EDA7" w14:textId="77777777" w:rsidTr="00167353">
        <w:trPr>
          <w:trHeight w:val="302"/>
          <w:jc w:val="center"/>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tcPr>
          <w:p w14:paraId="0940F5DF"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Total foreign patent applications filed </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1C251C58" w14:textId="77777777" w:rsidR="009175A4" w:rsidRPr="00107C19" w:rsidRDefault="009175A4" w:rsidP="00167353">
            <w:pPr>
              <w:pStyle w:val="TableHeading"/>
              <w:jc w:val="center"/>
              <w:rPr>
                <w:b w:val="0"/>
                <w:bCs/>
                <w:color w:val="000000" w:themeColor="text1"/>
              </w:rPr>
            </w:pPr>
            <w:r w:rsidRPr="00107C19">
              <w:rPr>
                <w:b w:val="0"/>
                <w:bCs/>
                <w:color w:val="000000" w:themeColor="text1"/>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56BD1583" w14:textId="77777777" w:rsidR="009175A4" w:rsidRPr="00107C19" w:rsidRDefault="009175A4" w:rsidP="00167353">
            <w:pPr>
              <w:pStyle w:val="TableHeading"/>
              <w:jc w:val="center"/>
              <w:rPr>
                <w:b w:val="0"/>
                <w:bCs/>
                <w:color w:val="000000" w:themeColor="text1"/>
              </w:rPr>
            </w:pPr>
            <w:r w:rsidRPr="00107C19">
              <w:rPr>
                <w:b w:val="0"/>
                <w:bCs/>
                <w:color w:val="000000" w:themeColor="text1"/>
              </w:rPr>
              <w:t>60</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2EEF2F9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29025887" w14:textId="77777777" w:rsidR="009175A4" w:rsidRPr="00107C19" w:rsidRDefault="009175A4" w:rsidP="00167353">
            <w:pPr>
              <w:pStyle w:val="TableHeading"/>
              <w:jc w:val="center"/>
              <w:rPr>
                <w:b w:val="0"/>
                <w:bCs/>
                <w:color w:val="000000" w:themeColor="text1"/>
              </w:rPr>
            </w:pPr>
            <w:r w:rsidRPr="00107C19">
              <w:rPr>
                <w:b w:val="0"/>
                <w:bCs/>
                <w:color w:val="000000" w:themeColor="text1"/>
              </w:rPr>
              <w:t>52</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5A0AF940" w14:textId="77777777" w:rsidR="009175A4" w:rsidRPr="00107C19" w:rsidRDefault="009175A4" w:rsidP="00167353">
            <w:pPr>
              <w:pStyle w:val="TableHeading"/>
              <w:jc w:val="center"/>
              <w:rPr>
                <w:b w:val="0"/>
                <w:bCs/>
                <w:color w:val="000000" w:themeColor="text1"/>
              </w:rPr>
            </w:pPr>
            <w:r w:rsidRPr="00107C19">
              <w:rPr>
                <w:b w:val="0"/>
                <w:bCs/>
                <w:color w:val="000000" w:themeColor="text1"/>
              </w:rPr>
              <w:t>52</w:t>
            </w:r>
          </w:p>
        </w:tc>
      </w:tr>
      <w:tr w:rsidR="00107C19" w:rsidRPr="00107C19" w14:paraId="13C1A26F" w14:textId="77777777" w:rsidTr="00167353">
        <w:trPr>
          <w:trHeight w:val="302"/>
          <w:jc w:val="center"/>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tcPr>
          <w:p w14:paraId="5B9224F7" w14:textId="77777777" w:rsidR="009175A4" w:rsidRPr="00107C19" w:rsidRDefault="009175A4" w:rsidP="00013CB4">
            <w:pPr>
              <w:pStyle w:val="TableHeading"/>
              <w:rPr>
                <w:b w:val="0"/>
                <w:bCs/>
                <w:color w:val="000000" w:themeColor="text1"/>
              </w:rPr>
            </w:pPr>
            <w:r w:rsidRPr="00107C19">
              <w:rPr>
                <w:b w:val="0"/>
                <w:bCs/>
                <w:color w:val="000000" w:themeColor="text1"/>
              </w:rPr>
              <w:t>Total PCT Applications Filed</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10A0F6F8" w14:textId="77777777" w:rsidR="009175A4" w:rsidRPr="00107C19" w:rsidRDefault="009175A4" w:rsidP="00167353">
            <w:pPr>
              <w:pStyle w:val="TableHeading"/>
              <w:jc w:val="center"/>
              <w:rPr>
                <w:b w:val="0"/>
                <w:bCs/>
                <w:color w:val="000000" w:themeColor="text1"/>
              </w:rPr>
            </w:pPr>
            <w:r w:rsidRPr="00107C19">
              <w:rPr>
                <w:b w:val="0"/>
                <w:bCs/>
                <w:color w:val="000000" w:themeColor="text1"/>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0A2F366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5046CAA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19</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46D8920D"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7D67D77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w:t>
            </w:r>
          </w:p>
        </w:tc>
      </w:tr>
      <w:tr w:rsidR="00107C19" w:rsidRPr="00107C19" w14:paraId="0BF67AE0" w14:textId="77777777" w:rsidTr="00167353">
        <w:trPr>
          <w:trHeight w:val="302"/>
          <w:jc w:val="center"/>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tcPr>
          <w:p w14:paraId="06814AC7" w14:textId="77777777" w:rsidR="009175A4" w:rsidRPr="00107C19" w:rsidRDefault="009175A4" w:rsidP="00013CB4">
            <w:pPr>
              <w:pStyle w:val="TableHeading"/>
              <w:rPr>
                <w:b w:val="0"/>
                <w:bCs/>
                <w:color w:val="000000" w:themeColor="text1"/>
              </w:rPr>
            </w:pPr>
            <w:r w:rsidRPr="00107C19">
              <w:rPr>
                <w:b w:val="0"/>
                <w:bCs/>
                <w:color w:val="000000" w:themeColor="text1"/>
              </w:rPr>
              <w:t>Total foreign patents issued</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291E6E97" w14:textId="77777777" w:rsidR="009175A4" w:rsidRPr="00107C19" w:rsidRDefault="009175A4" w:rsidP="00167353">
            <w:pPr>
              <w:pStyle w:val="TableHeading"/>
              <w:jc w:val="center"/>
              <w:rPr>
                <w:b w:val="0"/>
                <w:bCs/>
                <w:color w:val="000000" w:themeColor="text1"/>
              </w:rPr>
            </w:pPr>
            <w:r w:rsidRPr="00107C19">
              <w:rPr>
                <w:b w:val="0"/>
                <w:bCs/>
                <w:color w:val="000000" w:themeColor="text1"/>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0F855679"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09531B9B"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5456ACE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1C33D81C"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r>
    </w:tbl>
    <w:p w14:paraId="09D4888B"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14:ligatures w14:val="standardContextual"/>
        </w:rPr>
        <w:t>ND, data not available.</w:t>
      </w:r>
    </w:p>
    <w:p w14:paraId="3986F392"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1</w:t>
      </w:r>
      <w:r w:rsidRPr="00107C19">
        <w:rPr>
          <w:rFonts w:ascii="Calibri" w:hAnsi="Calibri"/>
          <w:color w:val="000000" w:themeColor="text1"/>
          <w:kern w:val="2"/>
          <w:sz w:val="22"/>
          <w14:ligatures w14:val="standardContextual"/>
        </w:rPr>
        <w:t xml:space="preserve"> In the United State, plants may be protected in one of two ways based upon their mode of reproduction: patent (vegetatively reproduced) through the USPTO or variety protection (seed reproduced) through USDA Agricultural Marketing Service. International plants are protected through plant breeder’s rights. </w:t>
      </w:r>
    </w:p>
    <w:p w14:paraId="093AEEED"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 xml:space="preserve">2 </w:t>
      </w:r>
      <w:r w:rsidRPr="00107C19">
        <w:rPr>
          <w:rFonts w:ascii="Calibri" w:hAnsi="Calibri"/>
          <w:color w:val="000000" w:themeColor="text1"/>
          <w:kern w:val="2"/>
          <w:sz w:val="22"/>
          <w14:ligatures w14:val="standardContextual"/>
        </w:rPr>
        <w:t>Includes U.S. patent applications, divisional applications, continuation-in-part applications, provisional applications, and Plant Variety Protection.</w:t>
      </w:r>
    </w:p>
    <w:p w14:paraId="34ECA721" w14:textId="77777777" w:rsidR="009175A4" w:rsidRPr="00107C19" w:rsidRDefault="009175A4" w:rsidP="009175A4">
      <w:pPr>
        <w:spacing w:before="0" w:after="160" w:line="259" w:lineRule="auto"/>
        <w:rPr>
          <w:rFonts w:ascii="Calibri" w:hAnsi="Calibri"/>
          <w:b/>
          <w:bCs/>
          <w:color w:val="000000" w:themeColor="text1"/>
          <w:kern w:val="2"/>
          <w:sz w:val="22"/>
          <w14:ligatures w14:val="standardContextual"/>
        </w:rPr>
      </w:pPr>
      <w:r w:rsidRPr="00107C19">
        <w:rPr>
          <w:rFonts w:ascii="Calibri" w:hAnsi="Calibri"/>
          <w:b/>
          <w:bCs/>
          <w:color w:val="000000" w:themeColor="text1"/>
          <w:kern w:val="2"/>
          <w:sz w:val="22"/>
          <w14:ligatures w14:val="standardContextual"/>
        </w:rPr>
        <w:t>Table 3. Profile of active licenses</w:t>
      </w:r>
    </w:p>
    <w:tbl>
      <w:tblPr>
        <w:tblW w:w="10055" w:type="dxa"/>
        <w:jc w:val="center"/>
        <w:tblLook w:val="04A0" w:firstRow="1" w:lastRow="0" w:firstColumn="1" w:lastColumn="0" w:noHBand="0" w:noVBand="1"/>
      </w:tblPr>
      <w:tblGrid>
        <w:gridCol w:w="4140"/>
        <w:gridCol w:w="1353"/>
        <w:gridCol w:w="1180"/>
        <w:gridCol w:w="1177"/>
        <w:gridCol w:w="1114"/>
        <w:gridCol w:w="1091"/>
      </w:tblGrid>
      <w:tr w:rsidR="00107C19" w:rsidRPr="00107C19" w14:paraId="6213D7A6" w14:textId="77777777" w:rsidTr="00167353">
        <w:trPr>
          <w:trHeight w:val="300"/>
          <w:tblHeader/>
          <w:jc w:val="center"/>
        </w:trPr>
        <w:tc>
          <w:tcPr>
            <w:tcW w:w="41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D47D31" w14:textId="77777777" w:rsidR="009175A4" w:rsidRPr="00107C19" w:rsidRDefault="009175A4" w:rsidP="00013CB4">
            <w:pPr>
              <w:pStyle w:val="TableHeading"/>
              <w:rPr>
                <w:color w:val="000000" w:themeColor="text1"/>
              </w:rPr>
            </w:pPr>
            <w:r w:rsidRPr="00107C19">
              <w:rPr>
                <w:color w:val="000000" w:themeColor="text1"/>
              </w:rPr>
              <w:t xml:space="preserve">Licensing </w:t>
            </w:r>
          </w:p>
        </w:tc>
        <w:tc>
          <w:tcPr>
            <w:tcW w:w="1353" w:type="dxa"/>
            <w:tcBorders>
              <w:top w:val="single" w:sz="4" w:space="0" w:color="auto"/>
              <w:left w:val="nil"/>
              <w:bottom w:val="single" w:sz="4" w:space="0" w:color="auto"/>
              <w:right w:val="single" w:sz="4" w:space="0" w:color="auto"/>
            </w:tcBorders>
            <w:shd w:val="clear" w:color="000000" w:fill="D9D9D9"/>
            <w:noWrap/>
            <w:vAlign w:val="center"/>
          </w:tcPr>
          <w:p w14:paraId="73D3C9B1" w14:textId="77777777" w:rsidR="009175A4" w:rsidRPr="00107C19" w:rsidRDefault="009175A4" w:rsidP="00167353">
            <w:pPr>
              <w:pStyle w:val="TableHeading"/>
              <w:jc w:val="center"/>
              <w:rPr>
                <w:color w:val="000000" w:themeColor="text1"/>
              </w:rPr>
            </w:pPr>
            <w:r w:rsidRPr="00107C19">
              <w:rPr>
                <w:color w:val="000000" w:themeColor="text1"/>
              </w:rPr>
              <w:t>2019</w:t>
            </w:r>
          </w:p>
        </w:tc>
        <w:tc>
          <w:tcPr>
            <w:tcW w:w="1180" w:type="dxa"/>
            <w:tcBorders>
              <w:top w:val="single" w:sz="4" w:space="0" w:color="auto"/>
              <w:left w:val="nil"/>
              <w:bottom w:val="single" w:sz="4" w:space="0" w:color="auto"/>
              <w:right w:val="single" w:sz="4" w:space="0" w:color="auto"/>
            </w:tcBorders>
            <w:shd w:val="clear" w:color="000000" w:fill="D9D9D9"/>
            <w:vAlign w:val="center"/>
          </w:tcPr>
          <w:p w14:paraId="1EED861C" w14:textId="77777777" w:rsidR="009175A4" w:rsidRPr="00107C19" w:rsidRDefault="009175A4" w:rsidP="00167353">
            <w:pPr>
              <w:pStyle w:val="TableHeading"/>
              <w:jc w:val="center"/>
              <w:rPr>
                <w:color w:val="000000" w:themeColor="text1"/>
              </w:rPr>
            </w:pPr>
            <w:r w:rsidRPr="00107C19">
              <w:rPr>
                <w:color w:val="000000" w:themeColor="text1"/>
              </w:rPr>
              <w:t>2020</w:t>
            </w:r>
          </w:p>
        </w:tc>
        <w:tc>
          <w:tcPr>
            <w:tcW w:w="1177" w:type="dxa"/>
            <w:tcBorders>
              <w:top w:val="single" w:sz="4" w:space="0" w:color="auto"/>
              <w:left w:val="nil"/>
              <w:bottom w:val="single" w:sz="4" w:space="0" w:color="auto"/>
              <w:right w:val="single" w:sz="4" w:space="0" w:color="auto"/>
            </w:tcBorders>
            <w:shd w:val="clear" w:color="000000" w:fill="D9D9D9"/>
            <w:vAlign w:val="center"/>
          </w:tcPr>
          <w:p w14:paraId="193EAEED" w14:textId="77777777" w:rsidR="009175A4" w:rsidRPr="00107C19" w:rsidRDefault="009175A4" w:rsidP="00167353">
            <w:pPr>
              <w:pStyle w:val="TableHeading"/>
              <w:jc w:val="center"/>
              <w:rPr>
                <w:color w:val="000000" w:themeColor="text1"/>
              </w:rPr>
            </w:pPr>
            <w:r w:rsidRPr="00107C19">
              <w:rPr>
                <w:color w:val="000000" w:themeColor="text1"/>
              </w:rPr>
              <w:t>2021</w:t>
            </w:r>
          </w:p>
        </w:tc>
        <w:tc>
          <w:tcPr>
            <w:tcW w:w="1114" w:type="dxa"/>
            <w:tcBorders>
              <w:top w:val="single" w:sz="4" w:space="0" w:color="auto"/>
              <w:left w:val="nil"/>
              <w:bottom w:val="single" w:sz="4" w:space="0" w:color="auto"/>
              <w:right w:val="single" w:sz="4" w:space="0" w:color="auto"/>
            </w:tcBorders>
            <w:shd w:val="clear" w:color="000000" w:fill="D9D9D9"/>
            <w:vAlign w:val="center"/>
          </w:tcPr>
          <w:p w14:paraId="14C969E8" w14:textId="77777777" w:rsidR="009175A4" w:rsidRPr="00107C19" w:rsidRDefault="009175A4" w:rsidP="00167353">
            <w:pPr>
              <w:pStyle w:val="TableHeading"/>
              <w:jc w:val="center"/>
              <w:rPr>
                <w:color w:val="000000" w:themeColor="text1"/>
              </w:rPr>
            </w:pPr>
            <w:r w:rsidRPr="00107C19">
              <w:rPr>
                <w:color w:val="000000" w:themeColor="text1"/>
              </w:rPr>
              <w:t>2022</w:t>
            </w:r>
          </w:p>
        </w:tc>
        <w:tc>
          <w:tcPr>
            <w:tcW w:w="1091" w:type="dxa"/>
            <w:tcBorders>
              <w:top w:val="single" w:sz="4" w:space="0" w:color="auto"/>
              <w:left w:val="nil"/>
              <w:bottom w:val="single" w:sz="4" w:space="0" w:color="auto"/>
              <w:right w:val="single" w:sz="4" w:space="0" w:color="auto"/>
            </w:tcBorders>
            <w:shd w:val="clear" w:color="000000" w:fill="D9D9D9"/>
            <w:vAlign w:val="center"/>
          </w:tcPr>
          <w:p w14:paraId="0DF0986A" w14:textId="77777777" w:rsidR="009175A4" w:rsidRPr="00107C19" w:rsidRDefault="009175A4" w:rsidP="00167353">
            <w:pPr>
              <w:pStyle w:val="TableHeading"/>
              <w:jc w:val="center"/>
              <w:rPr>
                <w:color w:val="000000" w:themeColor="text1"/>
              </w:rPr>
            </w:pPr>
            <w:r w:rsidRPr="00107C19">
              <w:rPr>
                <w:color w:val="000000" w:themeColor="text1"/>
              </w:rPr>
              <w:t>2023</w:t>
            </w:r>
          </w:p>
        </w:tc>
      </w:tr>
      <w:tr w:rsidR="00107C19" w:rsidRPr="00107C19" w14:paraId="2F06FA29" w14:textId="77777777" w:rsidTr="00167353">
        <w:trPr>
          <w:trHeight w:val="315"/>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4DD89" w14:textId="77777777" w:rsidR="009175A4" w:rsidRPr="00107C19" w:rsidRDefault="009175A4" w:rsidP="00013CB4">
            <w:pPr>
              <w:pStyle w:val="TableHeading"/>
              <w:rPr>
                <w:b w:val="0"/>
                <w:bCs/>
                <w:color w:val="000000" w:themeColor="text1"/>
              </w:rPr>
            </w:pPr>
            <w:r w:rsidRPr="00107C19">
              <w:rPr>
                <w:b w:val="0"/>
                <w:bCs/>
                <w:color w:val="000000" w:themeColor="text1"/>
              </w:rPr>
              <w:t>Total active licenses</w:t>
            </w:r>
            <w:r w:rsidRPr="00107C19">
              <w:rPr>
                <w:b w:val="0"/>
                <w:bCs/>
                <w:color w:val="000000" w:themeColor="text1"/>
                <w:vertAlign w:val="superscript"/>
              </w:rPr>
              <w:t>1</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22F3AFA1" w14:textId="77777777" w:rsidR="009175A4" w:rsidRPr="00107C19" w:rsidRDefault="009175A4" w:rsidP="00167353">
            <w:pPr>
              <w:pStyle w:val="TableHeading"/>
              <w:jc w:val="center"/>
              <w:rPr>
                <w:b w:val="0"/>
                <w:bCs/>
                <w:color w:val="000000" w:themeColor="text1"/>
              </w:rPr>
            </w:pPr>
            <w:r w:rsidRPr="00107C19">
              <w:rPr>
                <w:b w:val="0"/>
                <w:bCs/>
                <w:color w:val="000000" w:themeColor="text1"/>
              </w:rPr>
              <w:t>497</w:t>
            </w:r>
          </w:p>
        </w:tc>
        <w:tc>
          <w:tcPr>
            <w:tcW w:w="1180" w:type="dxa"/>
            <w:tcBorders>
              <w:top w:val="single" w:sz="4" w:space="0" w:color="auto"/>
              <w:left w:val="nil"/>
              <w:bottom w:val="single" w:sz="4" w:space="0" w:color="auto"/>
              <w:right w:val="single" w:sz="4" w:space="0" w:color="auto"/>
            </w:tcBorders>
            <w:shd w:val="clear" w:color="auto" w:fill="auto"/>
            <w:vAlign w:val="center"/>
          </w:tcPr>
          <w:p w14:paraId="79A58BAD" w14:textId="77777777" w:rsidR="009175A4" w:rsidRPr="00107C19" w:rsidRDefault="009175A4" w:rsidP="00167353">
            <w:pPr>
              <w:pStyle w:val="TableHeading"/>
              <w:jc w:val="center"/>
              <w:rPr>
                <w:b w:val="0"/>
                <w:bCs/>
                <w:color w:val="000000" w:themeColor="text1"/>
              </w:rPr>
            </w:pPr>
            <w:r w:rsidRPr="00107C19">
              <w:rPr>
                <w:b w:val="0"/>
                <w:bCs/>
                <w:color w:val="000000" w:themeColor="text1"/>
              </w:rPr>
              <w:t>565</w:t>
            </w:r>
          </w:p>
        </w:tc>
        <w:tc>
          <w:tcPr>
            <w:tcW w:w="1177" w:type="dxa"/>
            <w:tcBorders>
              <w:top w:val="single" w:sz="4" w:space="0" w:color="auto"/>
              <w:left w:val="nil"/>
              <w:bottom w:val="single" w:sz="4" w:space="0" w:color="auto"/>
              <w:right w:val="single" w:sz="4" w:space="0" w:color="auto"/>
            </w:tcBorders>
            <w:shd w:val="clear" w:color="auto" w:fill="auto"/>
            <w:vAlign w:val="center"/>
          </w:tcPr>
          <w:p w14:paraId="5EEC6408" w14:textId="77777777" w:rsidR="009175A4" w:rsidRPr="00107C19" w:rsidRDefault="009175A4" w:rsidP="00167353">
            <w:pPr>
              <w:pStyle w:val="TableHeading"/>
              <w:jc w:val="center"/>
              <w:rPr>
                <w:b w:val="0"/>
                <w:bCs/>
                <w:color w:val="000000" w:themeColor="text1"/>
              </w:rPr>
            </w:pPr>
            <w:r w:rsidRPr="00107C19">
              <w:rPr>
                <w:b w:val="0"/>
                <w:bCs/>
                <w:color w:val="000000" w:themeColor="text1"/>
              </w:rPr>
              <w:t>613</w:t>
            </w:r>
          </w:p>
        </w:tc>
        <w:tc>
          <w:tcPr>
            <w:tcW w:w="1114" w:type="dxa"/>
            <w:tcBorders>
              <w:top w:val="single" w:sz="4" w:space="0" w:color="auto"/>
              <w:left w:val="nil"/>
              <w:bottom w:val="single" w:sz="4" w:space="0" w:color="auto"/>
              <w:right w:val="single" w:sz="4" w:space="0" w:color="auto"/>
            </w:tcBorders>
            <w:shd w:val="clear" w:color="auto" w:fill="auto"/>
            <w:vAlign w:val="center"/>
          </w:tcPr>
          <w:p w14:paraId="2DC66E3C" w14:textId="77777777" w:rsidR="009175A4" w:rsidRPr="00107C19" w:rsidRDefault="009175A4" w:rsidP="00167353">
            <w:pPr>
              <w:pStyle w:val="TableHeading"/>
              <w:jc w:val="center"/>
              <w:rPr>
                <w:b w:val="0"/>
                <w:bCs/>
                <w:color w:val="000000" w:themeColor="text1"/>
              </w:rPr>
            </w:pPr>
            <w:r w:rsidRPr="00107C19">
              <w:rPr>
                <w:b w:val="0"/>
                <w:bCs/>
                <w:color w:val="000000" w:themeColor="text1"/>
              </w:rPr>
              <w:t>635</w:t>
            </w:r>
          </w:p>
        </w:tc>
        <w:tc>
          <w:tcPr>
            <w:tcW w:w="1091" w:type="dxa"/>
            <w:tcBorders>
              <w:top w:val="single" w:sz="4" w:space="0" w:color="auto"/>
              <w:left w:val="nil"/>
              <w:bottom w:val="single" w:sz="4" w:space="0" w:color="auto"/>
              <w:right w:val="single" w:sz="4" w:space="0" w:color="auto"/>
            </w:tcBorders>
            <w:shd w:val="clear" w:color="auto" w:fill="auto"/>
            <w:vAlign w:val="center"/>
          </w:tcPr>
          <w:p w14:paraId="307FB9C8" w14:textId="77777777" w:rsidR="009175A4" w:rsidRPr="00107C19" w:rsidRDefault="009175A4" w:rsidP="00167353">
            <w:pPr>
              <w:pStyle w:val="TableHeading"/>
              <w:jc w:val="center"/>
              <w:rPr>
                <w:b w:val="0"/>
                <w:bCs/>
                <w:color w:val="000000" w:themeColor="text1"/>
              </w:rPr>
            </w:pPr>
            <w:r w:rsidRPr="00107C19">
              <w:rPr>
                <w:b w:val="0"/>
                <w:bCs/>
                <w:color w:val="000000" w:themeColor="text1"/>
              </w:rPr>
              <w:t>627</w:t>
            </w:r>
          </w:p>
        </w:tc>
      </w:tr>
      <w:tr w:rsidR="00107C19" w:rsidRPr="00107C19" w14:paraId="466DBF83" w14:textId="77777777" w:rsidTr="00167353">
        <w:trPr>
          <w:trHeight w:val="33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39B7BBD4" w14:textId="77777777" w:rsidR="009175A4" w:rsidRPr="00107C19" w:rsidRDefault="009175A4" w:rsidP="00013CB4">
            <w:pPr>
              <w:pStyle w:val="TableHeading"/>
              <w:rPr>
                <w:b w:val="0"/>
                <w:bCs/>
                <w:color w:val="000000" w:themeColor="text1"/>
              </w:rPr>
            </w:pPr>
            <w:r w:rsidRPr="00107C19">
              <w:rPr>
                <w:b w:val="0"/>
                <w:bCs/>
                <w:color w:val="000000" w:themeColor="text1"/>
              </w:rPr>
              <w:t>Active licenses executed to small businesses</w:t>
            </w:r>
            <w:r w:rsidRPr="00107C19">
              <w:rPr>
                <w:b w:val="0"/>
                <w:bCs/>
                <w:color w:val="000000" w:themeColor="text1"/>
                <w:vertAlign w:val="superscript"/>
              </w:rPr>
              <w:t>2</w:t>
            </w:r>
          </w:p>
        </w:tc>
        <w:tc>
          <w:tcPr>
            <w:tcW w:w="1353" w:type="dxa"/>
            <w:tcBorders>
              <w:top w:val="nil"/>
              <w:left w:val="nil"/>
              <w:bottom w:val="single" w:sz="4" w:space="0" w:color="auto"/>
              <w:right w:val="single" w:sz="4" w:space="0" w:color="auto"/>
            </w:tcBorders>
            <w:noWrap/>
            <w:vAlign w:val="center"/>
          </w:tcPr>
          <w:p w14:paraId="58AD920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180</w:t>
            </w:r>
          </w:p>
        </w:tc>
        <w:tc>
          <w:tcPr>
            <w:tcW w:w="1180" w:type="dxa"/>
            <w:tcBorders>
              <w:top w:val="nil"/>
              <w:left w:val="nil"/>
              <w:bottom w:val="single" w:sz="4" w:space="0" w:color="auto"/>
              <w:right w:val="single" w:sz="4" w:space="0" w:color="auto"/>
            </w:tcBorders>
            <w:vAlign w:val="center"/>
          </w:tcPr>
          <w:p w14:paraId="15C8D4FE" w14:textId="77777777" w:rsidR="009175A4" w:rsidRPr="00107C19" w:rsidRDefault="009175A4" w:rsidP="00167353">
            <w:pPr>
              <w:pStyle w:val="TableHeading"/>
              <w:jc w:val="center"/>
              <w:rPr>
                <w:b w:val="0"/>
                <w:bCs/>
                <w:color w:val="000000" w:themeColor="text1"/>
              </w:rPr>
            </w:pPr>
            <w:r w:rsidRPr="00107C19">
              <w:rPr>
                <w:b w:val="0"/>
                <w:bCs/>
                <w:color w:val="000000" w:themeColor="text1"/>
              </w:rPr>
              <w:t>236</w:t>
            </w:r>
          </w:p>
        </w:tc>
        <w:tc>
          <w:tcPr>
            <w:tcW w:w="1177" w:type="dxa"/>
            <w:tcBorders>
              <w:top w:val="nil"/>
              <w:left w:val="nil"/>
              <w:bottom w:val="single" w:sz="4" w:space="0" w:color="auto"/>
              <w:right w:val="single" w:sz="4" w:space="0" w:color="auto"/>
            </w:tcBorders>
            <w:vAlign w:val="center"/>
          </w:tcPr>
          <w:p w14:paraId="549FC6B3" w14:textId="77777777" w:rsidR="009175A4" w:rsidRPr="00107C19" w:rsidRDefault="009175A4" w:rsidP="00167353">
            <w:pPr>
              <w:pStyle w:val="TableHeading"/>
              <w:jc w:val="center"/>
              <w:rPr>
                <w:b w:val="0"/>
                <w:bCs/>
                <w:color w:val="000000" w:themeColor="text1"/>
              </w:rPr>
            </w:pPr>
            <w:r w:rsidRPr="00107C19">
              <w:rPr>
                <w:b w:val="0"/>
                <w:bCs/>
                <w:color w:val="000000" w:themeColor="text1"/>
              </w:rPr>
              <w:t>270</w:t>
            </w:r>
          </w:p>
        </w:tc>
        <w:tc>
          <w:tcPr>
            <w:tcW w:w="1114" w:type="dxa"/>
            <w:tcBorders>
              <w:top w:val="nil"/>
              <w:left w:val="nil"/>
              <w:bottom w:val="single" w:sz="4" w:space="0" w:color="auto"/>
              <w:right w:val="single" w:sz="4" w:space="0" w:color="auto"/>
            </w:tcBorders>
            <w:vAlign w:val="center"/>
          </w:tcPr>
          <w:p w14:paraId="1096A43C"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292</w:t>
            </w:r>
          </w:p>
        </w:tc>
        <w:tc>
          <w:tcPr>
            <w:tcW w:w="1091" w:type="dxa"/>
            <w:tcBorders>
              <w:top w:val="nil"/>
              <w:left w:val="nil"/>
              <w:bottom w:val="single" w:sz="4" w:space="0" w:color="auto"/>
              <w:right w:val="single" w:sz="4" w:space="0" w:color="auto"/>
            </w:tcBorders>
            <w:vAlign w:val="center"/>
          </w:tcPr>
          <w:p w14:paraId="7E275827"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307</w:t>
            </w:r>
          </w:p>
        </w:tc>
      </w:tr>
      <w:tr w:rsidR="00107C19" w:rsidRPr="00107C19" w14:paraId="7563C98B"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7B58DB6E" w14:textId="77777777" w:rsidR="009175A4" w:rsidRPr="00107C19" w:rsidRDefault="009175A4" w:rsidP="00013CB4">
            <w:pPr>
              <w:pStyle w:val="TableHeading"/>
              <w:rPr>
                <w:b w:val="0"/>
                <w:bCs/>
                <w:color w:val="000000" w:themeColor="text1"/>
              </w:rPr>
            </w:pPr>
            <w:r w:rsidRPr="00107C19">
              <w:rPr>
                <w:b w:val="0"/>
                <w:bCs/>
                <w:color w:val="000000" w:themeColor="text1"/>
              </w:rPr>
              <w:t>Active licenses executed to universities</w:t>
            </w:r>
          </w:p>
        </w:tc>
        <w:tc>
          <w:tcPr>
            <w:tcW w:w="1353" w:type="dxa"/>
            <w:tcBorders>
              <w:top w:val="nil"/>
              <w:left w:val="nil"/>
              <w:bottom w:val="single" w:sz="4" w:space="0" w:color="auto"/>
              <w:right w:val="single" w:sz="4" w:space="0" w:color="auto"/>
            </w:tcBorders>
            <w:noWrap/>
            <w:vAlign w:val="center"/>
          </w:tcPr>
          <w:p w14:paraId="1AE6F8CF"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201</w:t>
            </w:r>
          </w:p>
        </w:tc>
        <w:tc>
          <w:tcPr>
            <w:tcW w:w="1180" w:type="dxa"/>
            <w:tcBorders>
              <w:top w:val="nil"/>
              <w:left w:val="nil"/>
              <w:bottom w:val="single" w:sz="4" w:space="0" w:color="auto"/>
              <w:right w:val="single" w:sz="4" w:space="0" w:color="auto"/>
            </w:tcBorders>
            <w:vAlign w:val="center"/>
          </w:tcPr>
          <w:p w14:paraId="29E3DBC4"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208</w:t>
            </w:r>
          </w:p>
        </w:tc>
        <w:tc>
          <w:tcPr>
            <w:tcW w:w="1177" w:type="dxa"/>
            <w:tcBorders>
              <w:top w:val="nil"/>
              <w:left w:val="nil"/>
              <w:bottom w:val="single" w:sz="4" w:space="0" w:color="auto"/>
              <w:right w:val="single" w:sz="4" w:space="0" w:color="auto"/>
            </w:tcBorders>
            <w:vAlign w:val="center"/>
          </w:tcPr>
          <w:p w14:paraId="2572BB6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218</w:t>
            </w:r>
          </w:p>
        </w:tc>
        <w:tc>
          <w:tcPr>
            <w:tcW w:w="1114" w:type="dxa"/>
            <w:tcBorders>
              <w:top w:val="nil"/>
              <w:left w:val="nil"/>
              <w:bottom w:val="single" w:sz="4" w:space="0" w:color="auto"/>
              <w:right w:val="single" w:sz="4" w:space="0" w:color="auto"/>
            </w:tcBorders>
            <w:vAlign w:val="center"/>
          </w:tcPr>
          <w:p w14:paraId="3D8B5586"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222</w:t>
            </w:r>
          </w:p>
        </w:tc>
        <w:tc>
          <w:tcPr>
            <w:tcW w:w="1091" w:type="dxa"/>
            <w:tcBorders>
              <w:top w:val="nil"/>
              <w:left w:val="nil"/>
              <w:bottom w:val="single" w:sz="4" w:space="0" w:color="auto"/>
              <w:right w:val="single" w:sz="4" w:space="0" w:color="auto"/>
            </w:tcBorders>
            <w:vAlign w:val="center"/>
          </w:tcPr>
          <w:p w14:paraId="255CD4FE"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204</w:t>
            </w:r>
          </w:p>
        </w:tc>
      </w:tr>
      <w:tr w:rsidR="00107C19" w:rsidRPr="00107C19" w14:paraId="00088C21"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037DF52"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Active licenses amended </w:t>
            </w:r>
          </w:p>
        </w:tc>
        <w:tc>
          <w:tcPr>
            <w:tcW w:w="1353" w:type="dxa"/>
            <w:tcBorders>
              <w:top w:val="nil"/>
              <w:left w:val="nil"/>
              <w:bottom w:val="single" w:sz="4" w:space="0" w:color="auto"/>
              <w:right w:val="single" w:sz="4" w:space="0" w:color="auto"/>
            </w:tcBorders>
            <w:noWrap/>
            <w:vAlign w:val="center"/>
          </w:tcPr>
          <w:p w14:paraId="4A7F1026"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180" w:type="dxa"/>
            <w:tcBorders>
              <w:top w:val="nil"/>
              <w:left w:val="nil"/>
              <w:bottom w:val="single" w:sz="4" w:space="0" w:color="auto"/>
              <w:right w:val="single" w:sz="4" w:space="0" w:color="auto"/>
            </w:tcBorders>
            <w:vAlign w:val="center"/>
          </w:tcPr>
          <w:p w14:paraId="079B66F6"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177" w:type="dxa"/>
            <w:tcBorders>
              <w:top w:val="nil"/>
              <w:left w:val="nil"/>
              <w:bottom w:val="single" w:sz="4" w:space="0" w:color="auto"/>
              <w:right w:val="single" w:sz="4" w:space="0" w:color="auto"/>
            </w:tcBorders>
            <w:vAlign w:val="center"/>
          </w:tcPr>
          <w:p w14:paraId="6FC9A715"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114" w:type="dxa"/>
            <w:tcBorders>
              <w:top w:val="nil"/>
              <w:left w:val="nil"/>
              <w:bottom w:val="single" w:sz="4" w:space="0" w:color="auto"/>
              <w:right w:val="single" w:sz="4" w:space="0" w:color="auto"/>
            </w:tcBorders>
            <w:vAlign w:val="center"/>
          </w:tcPr>
          <w:p w14:paraId="261BC7EB"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nil"/>
              <w:left w:val="nil"/>
              <w:bottom w:val="single" w:sz="4" w:space="0" w:color="auto"/>
              <w:right w:val="single" w:sz="4" w:space="0" w:color="auto"/>
            </w:tcBorders>
            <w:vAlign w:val="center"/>
          </w:tcPr>
          <w:p w14:paraId="12D13C72"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r>
      <w:tr w:rsidR="00107C19" w:rsidRPr="00107C19" w14:paraId="5EC5D543" w14:textId="77777777" w:rsidTr="00167353">
        <w:trPr>
          <w:trHeight w:val="345"/>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46FA1" w14:textId="536C90B8" w:rsidR="009175A4" w:rsidRPr="00107C19" w:rsidRDefault="009175A4" w:rsidP="00013CB4">
            <w:pPr>
              <w:pStyle w:val="TableHeading"/>
              <w:rPr>
                <w:b w:val="0"/>
                <w:bCs/>
                <w:color w:val="000000" w:themeColor="text1"/>
              </w:rPr>
            </w:pPr>
            <w:r w:rsidRPr="00107C19">
              <w:rPr>
                <w:b w:val="0"/>
                <w:bCs/>
                <w:color w:val="000000" w:themeColor="text1"/>
              </w:rPr>
              <w:t>Total active invention licenses</w:t>
            </w:r>
            <w:r w:rsidR="00A677A9" w:rsidRPr="00107C19">
              <w:rPr>
                <w:b w:val="0"/>
                <w:bCs/>
                <w:color w:val="000000" w:themeColor="text1"/>
                <w:vertAlign w:val="superscript"/>
              </w:rPr>
              <w:t>3</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66B62AF" w14:textId="77777777" w:rsidR="009175A4" w:rsidRPr="00107C19" w:rsidRDefault="009175A4" w:rsidP="00167353">
            <w:pPr>
              <w:pStyle w:val="TableHeading"/>
              <w:jc w:val="center"/>
              <w:rPr>
                <w:b w:val="0"/>
                <w:bCs/>
                <w:color w:val="000000" w:themeColor="text1"/>
              </w:rPr>
            </w:pPr>
            <w:r w:rsidRPr="00107C19">
              <w:rPr>
                <w:b w:val="0"/>
                <w:bCs/>
                <w:color w:val="000000" w:themeColor="text1"/>
              </w:rPr>
              <w:t>377</w:t>
            </w:r>
          </w:p>
        </w:tc>
        <w:tc>
          <w:tcPr>
            <w:tcW w:w="1180" w:type="dxa"/>
            <w:tcBorders>
              <w:top w:val="single" w:sz="4" w:space="0" w:color="auto"/>
              <w:left w:val="nil"/>
              <w:bottom w:val="single" w:sz="4" w:space="0" w:color="auto"/>
              <w:right w:val="single" w:sz="4" w:space="0" w:color="auto"/>
            </w:tcBorders>
            <w:shd w:val="clear" w:color="auto" w:fill="auto"/>
            <w:vAlign w:val="center"/>
          </w:tcPr>
          <w:p w14:paraId="70B5A9F7" w14:textId="77777777" w:rsidR="009175A4" w:rsidRPr="00107C19" w:rsidRDefault="009175A4" w:rsidP="00167353">
            <w:pPr>
              <w:pStyle w:val="TableHeading"/>
              <w:jc w:val="center"/>
              <w:rPr>
                <w:b w:val="0"/>
                <w:bCs/>
                <w:color w:val="000000" w:themeColor="text1"/>
              </w:rPr>
            </w:pPr>
            <w:r w:rsidRPr="00107C19">
              <w:rPr>
                <w:b w:val="0"/>
                <w:bCs/>
                <w:color w:val="000000" w:themeColor="text1"/>
              </w:rPr>
              <w:t>393</w:t>
            </w:r>
          </w:p>
        </w:tc>
        <w:tc>
          <w:tcPr>
            <w:tcW w:w="1177" w:type="dxa"/>
            <w:tcBorders>
              <w:top w:val="single" w:sz="4" w:space="0" w:color="auto"/>
              <w:left w:val="nil"/>
              <w:bottom w:val="single" w:sz="4" w:space="0" w:color="auto"/>
              <w:right w:val="single" w:sz="4" w:space="0" w:color="auto"/>
            </w:tcBorders>
            <w:shd w:val="clear" w:color="auto" w:fill="auto"/>
            <w:vAlign w:val="center"/>
          </w:tcPr>
          <w:p w14:paraId="04465322" w14:textId="77777777" w:rsidR="009175A4" w:rsidRPr="00107C19" w:rsidRDefault="009175A4" w:rsidP="00167353">
            <w:pPr>
              <w:pStyle w:val="TableHeading"/>
              <w:jc w:val="center"/>
              <w:rPr>
                <w:b w:val="0"/>
                <w:bCs/>
                <w:color w:val="000000" w:themeColor="text1"/>
              </w:rPr>
            </w:pPr>
            <w:r w:rsidRPr="00107C19">
              <w:rPr>
                <w:b w:val="0"/>
                <w:bCs/>
                <w:color w:val="000000" w:themeColor="text1"/>
              </w:rPr>
              <w:t>412</w:t>
            </w:r>
          </w:p>
        </w:tc>
        <w:tc>
          <w:tcPr>
            <w:tcW w:w="1114" w:type="dxa"/>
            <w:tcBorders>
              <w:top w:val="single" w:sz="4" w:space="0" w:color="auto"/>
              <w:left w:val="nil"/>
              <w:bottom w:val="single" w:sz="4" w:space="0" w:color="auto"/>
              <w:right w:val="single" w:sz="4" w:space="0" w:color="auto"/>
            </w:tcBorders>
            <w:shd w:val="clear" w:color="auto" w:fill="auto"/>
            <w:vAlign w:val="center"/>
          </w:tcPr>
          <w:p w14:paraId="18EFF022" w14:textId="77777777" w:rsidR="009175A4" w:rsidRPr="00107C19" w:rsidRDefault="009175A4" w:rsidP="00167353">
            <w:pPr>
              <w:pStyle w:val="TableHeading"/>
              <w:jc w:val="center"/>
              <w:rPr>
                <w:b w:val="0"/>
                <w:bCs/>
                <w:color w:val="000000" w:themeColor="text1"/>
              </w:rPr>
            </w:pPr>
            <w:r w:rsidRPr="00107C19">
              <w:rPr>
                <w:b w:val="0"/>
                <w:bCs/>
                <w:color w:val="000000" w:themeColor="text1"/>
              </w:rPr>
              <w:t>417</w:t>
            </w:r>
          </w:p>
        </w:tc>
        <w:tc>
          <w:tcPr>
            <w:tcW w:w="1091" w:type="dxa"/>
            <w:tcBorders>
              <w:top w:val="single" w:sz="4" w:space="0" w:color="auto"/>
              <w:left w:val="nil"/>
              <w:bottom w:val="single" w:sz="4" w:space="0" w:color="auto"/>
              <w:right w:val="single" w:sz="4" w:space="0" w:color="auto"/>
            </w:tcBorders>
            <w:shd w:val="clear" w:color="auto" w:fill="auto"/>
            <w:vAlign w:val="center"/>
          </w:tcPr>
          <w:p w14:paraId="47DC0558" w14:textId="77777777" w:rsidR="009175A4" w:rsidRPr="00107C19" w:rsidRDefault="009175A4" w:rsidP="00167353">
            <w:pPr>
              <w:pStyle w:val="TableHeading"/>
              <w:jc w:val="center"/>
              <w:rPr>
                <w:b w:val="0"/>
                <w:bCs/>
                <w:color w:val="000000" w:themeColor="text1"/>
              </w:rPr>
            </w:pPr>
            <w:r w:rsidRPr="00107C19">
              <w:rPr>
                <w:b w:val="0"/>
                <w:bCs/>
                <w:color w:val="000000" w:themeColor="text1"/>
              </w:rPr>
              <w:t>380</w:t>
            </w:r>
          </w:p>
        </w:tc>
      </w:tr>
      <w:tr w:rsidR="00107C19" w:rsidRPr="00107C19" w14:paraId="0AA90515"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66935270" w14:textId="77777777" w:rsidR="009175A4" w:rsidRPr="00107C19" w:rsidRDefault="009175A4" w:rsidP="00013CB4">
            <w:pPr>
              <w:pStyle w:val="TableHeading"/>
              <w:rPr>
                <w:b w:val="0"/>
                <w:bCs/>
                <w:color w:val="000000" w:themeColor="text1"/>
              </w:rPr>
            </w:pPr>
            <w:r w:rsidRPr="00107C19">
              <w:rPr>
                <w:b w:val="0"/>
                <w:bCs/>
                <w:color w:val="000000" w:themeColor="text1"/>
              </w:rPr>
              <w:lastRenderedPageBreak/>
              <w:t>Active invention licenses executed to small businesses</w:t>
            </w:r>
          </w:p>
        </w:tc>
        <w:tc>
          <w:tcPr>
            <w:tcW w:w="1353" w:type="dxa"/>
            <w:tcBorders>
              <w:top w:val="nil"/>
              <w:left w:val="nil"/>
              <w:bottom w:val="single" w:sz="4" w:space="0" w:color="auto"/>
              <w:right w:val="single" w:sz="4" w:space="0" w:color="auto"/>
            </w:tcBorders>
            <w:noWrap/>
            <w:vAlign w:val="center"/>
          </w:tcPr>
          <w:p w14:paraId="3CCE907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114</w:t>
            </w:r>
          </w:p>
        </w:tc>
        <w:tc>
          <w:tcPr>
            <w:tcW w:w="1180" w:type="dxa"/>
            <w:tcBorders>
              <w:top w:val="nil"/>
              <w:left w:val="nil"/>
              <w:bottom w:val="single" w:sz="4" w:space="0" w:color="auto"/>
              <w:right w:val="single" w:sz="4" w:space="0" w:color="auto"/>
            </w:tcBorders>
            <w:vAlign w:val="center"/>
          </w:tcPr>
          <w:p w14:paraId="5B8A0AA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121</w:t>
            </w:r>
          </w:p>
        </w:tc>
        <w:tc>
          <w:tcPr>
            <w:tcW w:w="1177" w:type="dxa"/>
            <w:tcBorders>
              <w:top w:val="nil"/>
              <w:left w:val="nil"/>
              <w:bottom w:val="single" w:sz="4" w:space="0" w:color="auto"/>
              <w:right w:val="single" w:sz="4" w:space="0" w:color="auto"/>
            </w:tcBorders>
            <w:vAlign w:val="center"/>
          </w:tcPr>
          <w:p w14:paraId="59C6F96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127</w:t>
            </w:r>
          </w:p>
        </w:tc>
        <w:tc>
          <w:tcPr>
            <w:tcW w:w="1114" w:type="dxa"/>
            <w:tcBorders>
              <w:top w:val="nil"/>
              <w:left w:val="nil"/>
              <w:bottom w:val="single" w:sz="4" w:space="0" w:color="auto"/>
              <w:right w:val="single" w:sz="4" w:space="0" w:color="auto"/>
            </w:tcBorders>
            <w:vAlign w:val="center"/>
          </w:tcPr>
          <w:p w14:paraId="415A3391"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132</w:t>
            </w:r>
          </w:p>
        </w:tc>
        <w:tc>
          <w:tcPr>
            <w:tcW w:w="1091" w:type="dxa"/>
            <w:tcBorders>
              <w:top w:val="nil"/>
              <w:left w:val="nil"/>
              <w:bottom w:val="single" w:sz="4" w:space="0" w:color="auto"/>
              <w:right w:val="single" w:sz="4" w:space="0" w:color="auto"/>
            </w:tcBorders>
            <w:vAlign w:val="center"/>
          </w:tcPr>
          <w:p w14:paraId="3C790B08"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127</w:t>
            </w:r>
          </w:p>
        </w:tc>
      </w:tr>
      <w:tr w:rsidR="00107C19" w:rsidRPr="00107C19" w14:paraId="427AF6EB"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1349B92" w14:textId="06F8D663" w:rsidR="009175A4" w:rsidRPr="00107C19" w:rsidRDefault="009175A4" w:rsidP="00013CB4">
            <w:pPr>
              <w:pStyle w:val="TableHeading"/>
              <w:rPr>
                <w:b w:val="0"/>
                <w:bCs/>
                <w:color w:val="000000" w:themeColor="text1"/>
              </w:rPr>
            </w:pPr>
            <w:r w:rsidRPr="00107C19">
              <w:rPr>
                <w:b w:val="0"/>
                <w:bCs/>
                <w:color w:val="000000" w:themeColor="text1"/>
              </w:rPr>
              <w:t>Active invention licenses executed to start-up businesses</w:t>
            </w:r>
            <w:r w:rsidR="00A677A9" w:rsidRPr="00107C19">
              <w:rPr>
                <w:b w:val="0"/>
                <w:bCs/>
                <w:color w:val="000000" w:themeColor="text1"/>
                <w:vertAlign w:val="superscript"/>
              </w:rPr>
              <w:t>4</w:t>
            </w:r>
          </w:p>
        </w:tc>
        <w:tc>
          <w:tcPr>
            <w:tcW w:w="1353" w:type="dxa"/>
            <w:tcBorders>
              <w:top w:val="nil"/>
              <w:left w:val="nil"/>
              <w:bottom w:val="single" w:sz="4" w:space="0" w:color="auto"/>
              <w:right w:val="single" w:sz="4" w:space="0" w:color="auto"/>
            </w:tcBorders>
            <w:noWrap/>
            <w:vAlign w:val="center"/>
          </w:tcPr>
          <w:p w14:paraId="2A40F892"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180" w:type="dxa"/>
            <w:tcBorders>
              <w:top w:val="nil"/>
              <w:left w:val="nil"/>
              <w:bottom w:val="single" w:sz="4" w:space="0" w:color="auto"/>
              <w:right w:val="single" w:sz="4" w:space="0" w:color="auto"/>
            </w:tcBorders>
            <w:vAlign w:val="center"/>
          </w:tcPr>
          <w:p w14:paraId="198CCC49"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177" w:type="dxa"/>
            <w:tcBorders>
              <w:top w:val="nil"/>
              <w:left w:val="nil"/>
              <w:bottom w:val="single" w:sz="4" w:space="0" w:color="auto"/>
              <w:right w:val="single" w:sz="4" w:space="0" w:color="auto"/>
            </w:tcBorders>
            <w:vAlign w:val="center"/>
          </w:tcPr>
          <w:p w14:paraId="4985DECA"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114" w:type="dxa"/>
            <w:tcBorders>
              <w:top w:val="nil"/>
              <w:left w:val="nil"/>
              <w:bottom w:val="single" w:sz="4" w:space="0" w:color="auto"/>
              <w:right w:val="single" w:sz="4" w:space="0" w:color="auto"/>
            </w:tcBorders>
            <w:vAlign w:val="center"/>
          </w:tcPr>
          <w:p w14:paraId="2FC0D628"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091" w:type="dxa"/>
            <w:tcBorders>
              <w:top w:val="nil"/>
              <w:left w:val="nil"/>
              <w:bottom w:val="single" w:sz="4" w:space="0" w:color="auto"/>
              <w:right w:val="single" w:sz="4" w:space="0" w:color="auto"/>
            </w:tcBorders>
            <w:vAlign w:val="center"/>
          </w:tcPr>
          <w:p w14:paraId="13E49027"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r>
      <w:tr w:rsidR="00107C19" w:rsidRPr="00107C19" w14:paraId="261A36AA"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025F6B8B" w14:textId="77777777" w:rsidR="009175A4" w:rsidRPr="00107C19" w:rsidRDefault="009175A4" w:rsidP="00013CB4">
            <w:pPr>
              <w:pStyle w:val="TableHeading"/>
              <w:rPr>
                <w:b w:val="0"/>
                <w:bCs/>
                <w:color w:val="000000" w:themeColor="text1"/>
              </w:rPr>
            </w:pPr>
            <w:r w:rsidRPr="00107C19">
              <w:rPr>
                <w:b w:val="0"/>
                <w:bCs/>
                <w:color w:val="000000" w:themeColor="text1"/>
              </w:rPr>
              <w:t>Active invention licenses executed to universities</w:t>
            </w:r>
          </w:p>
        </w:tc>
        <w:tc>
          <w:tcPr>
            <w:tcW w:w="1353" w:type="dxa"/>
            <w:tcBorders>
              <w:top w:val="nil"/>
              <w:left w:val="nil"/>
              <w:bottom w:val="single" w:sz="4" w:space="0" w:color="auto"/>
              <w:right w:val="single" w:sz="4" w:space="0" w:color="auto"/>
            </w:tcBorders>
            <w:noWrap/>
            <w:vAlign w:val="center"/>
          </w:tcPr>
          <w:p w14:paraId="21AD62A1"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188</w:t>
            </w:r>
          </w:p>
        </w:tc>
        <w:tc>
          <w:tcPr>
            <w:tcW w:w="1180" w:type="dxa"/>
            <w:tcBorders>
              <w:top w:val="nil"/>
              <w:left w:val="nil"/>
              <w:bottom w:val="single" w:sz="4" w:space="0" w:color="auto"/>
              <w:right w:val="single" w:sz="4" w:space="0" w:color="auto"/>
            </w:tcBorders>
            <w:vAlign w:val="center"/>
          </w:tcPr>
          <w:p w14:paraId="13AD77A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191</w:t>
            </w:r>
          </w:p>
        </w:tc>
        <w:tc>
          <w:tcPr>
            <w:tcW w:w="1177" w:type="dxa"/>
            <w:tcBorders>
              <w:top w:val="nil"/>
              <w:left w:val="nil"/>
              <w:bottom w:val="single" w:sz="4" w:space="0" w:color="auto"/>
              <w:right w:val="single" w:sz="4" w:space="0" w:color="auto"/>
            </w:tcBorders>
            <w:vAlign w:val="center"/>
          </w:tcPr>
          <w:p w14:paraId="00D354BA"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201</w:t>
            </w:r>
          </w:p>
        </w:tc>
        <w:tc>
          <w:tcPr>
            <w:tcW w:w="1114" w:type="dxa"/>
            <w:tcBorders>
              <w:top w:val="nil"/>
              <w:left w:val="nil"/>
              <w:bottom w:val="single" w:sz="4" w:space="0" w:color="auto"/>
              <w:right w:val="single" w:sz="4" w:space="0" w:color="auto"/>
            </w:tcBorders>
            <w:vAlign w:val="center"/>
          </w:tcPr>
          <w:p w14:paraId="46661300"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205</w:t>
            </w:r>
          </w:p>
        </w:tc>
        <w:tc>
          <w:tcPr>
            <w:tcW w:w="1091" w:type="dxa"/>
            <w:tcBorders>
              <w:top w:val="nil"/>
              <w:left w:val="nil"/>
              <w:bottom w:val="single" w:sz="4" w:space="0" w:color="auto"/>
              <w:right w:val="single" w:sz="4" w:space="0" w:color="auto"/>
            </w:tcBorders>
            <w:vAlign w:val="center"/>
          </w:tcPr>
          <w:p w14:paraId="54F3C00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177</w:t>
            </w:r>
          </w:p>
        </w:tc>
      </w:tr>
      <w:tr w:rsidR="00107C19" w:rsidRPr="00107C19" w14:paraId="6A2BED19" w14:textId="77777777" w:rsidTr="00167353">
        <w:trPr>
          <w:trHeight w:val="345"/>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FF019" w14:textId="77777777" w:rsidR="009175A4" w:rsidRPr="00107C19" w:rsidRDefault="009175A4" w:rsidP="00013CB4">
            <w:pPr>
              <w:pStyle w:val="TableHeading"/>
              <w:rPr>
                <w:b w:val="0"/>
                <w:bCs/>
                <w:color w:val="000000" w:themeColor="text1"/>
              </w:rPr>
            </w:pPr>
            <w:r w:rsidRPr="00107C19">
              <w:rPr>
                <w:b w:val="0"/>
                <w:bCs/>
                <w:color w:val="000000" w:themeColor="text1"/>
              </w:rPr>
              <w:t>Total active other licenses</w:t>
            </w:r>
            <w:r w:rsidRPr="00107C19">
              <w:rPr>
                <w:b w:val="0"/>
                <w:bCs/>
                <w:color w:val="000000" w:themeColor="text1"/>
                <w:vertAlign w:val="superscript"/>
              </w:rPr>
              <w:t>5</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369ACED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120</w:t>
            </w:r>
          </w:p>
        </w:tc>
        <w:tc>
          <w:tcPr>
            <w:tcW w:w="1180" w:type="dxa"/>
            <w:tcBorders>
              <w:top w:val="single" w:sz="4" w:space="0" w:color="auto"/>
              <w:left w:val="nil"/>
              <w:bottom w:val="single" w:sz="4" w:space="0" w:color="auto"/>
              <w:right w:val="single" w:sz="4" w:space="0" w:color="auto"/>
            </w:tcBorders>
            <w:shd w:val="clear" w:color="auto" w:fill="auto"/>
            <w:vAlign w:val="center"/>
          </w:tcPr>
          <w:p w14:paraId="6BFDED30"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172</w:t>
            </w:r>
          </w:p>
        </w:tc>
        <w:tc>
          <w:tcPr>
            <w:tcW w:w="1177" w:type="dxa"/>
            <w:tcBorders>
              <w:top w:val="single" w:sz="4" w:space="0" w:color="auto"/>
              <w:left w:val="nil"/>
              <w:bottom w:val="single" w:sz="4" w:space="0" w:color="auto"/>
              <w:right w:val="single" w:sz="4" w:space="0" w:color="auto"/>
            </w:tcBorders>
            <w:shd w:val="clear" w:color="auto" w:fill="auto"/>
            <w:vAlign w:val="center"/>
          </w:tcPr>
          <w:p w14:paraId="0781378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201</w:t>
            </w:r>
          </w:p>
        </w:tc>
        <w:tc>
          <w:tcPr>
            <w:tcW w:w="1114" w:type="dxa"/>
            <w:tcBorders>
              <w:top w:val="single" w:sz="4" w:space="0" w:color="auto"/>
              <w:left w:val="nil"/>
              <w:bottom w:val="single" w:sz="4" w:space="0" w:color="auto"/>
              <w:right w:val="single" w:sz="4" w:space="0" w:color="auto"/>
            </w:tcBorders>
            <w:shd w:val="clear" w:color="auto" w:fill="auto"/>
            <w:vAlign w:val="center"/>
          </w:tcPr>
          <w:p w14:paraId="033C483B"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218</w:t>
            </w:r>
          </w:p>
        </w:tc>
        <w:tc>
          <w:tcPr>
            <w:tcW w:w="1091" w:type="dxa"/>
            <w:tcBorders>
              <w:top w:val="single" w:sz="4" w:space="0" w:color="auto"/>
              <w:left w:val="nil"/>
              <w:bottom w:val="single" w:sz="4" w:space="0" w:color="auto"/>
              <w:right w:val="single" w:sz="4" w:space="0" w:color="auto"/>
            </w:tcBorders>
            <w:shd w:val="clear" w:color="auto" w:fill="auto"/>
            <w:vAlign w:val="center"/>
          </w:tcPr>
          <w:p w14:paraId="3AABC185"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247</w:t>
            </w:r>
          </w:p>
        </w:tc>
      </w:tr>
      <w:tr w:rsidR="00107C19" w:rsidRPr="00107C19" w14:paraId="45A15AF4"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3CA80" w14:textId="77777777" w:rsidR="009175A4" w:rsidRPr="00107C19" w:rsidRDefault="009175A4" w:rsidP="00013CB4">
            <w:pPr>
              <w:pStyle w:val="TableHeading"/>
              <w:rPr>
                <w:b w:val="0"/>
                <w:bCs/>
                <w:color w:val="000000" w:themeColor="text1"/>
              </w:rPr>
            </w:pPr>
            <w:r w:rsidRPr="00107C19">
              <w:rPr>
                <w:b w:val="0"/>
                <w:bCs/>
                <w:color w:val="000000" w:themeColor="text1"/>
              </w:rPr>
              <w:t>Active other licenses executed to small business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07EC51FE" w14:textId="77777777" w:rsidR="009175A4" w:rsidRPr="00107C19" w:rsidRDefault="009175A4" w:rsidP="00167353">
            <w:pPr>
              <w:pStyle w:val="TableHeading"/>
              <w:jc w:val="center"/>
              <w:rPr>
                <w:b w:val="0"/>
                <w:bCs/>
                <w:color w:val="000000" w:themeColor="text1"/>
              </w:rPr>
            </w:pPr>
            <w:r w:rsidRPr="00107C19">
              <w:rPr>
                <w:b w:val="0"/>
                <w:bCs/>
                <w:color w:val="000000" w:themeColor="text1"/>
              </w:rPr>
              <w:t>66</w:t>
            </w:r>
          </w:p>
        </w:tc>
        <w:tc>
          <w:tcPr>
            <w:tcW w:w="1180" w:type="dxa"/>
            <w:tcBorders>
              <w:top w:val="single" w:sz="4" w:space="0" w:color="auto"/>
              <w:left w:val="nil"/>
              <w:bottom w:val="single" w:sz="4" w:space="0" w:color="auto"/>
              <w:right w:val="single" w:sz="4" w:space="0" w:color="auto"/>
            </w:tcBorders>
            <w:shd w:val="clear" w:color="auto" w:fill="auto"/>
            <w:vAlign w:val="center"/>
          </w:tcPr>
          <w:p w14:paraId="10122750"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115</w:t>
            </w:r>
          </w:p>
        </w:tc>
        <w:tc>
          <w:tcPr>
            <w:tcW w:w="1177" w:type="dxa"/>
            <w:tcBorders>
              <w:top w:val="single" w:sz="4" w:space="0" w:color="auto"/>
              <w:left w:val="nil"/>
              <w:bottom w:val="single" w:sz="4" w:space="0" w:color="auto"/>
              <w:right w:val="single" w:sz="4" w:space="0" w:color="auto"/>
            </w:tcBorders>
            <w:shd w:val="clear" w:color="auto" w:fill="auto"/>
            <w:vAlign w:val="center"/>
          </w:tcPr>
          <w:p w14:paraId="237AD7B8"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143</w:t>
            </w:r>
          </w:p>
        </w:tc>
        <w:tc>
          <w:tcPr>
            <w:tcW w:w="1114" w:type="dxa"/>
            <w:tcBorders>
              <w:top w:val="single" w:sz="4" w:space="0" w:color="auto"/>
              <w:left w:val="nil"/>
              <w:bottom w:val="single" w:sz="4" w:space="0" w:color="auto"/>
              <w:right w:val="single" w:sz="4" w:space="0" w:color="auto"/>
            </w:tcBorders>
            <w:shd w:val="clear" w:color="auto" w:fill="auto"/>
            <w:vAlign w:val="center"/>
          </w:tcPr>
          <w:p w14:paraId="3AB2756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160</w:t>
            </w:r>
          </w:p>
        </w:tc>
        <w:tc>
          <w:tcPr>
            <w:tcW w:w="1091" w:type="dxa"/>
            <w:tcBorders>
              <w:top w:val="single" w:sz="4" w:space="0" w:color="auto"/>
              <w:left w:val="nil"/>
              <w:bottom w:val="single" w:sz="4" w:space="0" w:color="auto"/>
              <w:right w:val="single" w:sz="4" w:space="0" w:color="auto"/>
            </w:tcBorders>
            <w:shd w:val="clear" w:color="auto" w:fill="auto"/>
            <w:vAlign w:val="center"/>
          </w:tcPr>
          <w:p w14:paraId="6B4EB5C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179</w:t>
            </w:r>
          </w:p>
        </w:tc>
      </w:tr>
      <w:tr w:rsidR="00107C19" w:rsidRPr="00107C19" w14:paraId="34355948"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B289E" w14:textId="77777777" w:rsidR="009175A4" w:rsidRPr="00107C19" w:rsidRDefault="009175A4" w:rsidP="00013CB4">
            <w:pPr>
              <w:pStyle w:val="TableHeading"/>
              <w:rPr>
                <w:b w:val="0"/>
                <w:bCs/>
                <w:color w:val="000000" w:themeColor="text1"/>
              </w:rPr>
            </w:pPr>
            <w:r w:rsidRPr="00107C19">
              <w:rPr>
                <w:b w:val="0"/>
                <w:bCs/>
                <w:color w:val="000000" w:themeColor="text1"/>
              </w:rPr>
              <w:t>Active licenses executed to start-up businesses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44C21768"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80" w:type="dxa"/>
            <w:tcBorders>
              <w:top w:val="single" w:sz="4" w:space="0" w:color="auto"/>
              <w:left w:val="nil"/>
              <w:bottom w:val="single" w:sz="4" w:space="0" w:color="auto"/>
              <w:right w:val="single" w:sz="4" w:space="0" w:color="auto"/>
            </w:tcBorders>
            <w:shd w:val="clear" w:color="auto" w:fill="auto"/>
            <w:vAlign w:val="center"/>
          </w:tcPr>
          <w:p w14:paraId="6508BABC"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77" w:type="dxa"/>
            <w:tcBorders>
              <w:top w:val="single" w:sz="4" w:space="0" w:color="auto"/>
              <w:left w:val="nil"/>
              <w:bottom w:val="single" w:sz="4" w:space="0" w:color="auto"/>
              <w:right w:val="single" w:sz="4" w:space="0" w:color="auto"/>
            </w:tcBorders>
            <w:shd w:val="clear" w:color="auto" w:fill="auto"/>
            <w:vAlign w:val="center"/>
          </w:tcPr>
          <w:p w14:paraId="1AF0A2DA"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14" w:type="dxa"/>
            <w:tcBorders>
              <w:top w:val="single" w:sz="4" w:space="0" w:color="auto"/>
              <w:left w:val="nil"/>
              <w:bottom w:val="single" w:sz="4" w:space="0" w:color="auto"/>
              <w:right w:val="single" w:sz="4" w:space="0" w:color="auto"/>
            </w:tcBorders>
            <w:shd w:val="clear" w:color="auto" w:fill="auto"/>
            <w:vAlign w:val="center"/>
          </w:tcPr>
          <w:p w14:paraId="1CA455E5"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single" w:sz="4" w:space="0" w:color="auto"/>
              <w:left w:val="nil"/>
              <w:bottom w:val="single" w:sz="4" w:space="0" w:color="auto"/>
              <w:right w:val="single" w:sz="4" w:space="0" w:color="auto"/>
            </w:tcBorders>
            <w:shd w:val="clear" w:color="auto" w:fill="auto"/>
            <w:vAlign w:val="center"/>
          </w:tcPr>
          <w:p w14:paraId="677FFDB8"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r w:rsidR="00107C19" w:rsidRPr="00107C19" w14:paraId="0FD27971"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EE609" w14:textId="77777777" w:rsidR="009175A4" w:rsidRPr="00107C19" w:rsidRDefault="009175A4" w:rsidP="00013CB4">
            <w:pPr>
              <w:pStyle w:val="TableHeading"/>
              <w:rPr>
                <w:b w:val="0"/>
                <w:bCs/>
                <w:color w:val="000000" w:themeColor="text1"/>
              </w:rPr>
            </w:pPr>
            <w:r w:rsidRPr="00107C19">
              <w:rPr>
                <w:b w:val="0"/>
                <w:bCs/>
                <w:color w:val="000000" w:themeColor="text1"/>
              </w:rPr>
              <w:t>Active licenses executed to universities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39BBE10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w:t>
            </w:r>
          </w:p>
        </w:tc>
        <w:tc>
          <w:tcPr>
            <w:tcW w:w="1180" w:type="dxa"/>
            <w:tcBorders>
              <w:top w:val="single" w:sz="4" w:space="0" w:color="auto"/>
              <w:left w:val="nil"/>
              <w:bottom w:val="single" w:sz="4" w:space="0" w:color="auto"/>
              <w:right w:val="single" w:sz="4" w:space="0" w:color="auto"/>
            </w:tcBorders>
            <w:shd w:val="clear" w:color="auto" w:fill="auto"/>
            <w:vAlign w:val="center"/>
          </w:tcPr>
          <w:p w14:paraId="77B4A9D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177" w:type="dxa"/>
            <w:tcBorders>
              <w:top w:val="single" w:sz="4" w:space="0" w:color="auto"/>
              <w:left w:val="nil"/>
              <w:bottom w:val="single" w:sz="4" w:space="0" w:color="auto"/>
              <w:right w:val="single" w:sz="4" w:space="0" w:color="auto"/>
            </w:tcBorders>
            <w:shd w:val="clear" w:color="auto" w:fill="auto"/>
            <w:vAlign w:val="center"/>
          </w:tcPr>
          <w:p w14:paraId="68E3ED2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114" w:type="dxa"/>
            <w:tcBorders>
              <w:top w:val="single" w:sz="4" w:space="0" w:color="auto"/>
              <w:left w:val="nil"/>
              <w:bottom w:val="single" w:sz="4" w:space="0" w:color="auto"/>
              <w:right w:val="single" w:sz="4" w:space="0" w:color="auto"/>
            </w:tcBorders>
            <w:shd w:val="clear" w:color="auto" w:fill="auto"/>
            <w:vAlign w:val="center"/>
          </w:tcPr>
          <w:p w14:paraId="0B0DC16B"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91" w:type="dxa"/>
            <w:tcBorders>
              <w:top w:val="single" w:sz="4" w:space="0" w:color="auto"/>
              <w:left w:val="nil"/>
              <w:bottom w:val="single" w:sz="4" w:space="0" w:color="auto"/>
              <w:right w:val="single" w:sz="4" w:space="0" w:color="auto"/>
            </w:tcBorders>
            <w:shd w:val="clear" w:color="auto" w:fill="auto"/>
            <w:vAlign w:val="center"/>
          </w:tcPr>
          <w:p w14:paraId="29C1EDF4"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w:t>
            </w:r>
          </w:p>
        </w:tc>
      </w:tr>
      <w:tr w:rsidR="00107C19" w:rsidRPr="00107C19" w14:paraId="49B1C7F2" w14:textId="77777777" w:rsidTr="00167353">
        <w:trPr>
          <w:trHeight w:val="315"/>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9A8B0"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Total newly executed licenses </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74192A19" w14:textId="77777777" w:rsidR="009175A4" w:rsidRPr="00107C19" w:rsidRDefault="009175A4" w:rsidP="00167353">
            <w:pPr>
              <w:pStyle w:val="TableHeading"/>
              <w:jc w:val="center"/>
              <w:rPr>
                <w:b w:val="0"/>
                <w:bCs/>
                <w:color w:val="000000" w:themeColor="text1"/>
              </w:rPr>
            </w:pPr>
            <w:r w:rsidRPr="00107C19">
              <w:rPr>
                <w:b w:val="0"/>
                <w:bCs/>
                <w:color w:val="000000" w:themeColor="text1"/>
              </w:rPr>
              <w:t>51</w:t>
            </w:r>
          </w:p>
        </w:tc>
        <w:tc>
          <w:tcPr>
            <w:tcW w:w="1180" w:type="dxa"/>
            <w:tcBorders>
              <w:top w:val="single" w:sz="4" w:space="0" w:color="auto"/>
              <w:left w:val="nil"/>
              <w:bottom w:val="single" w:sz="4" w:space="0" w:color="auto"/>
              <w:right w:val="single" w:sz="4" w:space="0" w:color="auto"/>
            </w:tcBorders>
            <w:shd w:val="clear" w:color="auto" w:fill="auto"/>
            <w:vAlign w:val="center"/>
          </w:tcPr>
          <w:p w14:paraId="0470E9D6" w14:textId="77777777" w:rsidR="009175A4" w:rsidRPr="00107C19" w:rsidRDefault="009175A4" w:rsidP="00167353">
            <w:pPr>
              <w:pStyle w:val="TableHeading"/>
              <w:jc w:val="center"/>
              <w:rPr>
                <w:b w:val="0"/>
                <w:bCs/>
                <w:color w:val="000000" w:themeColor="text1"/>
              </w:rPr>
            </w:pPr>
            <w:r w:rsidRPr="00107C19">
              <w:rPr>
                <w:b w:val="0"/>
                <w:bCs/>
                <w:color w:val="000000" w:themeColor="text1"/>
              </w:rPr>
              <w:t>93</w:t>
            </w:r>
          </w:p>
        </w:tc>
        <w:tc>
          <w:tcPr>
            <w:tcW w:w="1177" w:type="dxa"/>
            <w:tcBorders>
              <w:top w:val="single" w:sz="4" w:space="0" w:color="auto"/>
              <w:left w:val="nil"/>
              <w:bottom w:val="single" w:sz="4" w:space="0" w:color="auto"/>
              <w:right w:val="single" w:sz="4" w:space="0" w:color="auto"/>
            </w:tcBorders>
            <w:shd w:val="clear" w:color="auto" w:fill="auto"/>
            <w:vAlign w:val="center"/>
          </w:tcPr>
          <w:p w14:paraId="7AC767D1" w14:textId="77777777" w:rsidR="009175A4" w:rsidRPr="00107C19" w:rsidRDefault="009175A4" w:rsidP="00167353">
            <w:pPr>
              <w:pStyle w:val="TableHeading"/>
              <w:jc w:val="center"/>
              <w:rPr>
                <w:b w:val="0"/>
                <w:bCs/>
                <w:color w:val="000000" w:themeColor="text1"/>
              </w:rPr>
            </w:pPr>
            <w:r w:rsidRPr="00107C19">
              <w:rPr>
                <w:b w:val="0"/>
                <w:bCs/>
                <w:color w:val="000000" w:themeColor="text1"/>
              </w:rPr>
              <w:t>51</w:t>
            </w:r>
          </w:p>
        </w:tc>
        <w:tc>
          <w:tcPr>
            <w:tcW w:w="1114" w:type="dxa"/>
            <w:tcBorders>
              <w:top w:val="single" w:sz="4" w:space="0" w:color="auto"/>
              <w:left w:val="nil"/>
              <w:bottom w:val="single" w:sz="4" w:space="0" w:color="auto"/>
              <w:right w:val="single" w:sz="4" w:space="0" w:color="auto"/>
            </w:tcBorders>
            <w:shd w:val="clear" w:color="auto" w:fill="auto"/>
            <w:vAlign w:val="center"/>
          </w:tcPr>
          <w:p w14:paraId="4EE6BC27" w14:textId="77777777" w:rsidR="009175A4" w:rsidRPr="00107C19" w:rsidRDefault="009175A4" w:rsidP="00167353">
            <w:pPr>
              <w:pStyle w:val="TableHeading"/>
              <w:jc w:val="center"/>
              <w:rPr>
                <w:b w:val="0"/>
                <w:bCs/>
                <w:color w:val="000000" w:themeColor="text1"/>
              </w:rPr>
            </w:pPr>
            <w:r w:rsidRPr="00107C19">
              <w:rPr>
                <w:b w:val="0"/>
                <w:bCs/>
                <w:color w:val="000000" w:themeColor="text1"/>
              </w:rPr>
              <w:t>32</w:t>
            </w:r>
          </w:p>
        </w:tc>
        <w:tc>
          <w:tcPr>
            <w:tcW w:w="1091" w:type="dxa"/>
            <w:tcBorders>
              <w:top w:val="single" w:sz="4" w:space="0" w:color="auto"/>
              <w:left w:val="nil"/>
              <w:bottom w:val="single" w:sz="4" w:space="0" w:color="auto"/>
              <w:right w:val="single" w:sz="4" w:space="0" w:color="auto"/>
            </w:tcBorders>
            <w:shd w:val="clear" w:color="auto" w:fill="auto"/>
            <w:vAlign w:val="center"/>
          </w:tcPr>
          <w:p w14:paraId="04CD0E7F" w14:textId="77777777" w:rsidR="009175A4" w:rsidRPr="00107C19" w:rsidRDefault="009175A4" w:rsidP="00167353">
            <w:pPr>
              <w:pStyle w:val="TableHeading"/>
              <w:jc w:val="center"/>
              <w:rPr>
                <w:b w:val="0"/>
                <w:bCs/>
                <w:color w:val="000000" w:themeColor="text1"/>
              </w:rPr>
            </w:pPr>
            <w:r w:rsidRPr="00107C19">
              <w:rPr>
                <w:b w:val="0"/>
                <w:bCs/>
                <w:color w:val="000000" w:themeColor="text1"/>
              </w:rPr>
              <w:t>54</w:t>
            </w:r>
          </w:p>
        </w:tc>
      </w:tr>
      <w:tr w:rsidR="00107C19" w:rsidRPr="00107C19" w14:paraId="65CFAF34"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44507664" w14:textId="77777777" w:rsidR="009175A4" w:rsidRPr="00107C19" w:rsidRDefault="009175A4" w:rsidP="00013CB4">
            <w:pPr>
              <w:pStyle w:val="TableHeading"/>
              <w:rPr>
                <w:b w:val="0"/>
                <w:bCs/>
                <w:color w:val="000000" w:themeColor="text1"/>
              </w:rPr>
            </w:pPr>
            <w:r w:rsidRPr="00107C19">
              <w:rPr>
                <w:b w:val="0"/>
                <w:bCs/>
                <w:color w:val="000000" w:themeColor="text1"/>
              </w:rPr>
              <w:t>Newly executed licenses to small businesses</w:t>
            </w:r>
          </w:p>
        </w:tc>
        <w:tc>
          <w:tcPr>
            <w:tcW w:w="1353" w:type="dxa"/>
            <w:tcBorders>
              <w:top w:val="nil"/>
              <w:left w:val="nil"/>
              <w:bottom w:val="single" w:sz="4" w:space="0" w:color="auto"/>
              <w:right w:val="single" w:sz="4" w:space="0" w:color="auto"/>
            </w:tcBorders>
            <w:noWrap/>
            <w:vAlign w:val="center"/>
          </w:tcPr>
          <w:p w14:paraId="5DDAAE3F"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w:t>
            </w:r>
          </w:p>
        </w:tc>
        <w:tc>
          <w:tcPr>
            <w:tcW w:w="1180" w:type="dxa"/>
            <w:tcBorders>
              <w:top w:val="nil"/>
              <w:left w:val="nil"/>
              <w:bottom w:val="single" w:sz="4" w:space="0" w:color="auto"/>
              <w:right w:val="single" w:sz="4" w:space="0" w:color="auto"/>
            </w:tcBorders>
            <w:vAlign w:val="center"/>
          </w:tcPr>
          <w:p w14:paraId="295B9183" w14:textId="77777777" w:rsidR="009175A4" w:rsidRPr="00107C19" w:rsidRDefault="009175A4" w:rsidP="00167353">
            <w:pPr>
              <w:pStyle w:val="TableHeading"/>
              <w:jc w:val="center"/>
              <w:rPr>
                <w:b w:val="0"/>
                <w:bCs/>
                <w:color w:val="000000" w:themeColor="text1"/>
              </w:rPr>
            </w:pPr>
            <w:r w:rsidRPr="00107C19">
              <w:rPr>
                <w:b w:val="0"/>
                <w:bCs/>
                <w:color w:val="000000" w:themeColor="text1"/>
              </w:rPr>
              <w:t>74</w:t>
            </w:r>
          </w:p>
        </w:tc>
        <w:tc>
          <w:tcPr>
            <w:tcW w:w="1177" w:type="dxa"/>
            <w:tcBorders>
              <w:top w:val="nil"/>
              <w:left w:val="nil"/>
              <w:bottom w:val="single" w:sz="4" w:space="0" w:color="auto"/>
              <w:right w:val="single" w:sz="4" w:space="0" w:color="auto"/>
            </w:tcBorders>
            <w:vAlign w:val="center"/>
          </w:tcPr>
          <w:p w14:paraId="38EA1446" w14:textId="77777777" w:rsidR="009175A4" w:rsidRPr="00107C19" w:rsidRDefault="009175A4" w:rsidP="00167353">
            <w:pPr>
              <w:pStyle w:val="TableHeading"/>
              <w:jc w:val="center"/>
              <w:rPr>
                <w:b w:val="0"/>
                <w:bCs/>
                <w:color w:val="000000" w:themeColor="text1"/>
              </w:rPr>
            </w:pPr>
            <w:r w:rsidRPr="00107C19">
              <w:rPr>
                <w:b w:val="0"/>
                <w:bCs/>
                <w:color w:val="000000" w:themeColor="text1"/>
              </w:rPr>
              <w:t>35</w:t>
            </w:r>
          </w:p>
        </w:tc>
        <w:tc>
          <w:tcPr>
            <w:tcW w:w="1114" w:type="dxa"/>
            <w:tcBorders>
              <w:top w:val="nil"/>
              <w:left w:val="nil"/>
              <w:bottom w:val="single" w:sz="4" w:space="0" w:color="auto"/>
              <w:right w:val="single" w:sz="4" w:space="0" w:color="auto"/>
            </w:tcBorders>
            <w:vAlign w:val="center"/>
          </w:tcPr>
          <w:p w14:paraId="0718986D"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w:t>
            </w:r>
          </w:p>
        </w:tc>
        <w:tc>
          <w:tcPr>
            <w:tcW w:w="1091" w:type="dxa"/>
            <w:tcBorders>
              <w:top w:val="nil"/>
              <w:left w:val="nil"/>
              <w:bottom w:val="single" w:sz="4" w:space="0" w:color="auto"/>
              <w:right w:val="single" w:sz="4" w:space="0" w:color="auto"/>
            </w:tcBorders>
            <w:vAlign w:val="center"/>
          </w:tcPr>
          <w:p w14:paraId="559C3CA7"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w:t>
            </w:r>
          </w:p>
        </w:tc>
      </w:tr>
      <w:tr w:rsidR="00107C19" w:rsidRPr="00107C19" w14:paraId="720A9AAB"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6B81443E" w14:textId="77777777" w:rsidR="009175A4" w:rsidRPr="00107C19" w:rsidRDefault="009175A4" w:rsidP="00013CB4">
            <w:pPr>
              <w:pStyle w:val="TableHeading"/>
              <w:rPr>
                <w:b w:val="0"/>
                <w:bCs/>
                <w:color w:val="000000" w:themeColor="text1"/>
              </w:rPr>
            </w:pPr>
            <w:r w:rsidRPr="00107C19">
              <w:rPr>
                <w:b w:val="0"/>
                <w:bCs/>
                <w:color w:val="000000" w:themeColor="text1"/>
              </w:rPr>
              <w:t>Newly executed licenses to tart-up businesses</w:t>
            </w:r>
          </w:p>
        </w:tc>
        <w:tc>
          <w:tcPr>
            <w:tcW w:w="1353" w:type="dxa"/>
            <w:tcBorders>
              <w:top w:val="nil"/>
              <w:left w:val="nil"/>
              <w:bottom w:val="single" w:sz="4" w:space="0" w:color="auto"/>
              <w:right w:val="single" w:sz="4" w:space="0" w:color="auto"/>
            </w:tcBorders>
            <w:noWrap/>
            <w:vAlign w:val="center"/>
          </w:tcPr>
          <w:p w14:paraId="5923DD02"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80" w:type="dxa"/>
            <w:tcBorders>
              <w:top w:val="nil"/>
              <w:left w:val="nil"/>
              <w:bottom w:val="single" w:sz="4" w:space="0" w:color="auto"/>
              <w:right w:val="single" w:sz="4" w:space="0" w:color="auto"/>
            </w:tcBorders>
            <w:vAlign w:val="center"/>
          </w:tcPr>
          <w:p w14:paraId="4FE27183"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77" w:type="dxa"/>
            <w:tcBorders>
              <w:top w:val="nil"/>
              <w:left w:val="nil"/>
              <w:bottom w:val="single" w:sz="4" w:space="0" w:color="auto"/>
              <w:right w:val="single" w:sz="4" w:space="0" w:color="auto"/>
            </w:tcBorders>
            <w:vAlign w:val="center"/>
          </w:tcPr>
          <w:p w14:paraId="3D299BFC"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14" w:type="dxa"/>
            <w:tcBorders>
              <w:top w:val="nil"/>
              <w:left w:val="nil"/>
              <w:bottom w:val="single" w:sz="4" w:space="0" w:color="auto"/>
              <w:right w:val="single" w:sz="4" w:space="0" w:color="auto"/>
            </w:tcBorders>
            <w:vAlign w:val="center"/>
          </w:tcPr>
          <w:p w14:paraId="0051F3E2"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nil"/>
              <w:left w:val="nil"/>
              <w:bottom w:val="single" w:sz="4" w:space="0" w:color="auto"/>
              <w:right w:val="single" w:sz="4" w:space="0" w:color="auto"/>
            </w:tcBorders>
            <w:vAlign w:val="center"/>
          </w:tcPr>
          <w:p w14:paraId="6305D6B4"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r w:rsidR="00107C19" w:rsidRPr="00107C19" w14:paraId="4FFF26B1"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BDC9433" w14:textId="77777777" w:rsidR="009175A4" w:rsidRPr="00107C19" w:rsidRDefault="009175A4" w:rsidP="00013CB4">
            <w:pPr>
              <w:pStyle w:val="TableHeading"/>
              <w:rPr>
                <w:b w:val="0"/>
                <w:bCs/>
                <w:color w:val="000000" w:themeColor="text1"/>
              </w:rPr>
            </w:pPr>
            <w:r w:rsidRPr="00107C19">
              <w:rPr>
                <w:b w:val="0"/>
                <w:bCs/>
                <w:color w:val="000000" w:themeColor="text1"/>
              </w:rPr>
              <w:t>Newly executed licenses to universities</w:t>
            </w:r>
          </w:p>
        </w:tc>
        <w:tc>
          <w:tcPr>
            <w:tcW w:w="1353" w:type="dxa"/>
            <w:tcBorders>
              <w:top w:val="nil"/>
              <w:left w:val="nil"/>
              <w:bottom w:val="single" w:sz="4" w:space="0" w:color="auto"/>
              <w:right w:val="single" w:sz="4" w:space="0" w:color="auto"/>
            </w:tcBorders>
            <w:noWrap/>
            <w:vAlign w:val="center"/>
          </w:tcPr>
          <w:p w14:paraId="782E289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w:t>
            </w:r>
          </w:p>
        </w:tc>
        <w:tc>
          <w:tcPr>
            <w:tcW w:w="1180" w:type="dxa"/>
            <w:tcBorders>
              <w:top w:val="nil"/>
              <w:left w:val="nil"/>
              <w:bottom w:val="single" w:sz="4" w:space="0" w:color="auto"/>
              <w:right w:val="single" w:sz="4" w:space="0" w:color="auto"/>
            </w:tcBorders>
            <w:vAlign w:val="center"/>
          </w:tcPr>
          <w:p w14:paraId="1DD80E50"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77" w:type="dxa"/>
            <w:tcBorders>
              <w:top w:val="nil"/>
              <w:left w:val="nil"/>
              <w:bottom w:val="single" w:sz="4" w:space="0" w:color="auto"/>
              <w:right w:val="single" w:sz="4" w:space="0" w:color="auto"/>
            </w:tcBorders>
            <w:vAlign w:val="center"/>
          </w:tcPr>
          <w:p w14:paraId="04A9C47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c>
          <w:tcPr>
            <w:tcW w:w="1114" w:type="dxa"/>
            <w:tcBorders>
              <w:top w:val="nil"/>
              <w:left w:val="nil"/>
              <w:bottom w:val="single" w:sz="4" w:space="0" w:color="auto"/>
              <w:right w:val="single" w:sz="4" w:space="0" w:color="auto"/>
            </w:tcBorders>
            <w:vAlign w:val="center"/>
          </w:tcPr>
          <w:p w14:paraId="7FE1F16C"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091" w:type="dxa"/>
            <w:tcBorders>
              <w:top w:val="nil"/>
              <w:left w:val="nil"/>
              <w:bottom w:val="single" w:sz="4" w:space="0" w:color="auto"/>
              <w:right w:val="single" w:sz="4" w:space="0" w:color="auto"/>
            </w:tcBorders>
            <w:vAlign w:val="center"/>
          </w:tcPr>
          <w:p w14:paraId="19F7BC4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w:t>
            </w:r>
          </w:p>
        </w:tc>
      </w:tr>
      <w:tr w:rsidR="00107C19" w:rsidRPr="00107C19" w14:paraId="771CA843"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C3CE7" w14:textId="77777777" w:rsidR="009175A4" w:rsidRPr="00107C19" w:rsidRDefault="009175A4" w:rsidP="00013CB4">
            <w:pPr>
              <w:pStyle w:val="TableHeading"/>
              <w:rPr>
                <w:b w:val="0"/>
                <w:bCs/>
                <w:color w:val="000000" w:themeColor="text1"/>
              </w:rPr>
            </w:pPr>
            <w:r w:rsidRPr="00107C19">
              <w:rPr>
                <w:b w:val="0"/>
                <w:bCs/>
                <w:color w:val="000000" w:themeColor="text1"/>
              </w:rPr>
              <w:t>Total newly executed invention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B39334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180" w:type="dxa"/>
            <w:tcBorders>
              <w:top w:val="single" w:sz="4" w:space="0" w:color="auto"/>
              <w:left w:val="nil"/>
              <w:bottom w:val="single" w:sz="4" w:space="0" w:color="auto"/>
              <w:right w:val="single" w:sz="4" w:space="0" w:color="auto"/>
            </w:tcBorders>
            <w:shd w:val="clear" w:color="auto" w:fill="auto"/>
            <w:vAlign w:val="center"/>
          </w:tcPr>
          <w:p w14:paraId="3C70D79A"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w:t>
            </w:r>
          </w:p>
        </w:tc>
        <w:tc>
          <w:tcPr>
            <w:tcW w:w="1177" w:type="dxa"/>
            <w:tcBorders>
              <w:top w:val="single" w:sz="4" w:space="0" w:color="auto"/>
              <w:left w:val="nil"/>
              <w:bottom w:val="single" w:sz="4" w:space="0" w:color="auto"/>
              <w:right w:val="single" w:sz="4" w:space="0" w:color="auto"/>
            </w:tcBorders>
            <w:shd w:val="clear" w:color="auto" w:fill="auto"/>
            <w:vAlign w:val="center"/>
          </w:tcPr>
          <w:p w14:paraId="500BFA3F"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w:t>
            </w:r>
          </w:p>
        </w:tc>
        <w:tc>
          <w:tcPr>
            <w:tcW w:w="1114" w:type="dxa"/>
            <w:tcBorders>
              <w:top w:val="single" w:sz="4" w:space="0" w:color="auto"/>
              <w:left w:val="nil"/>
              <w:bottom w:val="single" w:sz="4" w:space="0" w:color="auto"/>
              <w:right w:val="single" w:sz="4" w:space="0" w:color="auto"/>
            </w:tcBorders>
            <w:shd w:val="clear" w:color="auto" w:fill="auto"/>
            <w:vAlign w:val="center"/>
          </w:tcPr>
          <w:p w14:paraId="768C31C7"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w:t>
            </w:r>
          </w:p>
        </w:tc>
        <w:tc>
          <w:tcPr>
            <w:tcW w:w="1091" w:type="dxa"/>
            <w:tcBorders>
              <w:top w:val="single" w:sz="4" w:space="0" w:color="auto"/>
              <w:left w:val="nil"/>
              <w:bottom w:val="single" w:sz="4" w:space="0" w:color="auto"/>
              <w:right w:val="single" w:sz="4" w:space="0" w:color="auto"/>
            </w:tcBorders>
            <w:shd w:val="clear" w:color="auto" w:fill="auto"/>
            <w:vAlign w:val="center"/>
          </w:tcPr>
          <w:p w14:paraId="7B5E98E6"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w:t>
            </w:r>
          </w:p>
        </w:tc>
      </w:tr>
      <w:tr w:rsidR="00107C19" w:rsidRPr="00107C19" w14:paraId="5DE2ED12"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21700428" w14:textId="77777777" w:rsidR="009175A4" w:rsidRPr="00107C19" w:rsidRDefault="009175A4" w:rsidP="00013CB4">
            <w:pPr>
              <w:pStyle w:val="TableHeading"/>
              <w:rPr>
                <w:b w:val="0"/>
                <w:bCs/>
                <w:color w:val="000000" w:themeColor="text1"/>
              </w:rPr>
            </w:pPr>
            <w:r w:rsidRPr="00107C19">
              <w:rPr>
                <w:b w:val="0"/>
                <w:bCs/>
                <w:color w:val="000000" w:themeColor="text1"/>
              </w:rPr>
              <w:t>Newly executed invention licenses to small businesses</w:t>
            </w:r>
          </w:p>
        </w:tc>
        <w:tc>
          <w:tcPr>
            <w:tcW w:w="1353" w:type="dxa"/>
            <w:tcBorders>
              <w:top w:val="nil"/>
              <w:left w:val="nil"/>
              <w:bottom w:val="single" w:sz="4" w:space="0" w:color="auto"/>
              <w:right w:val="single" w:sz="4" w:space="0" w:color="auto"/>
            </w:tcBorders>
            <w:noWrap/>
            <w:vAlign w:val="center"/>
          </w:tcPr>
          <w:p w14:paraId="615C4912"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80" w:type="dxa"/>
            <w:tcBorders>
              <w:top w:val="nil"/>
              <w:left w:val="nil"/>
              <w:bottom w:val="single" w:sz="4" w:space="0" w:color="auto"/>
              <w:right w:val="single" w:sz="4" w:space="0" w:color="auto"/>
            </w:tcBorders>
            <w:vAlign w:val="center"/>
          </w:tcPr>
          <w:p w14:paraId="2C6C2FE0"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w:t>
            </w:r>
          </w:p>
        </w:tc>
        <w:tc>
          <w:tcPr>
            <w:tcW w:w="1177" w:type="dxa"/>
            <w:tcBorders>
              <w:top w:val="nil"/>
              <w:left w:val="nil"/>
              <w:bottom w:val="single" w:sz="4" w:space="0" w:color="auto"/>
              <w:right w:val="single" w:sz="4" w:space="0" w:color="auto"/>
            </w:tcBorders>
            <w:vAlign w:val="center"/>
          </w:tcPr>
          <w:p w14:paraId="4D757346"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14" w:type="dxa"/>
            <w:tcBorders>
              <w:top w:val="nil"/>
              <w:left w:val="nil"/>
              <w:bottom w:val="single" w:sz="4" w:space="0" w:color="auto"/>
              <w:right w:val="single" w:sz="4" w:space="0" w:color="auto"/>
            </w:tcBorders>
            <w:vAlign w:val="center"/>
          </w:tcPr>
          <w:p w14:paraId="2DD42889"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091" w:type="dxa"/>
            <w:tcBorders>
              <w:top w:val="nil"/>
              <w:left w:val="nil"/>
              <w:bottom w:val="single" w:sz="4" w:space="0" w:color="auto"/>
              <w:right w:val="single" w:sz="4" w:space="0" w:color="auto"/>
            </w:tcBorders>
            <w:vAlign w:val="center"/>
          </w:tcPr>
          <w:p w14:paraId="3F23DD0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r>
      <w:tr w:rsidR="00107C19" w:rsidRPr="00107C19" w14:paraId="0F018180"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65ADA6BA" w14:textId="77777777" w:rsidR="009175A4" w:rsidRPr="00107C19" w:rsidRDefault="009175A4" w:rsidP="00013CB4">
            <w:pPr>
              <w:pStyle w:val="TableHeading"/>
              <w:rPr>
                <w:b w:val="0"/>
                <w:bCs/>
                <w:color w:val="000000" w:themeColor="text1"/>
              </w:rPr>
            </w:pPr>
            <w:r w:rsidRPr="00107C19">
              <w:rPr>
                <w:b w:val="0"/>
                <w:bCs/>
                <w:color w:val="000000" w:themeColor="text1"/>
              </w:rPr>
              <w:t>Newly executed invention licenses to start-up businesses</w:t>
            </w:r>
          </w:p>
        </w:tc>
        <w:tc>
          <w:tcPr>
            <w:tcW w:w="1353" w:type="dxa"/>
            <w:tcBorders>
              <w:top w:val="nil"/>
              <w:left w:val="nil"/>
              <w:bottom w:val="single" w:sz="4" w:space="0" w:color="auto"/>
              <w:right w:val="single" w:sz="4" w:space="0" w:color="auto"/>
            </w:tcBorders>
            <w:noWrap/>
            <w:vAlign w:val="center"/>
          </w:tcPr>
          <w:p w14:paraId="51E20995"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80" w:type="dxa"/>
            <w:tcBorders>
              <w:top w:val="nil"/>
              <w:left w:val="nil"/>
              <w:bottom w:val="single" w:sz="4" w:space="0" w:color="auto"/>
              <w:right w:val="single" w:sz="4" w:space="0" w:color="auto"/>
            </w:tcBorders>
            <w:vAlign w:val="center"/>
          </w:tcPr>
          <w:p w14:paraId="67967510"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77" w:type="dxa"/>
            <w:tcBorders>
              <w:top w:val="nil"/>
              <w:left w:val="nil"/>
              <w:bottom w:val="single" w:sz="4" w:space="0" w:color="auto"/>
              <w:right w:val="single" w:sz="4" w:space="0" w:color="auto"/>
            </w:tcBorders>
            <w:vAlign w:val="center"/>
          </w:tcPr>
          <w:p w14:paraId="1215E226"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14" w:type="dxa"/>
            <w:tcBorders>
              <w:top w:val="nil"/>
              <w:left w:val="nil"/>
              <w:bottom w:val="single" w:sz="4" w:space="0" w:color="auto"/>
              <w:right w:val="single" w:sz="4" w:space="0" w:color="auto"/>
            </w:tcBorders>
            <w:vAlign w:val="center"/>
          </w:tcPr>
          <w:p w14:paraId="6C917E87"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nil"/>
              <w:left w:val="nil"/>
              <w:bottom w:val="single" w:sz="4" w:space="0" w:color="auto"/>
              <w:right w:val="single" w:sz="4" w:space="0" w:color="auto"/>
            </w:tcBorders>
            <w:vAlign w:val="center"/>
          </w:tcPr>
          <w:p w14:paraId="24B00020"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r w:rsidR="00107C19" w:rsidRPr="00107C19" w14:paraId="243E3E14"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47D1D5FB" w14:textId="77777777" w:rsidR="009175A4" w:rsidRPr="00107C19" w:rsidRDefault="009175A4" w:rsidP="00013CB4">
            <w:pPr>
              <w:pStyle w:val="TableHeading"/>
              <w:rPr>
                <w:b w:val="0"/>
                <w:bCs/>
                <w:color w:val="000000" w:themeColor="text1"/>
              </w:rPr>
            </w:pPr>
            <w:r w:rsidRPr="00107C19">
              <w:rPr>
                <w:b w:val="0"/>
                <w:bCs/>
                <w:color w:val="000000" w:themeColor="text1"/>
              </w:rPr>
              <w:t>Newly executed invention licenses to universities</w:t>
            </w:r>
          </w:p>
        </w:tc>
        <w:tc>
          <w:tcPr>
            <w:tcW w:w="1353" w:type="dxa"/>
            <w:tcBorders>
              <w:top w:val="nil"/>
              <w:left w:val="nil"/>
              <w:bottom w:val="single" w:sz="4" w:space="0" w:color="auto"/>
              <w:right w:val="single" w:sz="4" w:space="0" w:color="auto"/>
            </w:tcBorders>
            <w:noWrap/>
            <w:vAlign w:val="center"/>
          </w:tcPr>
          <w:p w14:paraId="580AC6CA"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80" w:type="dxa"/>
            <w:tcBorders>
              <w:top w:val="nil"/>
              <w:left w:val="nil"/>
              <w:bottom w:val="single" w:sz="4" w:space="0" w:color="auto"/>
              <w:right w:val="single" w:sz="4" w:space="0" w:color="auto"/>
            </w:tcBorders>
            <w:vAlign w:val="center"/>
          </w:tcPr>
          <w:p w14:paraId="30790D99"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c>
          <w:tcPr>
            <w:tcW w:w="1177" w:type="dxa"/>
            <w:tcBorders>
              <w:top w:val="nil"/>
              <w:left w:val="nil"/>
              <w:bottom w:val="single" w:sz="4" w:space="0" w:color="auto"/>
              <w:right w:val="single" w:sz="4" w:space="0" w:color="auto"/>
            </w:tcBorders>
            <w:vAlign w:val="center"/>
          </w:tcPr>
          <w:p w14:paraId="2F0B74B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w:t>
            </w:r>
          </w:p>
        </w:tc>
        <w:tc>
          <w:tcPr>
            <w:tcW w:w="1114" w:type="dxa"/>
            <w:tcBorders>
              <w:top w:val="nil"/>
              <w:left w:val="nil"/>
              <w:bottom w:val="single" w:sz="4" w:space="0" w:color="auto"/>
              <w:right w:val="single" w:sz="4" w:space="0" w:color="auto"/>
            </w:tcBorders>
            <w:vAlign w:val="center"/>
          </w:tcPr>
          <w:p w14:paraId="658A1514" w14:textId="77777777" w:rsidR="009175A4" w:rsidRPr="00107C19" w:rsidRDefault="009175A4" w:rsidP="00167353">
            <w:pPr>
              <w:pStyle w:val="TableHeading"/>
              <w:jc w:val="center"/>
              <w:rPr>
                <w:b w:val="0"/>
                <w:bCs/>
                <w:color w:val="000000" w:themeColor="text1"/>
              </w:rPr>
            </w:pPr>
            <w:r w:rsidRPr="00107C19">
              <w:rPr>
                <w:b w:val="0"/>
                <w:bCs/>
                <w:color w:val="000000" w:themeColor="text1"/>
              </w:rPr>
              <w:t>6</w:t>
            </w:r>
          </w:p>
        </w:tc>
        <w:tc>
          <w:tcPr>
            <w:tcW w:w="1091" w:type="dxa"/>
            <w:tcBorders>
              <w:top w:val="nil"/>
              <w:left w:val="nil"/>
              <w:bottom w:val="single" w:sz="4" w:space="0" w:color="auto"/>
              <w:right w:val="single" w:sz="4" w:space="0" w:color="auto"/>
            </w:tcBorders>
            <w:vAlign w:val="center"/>
          </w:tcPr>
          <w:p w14:paraId="7D5796B9" w14:textId="77777777" w:rsidR="009175A4" w:rsidRPr="00107C19" w:rsidRDefault="009175A4" w:rsidP="00167353">
            <w:pPr>
              <w:pStyle w:val="TableHeading"/>
              <w:jc w:val="center"/>
              <w:rPr>
                <w:b w:val="0"/>
                <w:bCs/>
                <w:color w:val="000000" w:themeColor="text1"/>
              </w:rPr>
            </w:pPr>
            <w:r w:rsidRPr="00107C19">
              <w:rPr>
                <w:b w:val="0"/>
                <w:bCs/>
                <w:color w:val="000000" w:themeColor="text1"/>
              </w:rPr>
              <w:t>9</w:t>
            </w:r>
          </w:p>
        </w:tc>
      </w:tr>
      <w:tr w:rsidR="00107C19" w:rsidRPr="00107C19" w14:paraId="189B6C6D"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05D4F" w14:textId="77777777" w:rsidR="009175A4" w:rsidRPr="00107C19" w:rsidRDefault="009175A4" w:rsidP="00013CB4">
            <w:pPr>
              <w:pStyle w:val="TableHeading"/>
              <w:rPr>
                <w:b w:val="0"/>
                <w:bCs/>
                <w:color w:val="000000" w:themeColor="text1"/>
              </w:rPr>
            </w:pPr>
            <w:r w:rsidRPr="00107C19">
              <w:rPr>
                <w:b w:val="0"/>
                <w:bCs/>
                <w:color w:val="000000" w:themeColor="text1"/>
              </w:rPr>
              <w:t>Total newly executed other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74686395" w14:textId="77777777" w:rsidR="009175A4" w:rsidRPr="00107C19" w:rsidRDefault="009175A4" w:rsidP="00167353">
            <w:pPr>
              <w:pStyle w:val="TableHeading"/>
              <w:jc w:val="center"/>
              <w:rPr>
                <w:b w:val="0"/>
                <w:bCs/>
                <w:color w:val="000000" w:themeColor="text1"/>
              </w:rPr>
            </w:pPr>
            <w:r w:rsidRPr="00107C19">
              <w:rPr>
                <w:b w:val="0"/>
                <w:bCs/>
                <w:color w:val="000000" w:themeColor="text1"/>
              </w:rPr>
              <w:t>34</w:t>
            </w:r>
          </w:p>
        </w:tc>
        <w:tc>
          <w:tcPr>
            <w:tcW w:w="1180" w:type="dxa"/>
            <w:tcBorders>
              <w:top w:val="single" w:sz="4" w:space="0" w:color="auto"/>
              <w:left w:val="nil"/>
              <w:bottom w:val="single" w:sz="4" w:space="0" w:color="auto"/>
              <w:right w:val="single" w:sz="4" w:space="0" w:color="auto"/>
            </w:tcBorders>
            <w:shd w:val="clear" w:color="auto" w:fill="auto"/>
            <w:vAlign w:val="center"/>
          </w:tcPr>
          <w:p w14:paraId="63C13AB3" w14:textId="77777777" w:rsidR="009175A4" w:rsidRPr="00107C19" w:rsidRDefault="009175A4" w:rsidP="00167353">
            <w:pPr>
              <w:pStyle w:val="TableHeading"/>
              <w:jc w:val="center"/>
              <w:rPr>
                <w:b w:val="0"/>
                <w:bCs/>
                <w:color w:val="000000" w:themeColor="text1"/>
              </w:rPr>
            </w:pPr>
            <w:r w:rsidRPr="00107C19">
              <w:rPr>
                <w:b w:val="0"/>
                <w:bCs/>
                <w:color w:val="000000" w:themeColor="text1"/>
              </w:rPr>
              <w:t>63</w:t>
            </w:r>
          </w:p>
        </w:tc>
        <w:tc>
          <w:tcPr>
            <w:tcW w:w="1177" w:type="dxa"/>
            <w:tcBorders>
              <w:top w:val="single" w:sz="4" w:space="0" w:color="auto"/>
              <w:left w:val="nil"/>
              <w:bottom w:val="single" w:sz="4" w:space="0" w:color="auto"/>
              <w:right w:val="single" w:sz="4" w:space="0" w:color="auto"/>
            </w:tcBorders>
            <w:shd w:val="clear" w:color="auto" w:fill="auto"/>
            <w:vAlign w:val="center"/>
          </w:tcPr>
          <w:p w14:paraId="06F5C145"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w:t>
            </w:r>
          </w:p>
        </w:tc>
        <w:tc>
          <w:tcPr>
            <w:tcW w:w="1114" w:type="dxa"/>
            <w:tcBorders>
              <w:top w:val="single" w:sz="4" w:space="0" w:color="auto"/>
              <w:left w:val="nil"/>
              <w:bottom w:val="single" w:sz="4" w:space="0" w:color="auto"/>
              <w:right w:val="single" w:sz="4" w:space="0" w:color="auto"/>
            </w:tcBorders>
            <w:shd w:val="clear" w:color="auto" w:fill="auto"/>
            <w:vAlign w:val="center"/>
          </w:tcPr>
          <w:p w14:paraId="1D04182F"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91" w:type="dxa"/>
            <w:tcBorders>
              <w:top w:val="single" w:sz="4" w:space="0" w:color="auto"/>
              <w:left w:val="nil"/>
              <w:bottom w:val="single" w:sz="4" w:space="0" w:color="auto"/>
              <w:right w:val="single" w:sz="4" w:space="0" w:color="auto"/>
            </w:tcBorders>
            <w:shd w:val="clear" w:color="auto" w:fill="auto"/>
            <w:vAlign w:val="center"/>
          </w:tcPr>
          <w:p w14:paraId="41208BAE"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w:t>
            </w:r>
          </w:p>
        </w:tc>
      </w:tr>
      <w:tr w:rsidR="00107C19" w:rsidRPr="00107C19" w14:paraId="5969282E"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D9B5FC0" w14:textId="77777777" w:rsidR="009175A4" w:rsidRPr="00107C19" w:rsidRDefault="009175A4" w:rsidP="00013CB4">
            <w:pPr>
              <w:pStyle w:val="TableHeading"/>
              <w:rPr>
                <w:b w:val="0"/>
                <w:bCs/>
                <w:color w:val="000000" w:themeColor="text1"/>
              </w:rPr>
            </w:pPr>
            <w:r w:rsidRPr="00107C19">
              <w:rPr>
                <w:b w:val="0"/>
                <w:bCs/>
                <w:color w:val="000000" w:themeColor="text1"/>
              </w:rPr>
              <w:t>Newly executed other licenses to small businesses</w:t>
            </w:r>
          </w:p>
        </w:tc>
        <w:tc>
          <w:tcPr>
            <w:tcW w:w="1353" w:type="dxa"/>
            <w:tcBorders>
              <w:top w:val="nil"/>
              <w:left w:val="nil"/>
              <w:bottom w:val="single" w:sz="4" w:space="0" w:color="auto"/>
              <w:right w:val="single" w:sz="4" w:space="0" w:color="auto"/>
            </w:tcBorders>
            <w:noWrap/>
            <w:vAlign w:val="center"/>
          </w:tcPr>
          <w:p w14:paraId="6CB50D88"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w:t>
            </w:r>
          </w:p>
        </w:tc>
        <w:tc>
          <w:tcPr>
            <w:tcW w:w="1180" w:type="dxa"/>
            <w:tcBorders>
              <w:top w:val="nil"/>
              <w:left w:val="nil"/>
              <w:bottom w:val="single" w:sz="4" w:space="0" w:color="auto"/>
              <w:right w:val="single" w:sz="4" w:space="0" w:color="auto"/>
            </w:tcBorders>
            <w:vAlign w:val="center"/>
          </w:tcPr>
          <w:p w14:paraId="78D510DD" w14:textId="77777777" w:rsidR="009175A4" w:rsidRPr="00107C19" w:rsidRDefault="009175A4" w:rsidP="00167353">
            <w:pPr>
              <w:pStyle w:val="TableHeading"/>
              <w:jc w:val="center"/>
              <w:rPr>
                <w:b w:val="0"/>
                <w:bCs/>
                <w:color w:val="000000" w:themeColor="text1"/>
              </w:rPr>
            </w:pPr>
            <w:r w:rsidRPr="00107C19">
              <w:rPr>
                <w:b w:val="0"/>
                <w:bCs/>
                <w:color w:val="000000" w:themeColor="text1"/>
              </w:rPr>
              <w:t>59</w:t>
            </w:r>
          </w:p>
        </w:tc>
        <w:tc>
          <w:tcPr>
            <w:tcW w:w="1177" w:type="dxa"/>
            <w:tcBorders>
              <w:top w:val="nil"/>
              <w:left w:val="nil"/>
              <w:bottom w:val="single" w:sz="4" w:space="0" w:color="auto"/>
              <w:right w:val="single" w:sz="4" w:space="0" w:color="auto"/>
            </w:tcBorders>
            <w:vAlign w:val="center"/>
          </w:tcPr>
          <w:p w14:paraId="20F4F53C" w14:textId="77777777" w:rsidR="009175A4" w:rsidRPr="00107C19" w:rsidRDefault="009175A4" w:rsidP="00167353">
            <w:pPr>
              <w:pStyle w:val="TableHeading"/>
              <w:jc w:val="center"/>
              <w:rPr>
                <w:b w:val="0"/>
                <w:bCs/>
                <w:color w:val="000000" w:themeColor="text1"/>
              </w:rPr>
            </w:pPr>
            <w:r w:rsidRPr="00107C19">
              <w:rPr>
                <w:b w:val="0"/>
                <w:bCs/>
                <w:color w:val="000000" w:themeColor="text1"/>
              </w:rPr>
              <w:t>28</w:t>
            </w:r>
          </w:p>
        </w:tc>
        <w:tc>
          <w:tcPr>
            <w:tcW w:w="1114" w:type="dxa"/>
            <w:tcBorders>
              <w:top w:val="nil"/>
              <w:left w:val="nil"/>
              <w:bottom w:val="single" w:sz="4" w:space="0" w:color="auto"/>
              <w:right w:val="single" w:sz="4" w:space="0" w:color="auto"/>
            </w:tcBorders>
            <w:vAlign w:val="center"/>
          </w:tcPr>
          <w:p w14:paraId="7070B78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091" w:type="dxa"/>
            <w:tcBorders>
              <w:top w:val="nil"/>
              <w:left w:val="nil"/>
              <w:bottom w:val="single" w:sz="4" w:space="0" w:color="auto"/>
              <w:right w:val="single" w:sz="4" w:space="0" w:color="auto"/>
            </w:tcBorders>
            <w:vAlign w:val="center"/>
          </w:tcPr>
          <w:p w14:paraId="2F3D300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r>
      <w:tr w:rsidR="00107C19" w:rsidRPr="00107C19" w14:paraId="2EE14407"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3237552A" w14:textId="77777777" w:rsidR="009175A4" w:rsidRPr="00107C19" w:rsidRDefault="009175A4" w:rsidP="00013CB4">
            <w:pPr>
              <w:pStyle w:val="TableHeading"/>
              <w:rPr>
                <w:b w:val="0"/>
                <w:bCs/>
                <w:color w:val="000000" w:themeColor="text1"/>
              </w:rPr>
            </w:pPr>
            <w:r w:rsidRPr="00107C19">
              <w:rPr>
                <w:b w:val="0"/>
                <w:bCs/>
                <w:color w:val="000000" w:themeColor="text1"/>
              </w:rPr>
              <w:t>Newly executed other licenses to start-up businesses</w:t>
            </w:r>
          </w:p>
        </w:tc>
        <w:tc>
          <w:tcPr>
            <w:tcW w:w="1353" w:type="dxa"/>
            <w:tcBorders>
              <w:top w:val="nil"/>
              <w:left w:val="nil"/>
              <w:bottom w:val="single" w:sz="4" w:space="0" w:color="auto"/>
              <w:right w:val="single" w:sz="4" w:space="0" w:color="auto"/>
            </w:tcBorders>
            <w:noWrap/>
            <w:vAlign w:val="center"/>
          </w:tcPr>
          <w:p w14:paraId="0FCAE7AE"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80" w:type="dxa"/>
            <w:tcBorders>
              <w:top w:val="nil"/>
              <w:left w:val="nil"/>
              <w:bottom w:val="single" w:sz="4" w:space="0" w:color="auto"/>
              <w:right w:val="single" w:sz="4" w:space="0" w:color="auto"/>
            </w:tcBorders>
            <w:vAlign w:val="center"/>
          </w:tcPr>
          <w:p w14:paraId="7626B342"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77" w:type="dxa"/>
            <w:tcBorders>
              <w:top w:val="nil"/>
              <w:left w:val="nil"/>
              <w:bottom w:val="single" w:sz="4" w:space="0" w:color="auto"/>
              <w:right w:val="single" w:sz="4" w:space="0" w:color="auto"/>
            </w:tcBorders>
            <w:vAlign w:val="center"/>
          </w:tcPr>
          <w:p w14:paraId="45B7DBE5"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14" w:type="dxa"/>
            <w:tcBorders>
              <w:top w:val="nil"/>
              <w:left w:val="nil"/>
              <w:bottom w:val="single" w:sz="4" w:space="0" w:color="auto"/>
              <w:right w:val="single" w:sz="4" w:space="0" w:color="auto"/>
            </w:tcBorders>
            <w:vAlign w:val="center"/>
          </w:tcPr>
          <w:p w14:paraId="397BAFD7"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nil"/>
              <w:left w:val="nil"/>
              <w:bottom w:val="single" w:sz="4" w:space="0" w:color="auto"/>
              <w:right w:val="single" w:sz="4" w:space="0" w:color="auto"/>
            </w:tcBorders>
            <w:vAlign w:val="center"/>
          </w:tcPr>
          <w:p w14:paraId="5915A82A"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r w:rsidR="00107C19" w:rsidRPr="00107C19" w14:paraId="63D993B0"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2FB822F" w14:textId="77777777" w:rsidR="009175A4" w:rsidRPr="00107C19" w:rsidRDefault="009175A4" w:rsidP="00013CB4">
            <w:pPr>
              <w:pStyle w:val="TableHeading"/>
              <w:rPr>
                <w:b w:val="0"/>
                <w:bCs/>
                <w:color w:val="000000" w:themeColor="text1"/>
              </w:rPr>
            </w:pPr>
            <w:r w:rsidRPr="00107C19">
              <w:rPr>
                <w:b w:val="0"/>
                <w:bCs/>
                <w:color w:val="000000" w:themeColor="text1"/>
              </w:rPr>
              <w:t>Newly executed other licenses to universities</w:t>
            </w:r>
          </w:p>
        </w:tc>
        <w:tc>
          <w:tcPr>
            <w:tcW w:w="1353" w:type="dxa"/>
            <w:tcBorders>
              <w:top w:val="nil"/>
              <w:left w:val="nil"/>
              <w:bottom w:val="single" w:sz="4" w:space="0" w:color="auto"/>
              <w:right w:val="single" w:sz="4" w:space="0" w:color="auto"/>
            </w:tcBorders>
            <w:noWrap/>
            <w:vAlign w:val="center"/>
          </w:tcPr>
          <w:p w14:paraId="55BDFD0B" w14:textId="77777777" w:rsidR="009175A4" w:rsidRPr="00107C19" w:rsidRDefault="009175A4" w:rsidP="00167353">
            <w:pPr>
              <w:pStyle w:val="TableHeading"/>
              <w:jc w:val="center"/>
              <w:rPr>
                <w:b w:val="0"/>
                <w:bCs/>
                <w:color w:val="000000" w:themeColor="text1"/>
              </w:rPr>
            </w:pPr>
            <w:r w:rsidRPr="00107C19">
              <w:rPr>
                <w:b w:val="0"/>
                <w:bCs/>
                <w:color w:val="000000" w:themeColor="text1"/>
              </w:rPr>
              <w:t>3</w:t>
            </w:r>
          </w:p>
        </w:tc>
        <w:tc>
          <w:tcPr>
            <w:tcW w:w="1180" w:type="dxa"/>
            <w:tcBorders>
              <w:top w:val="nil"/>
              <w:left w:val="nil"/>
              <w:bottom w:val="single" w:sz="4" w:space="0" w:color="auto"/>
              <w:right w:val="single" w:sz="4" w:space="0" w:color="auto"/>
            </w:tcBorders>
            <w:vAlign w:val="center"/>
          </w:tcPr>
          <w:p w14:paraId="74A18322"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c>
          <w:tcPr>
            <w:tcW w:w="1177" w:type="dxa"/>
            <w:tcBorders>
              <w:top w:val="nil"/>
              <w:left w:val="nil"/>
              <w:bottom w:val="single" w:sz="4" w:space="0" w:color="auto"/>
              <w:right w:val="single" w:sz="4" w:space="0" w:color="auto"/>
            </w:tcBorders>
            <w:vAlign w:val="center"/>
          </w:tcPr>
          <w:p w14:paraId="73309E05"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14" w:type="dxa"/>
            <w:tcBorders>
              <w:top w:val="nil"/>
              <w:left w:val="nil"/>
              <w:bottom w:val="single" w:sz="4" w:space="0" w:color="auto"/>
              <w:right w:val="single" w:sz="4" w:space="0" w:color="auto"/>
            </w:tcBorders>
            <w:vAlign w:val="center"/>
          </w:tcPr>
          <w:p w14:paraId="2B2B0A99"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nil"/>
              <w:left w:val="nil"/>
              <w:bottom w:val="single" w:sz="4" w:space="0" w:color="auto"/>
              <w:right w:val="single" w:sz="4" w:space="0" w:color="auto"/>
            </w:tcBorders>
            <w:vAlign w:val="center"/>
          </w:tcPr>
          <w:p w14:paraId="2D424EE6" w14:textId="77777777" w:rsidR="009175A4" w:rsidRPr="00107C19" w:rsidRDefault="009175A4" w:rsidP="00167353">
            <w:pPr>
              <w:pStyle w:val="TableHeading"/>
              <w:jc w:val="center"/>
              <w:rPr>
                <w:b w:val="0"/>
                <w:bCs/>
                <w:color w:val="000000" w:themeColor="text1"/>
              </w:rPr>
            </w:pPr>
            <w:r w:rsidRPr="00107C19">
              <w:rPr>
                <w:b w:val="0"/>
                <w:bCs/>
                <w:color w:val="000000" w:themeColor="text1"/>
              </w:rPr>
              <w:t>4</w:t>
            </w:r>
          </w:p>
        </w:tc>
      </w:tr>
      <w:tr w:rsidR="00107C19" w:rsidRPr="00107C19" w14:paraId="7B24BD1D"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3A161" w14:textId="77777777" w:rsidR="009175A4" w:rsidRPr="00107C19" w:rsidRDefault="009175A4" w:rsidP="00013CB4">
            <w:pPr>
              <w:pStyle w:val="TableHeading"/>
              <w:rPr>
                <w:b w:val="0"/>
                <w:bCs/>
                <w:color w:val="000000" w:themeColor="text1"/>
              </w:rPr>
            </w:pPr>
            <w:r w:rsidRPr="00107C19">
              <w:rPr>
                <w:b w:val="0"/>
                <w:bCs/>
                <w:color w:val="000000" w:themeColor="text1"/>
              </w:rPr>
              <w:lastRenderedPageBreak/>
              <w:t>Total 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7F52C2ED" w14:textId="77777777" w:rsidR="009175A4" w:rsidRPr="00107C19" w:rsidRDefault="009175A4" w:rsidP="00167353">
            <w:pPr>
              <w:pStyle w:val="TableHeading"/>
              <w:jc w:val="center"/>
              <w:rPr>
                <w:b w:val="0"/>
                <w:bCs/>
                <w:color w:val="000000" w:themeColor="text1"/>
              </w:rPr>
            </w:pPr>
            <w:r w:rsidRPr="00107C19">
              <w:rPr>
                <w:b w:val="0"/>
                <w:bCs/>
                <w:color w:val="000000" w:themeColor="text1"/>
              </w:rPr>
              <w:t>496</w:t>
            </w:r>
          </w:p>
        </w:tc>
        <w:tc>
          <w:tcPr>
            <w:tcW w:w="1180" w:type="dxa"/>
            <w:tcBorders>
              <w:top w:val="single" w:sz="4" w:space="0" w:color="auto"/>
              <w:left w:val="nil"/>
              <w:bottom w:val="single" w:sz="4" w:space="0" w:color="auto"/>
              <w:right w:val="single" w:sz="4" w:space="0" w:color="auto"/>
            </w:tcBorders>
            <w:shd w:val="clear" w:color="auto" w:fill="auto"/>
            <w:vAlign w:val="center"/>
          </w:tcPr>
          <w:p w14:paraId="250D033F" w14:textId="77777777" w:rsidR="009175A4" w:rsidRPr="00107C19" w:rsidRDefault="009175A4" w:rsidP="00167353">
            <w:pPr>
              <w:pStyle w:val="TableHeading"/>
              <w:jc w:val="center"/>
              <w:rPr>
                <w:b w:val="0"/>
                <w:bCs/>
                <w:color w:val="000000" w:themeColor="text1"/>
              </w:rPr>
            </w:pPr>
            <w:r w:rsidRPr="00107C19">
              <w:rPr>
                <w:b w:val="0"/>
                <w:bCs/>
                <w:color w:val="000000" w:themeColor="text1"/>
              </w:rPr>
              <w:t>564</w:t>
            </w:r>
          </w:p>
        </w:tc>
        <w:tc>
          <w:tcPr>
            <w:tcW w:w="1177" w:type="dxa"/>
            <w:tcBorders>
              <w:top w:val="single" w:sz="4" w:space="0" w:color="auto"/>
              <w:left w:val="nil"/>
              <w:bottom w:val="single" w:sz="4" w:space="0" w:color="auto"/>
              <w:right w:val="single" w:sz="4" w:space="0" w:color="auto"/>
            </w:tcBorders>
            <w:shd w:val="clear" w:color="auto" w:fill="auto"/>
            <w:vAlign w:val="center"/>
          </w:tcPr>
          <w:p w14:paraId="7F42592E" w14:textId="77777777" w:rsidR="009175A4" w:rsidRPr="00107C19" w:rsidRDefault="009175A4" w:rsidP="00167353">
            <w:pPr>
              <w:pStyle w:val="TableHeading"/>
              <w:jc w:val="center"/>
              <w:rPr>
                <w:b w:val="0"/>
                <w:bCs/>
                <w:color w:val="000000" w:themeColor="text1"/>
              </w:rPr>
            </w:pPr>
            <w:r w:rsidRPr="00107C19">
              <w:rPr>
                <w:b w:val="0"/>
                <w:bCs/>
                <w:color w:val="000000" w:themeColor="text1"/>
              </w:rPr>
              <w:t>612</w:t>
            </w:r>
          </w:p>
        </w:tc>
        <w:tc>
          <w:tcPr>
            <w:tcW w:w="1114" w:type="dxa"/>
            <w:tcBorders>
              <w:top w:val="single" w:sz="4" w:space="0" w:color="auto"/>
              <w:left w:val="nil"/>
              <w:bottom w:val="single" w:sz="4" w:space="0" w:color="auto"/>
              <w:right w:val="single" w:sz="4" w:space="0" w:color="auto"/>
            </w:tcBorders>
            <w:shd w:val="clear" w:color="auto" w:fill="auto"/>
            <w:vAlign w:val="center"/>
          </w:tcPr>
          <w:p w14:paraId="2F643CFD" w14:textId="77777777" w:rsidR="009175A4" w:rsidRPr="00107C19" w:rsidRDefault="009175A4" w:rsidP="00167353">
            <w:pPr>
              <w:pStyle w:val="TableHeading"/>
              <w:jc w:val="center"/>
              <w:rPr>
                <w:b w:val="0"/>
                <w:bCs/>
                <w:color w:val="000000" w:themeColor="text1"/>
              </w:rPr>
            </w:pPr>
            <w:r w:rsidRPr="00107C19">
              <w:rPr>
                <w:b w:val="0"/>
                <w:bCs/>
                <w:color w:val="000000" w:themeColor="text1"/>
              </w:rPr>
              <w:t>634</w:t>
            </w:r>
          </w:p>
        </w:tc>
        <w:tc>
          <w:tcPr>
            <w:tcW w:w="1091" w:type="dxa"/>
            <w:tcBorders>
              <w:top w:val="single" w:sz="4" w:space="0" w:color="auto"/>
              <w:left w:val="nil"/>
              <w:bottom w:val="single" w:sz="4" w:space="0" w:color="auto"/>
              <w:right w:val="single" w:sz="4" w:space="0" w:color="auto"/>
            </w:tcBorders>
            <w:shd w:val="clear" w:color="auto" w:fill="auto"/>
            <w:vAlign w:val="center"/>
          </w:tcPr>
          <w:p w14:paraId="33847261" w14:textId="77777777" w:rsidR="009175A4" w:rsidRPr="00107C19" w:rsidRDefault="009175A4" w:rsidP="00167353">
            <w:pPr>
              <w:pStyle w:val="TableHeading"/>
              <w:jc w:val="center"/>
              <w:rPr>
                <w:b w:val="0"/>
                <w:bCs/>
                <w:color w:val="000000" w:themeColor="text1"/>
              </w:rPr>
            </w:pPr>
            <w:r w:rsidRPr="00107C19">
              <w:rPr>
                <w:b w:val="0"/>
                <w:bCs/>
                <w:color w:val="000000" w:themeColor="text1"/>
              </w:rPr>
              <w:t>626</w:t>
            </w:r>
          </w:p>
        </w:tc>
      </w:tr>
      <w:tr w:rsidR="00107C19" w:rsidRPr="00107C19" w14:paraId="619F4E12"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8057C" w14:textId="77777777" w:rsidR="009175A4" w:rsidRPr="00107C19" w:rsidRDefault="009175A4" w:rsidP="00013CB4">
            <w:pPr>
              <w:pStyle w:val="TableHeading"/>
              <w:rPr>
                <w:b w:val="0"/>
                <w:bCs/>
                <w:color w:val="000000" w:themeColor="text1"/>
              </w:rPr>
            </w:pPr>
            <w:r w:rsidRPr="00107C19">
              <w:rPr>
                <w:b w:val="0"/>
                <w:bCs/>
                <w:color w:val="000000" w:themeColor="text1"/>
              </w:rPr>
              <w:t>Exclusive 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6773AF1"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312</w:t>
            </w:r>
          </w:p>
        </w:tc>
        <w:tc>
          <w:tcPr>
            <w:tcW w:w="1180" w:type="dxa"/>
            <w:tcBorders>
              <w:top w:val="single" w:sz="4" w:space="0" w:color="auto"/>
              <w:left w:val="nil"/>
              <w:bottom w:val="single" w:sz="4" w:space="0" w:color="auto"/>
              <w:right w:val="single" w:sz="4" w:space="0" w:color="auto"/>
            </w:tcBorders>
            <w:shd w:val="clear" w:color="auto" w:fill="auto"/>
            <w:vAlign w:val="center"/>
          </w:tcPr>
          <w:p w14:paraId="371D01AC"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316</w:t>
            </w:r>
          </w:p>
        </w:tc>
        <w:tc>
          <w:tcPr>
            <w:tcW w:w="1177" w:type="dxa"/>
            <w:tcBorders>
              <w:top w:val="single" w:sz="4" w:space="0" w:color="auto"/>
              <w:left w:val="nil"/>
              <w:bottom w:val="single" w:sz="4" w:space="0" w:color="auto"/>
              <w:right w:val="single" w:sz="4" w:space="0" w:color="auto"/>
            </w:tcBorders>
            <w:shd w:val="clear" w:color="auto" w:fill="auto"/>
            <w:vAlign w:val="center"/>
          </w:tcPr>
          <w:p w14:paraId="6ED60051" w14:textId="77777777" w:rsidR="009175A4" w:rsidRPr="00107C19" w:rsidRDefault="009175A4" w:rsidP="00167353">
            <w:pPr>
              <w:pStyle w:val="TableHeading"/>
              <w:jc w:val="center"/>
              <w:rPr>
                <w:b w:val="0"/>
                <w:bCs/>
                <w:color w:val="000000" w:themeColor="text1"/>
              </w:rPr>
            </w:pPr>
            <w:r w:rsidRPr="00107C19">
              <w:rPr>
                <w:b w:val="0"/>
                <w:bCs/>
                <w:color w:val="000000" w:themeColor="text1"/>
              </w:rPr>
              <w:t>329</w:t>
            </w:r>
          </w:p>
        </w:tc>
        <w:tc>
          <w:tcPr>
            <w:tcW w:w="1114" w:type="dxa"/>
            <w:tcBorders>
              <w:top w:val="single" w:sz="4" w:space="0" w:color="auto"/>
              <w:left w:val="nil"/>
              <w:bottom w:val="single" w:sz="4" w:space="0" w:color="auto"/>
              <w:right w:val="single" w:sz="4" w:space="0" w:color="auto"/>
            </w:tcBorders>
            <w:shd w:val="clear" w:color="auto" w:fill="auto"/>
            <w:vAlign w:val="center"/>
          </w:tcPr>
          <w:p w14:paraId="22D725A7" w14:textId="77777777" w:rsidR="009175A4" w:rsidRPr="00107C19" w:rsidRDefault="009175A4" w:rsidP="00167353">
            <w:pPr>
              <w:pStyle w:val="TableHeading"/>
              <w:jc w:val="center"/>
              <w:rPr>
                <w:b w:val="0"/>
                <w:bCs/>
                <w:color w:val="000000" w:themeColor="text1"/>
              </w:rPr>
            </w:pPr>
            <w:r w:rsidRPr="00107C19">
              <w:rPr>
                <w:b w:val="0"/>
                <w:bCs/>
                <w:color w:val="000000" w:themeColor="text1"/>
              </w:rPr>
              <w:t>322</w:t>
            </w:r>
          </w:p>
        </w:tc>
        <w:tc>
          <w:tcPr>
            <w:tcW w:w="1091" w:type="dxa"/>
            <w:tcBorders>
              <w:top w:val="single" w:sz="4" w:space="0" w:color="auto"/>
              <w:left w:val="nil"/>
              <w:bottom w:val="single" w:sz="4" w:space="0" w:color="auto"/>
              <w:right w:val="single" w:sz="4" w:space="0" w:color="auto"/>
            </w:tcBorders>
            <w:shd w:val="clear" w:color="auto" w:fill="auto"/>
            <w:vAlign w:val="center"/>
          </w:tcPr>
          <w:p w14:paraId="32CC45D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288</w:t>
            </w:r>
          </w:p>
        </w:tc>
      </w:tr>
      <w:tr w:rsidR="00107C19" w:rsidRPr="00107C19" w14:paraId="00E5AEBA"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2FF00" w14:textId="77777777" w:rsidR="009175A4" w:rsidRPr="00107C19" w:rsidRDefault="009175A4" w:rsidP="00013CB4">
            <w:pPr>
              <w:pStyle w:val="TableHeading"/>
              <w:rPr>
                <w:b w:val="0"/>
                <w:bCs/>
                <w:color w:val="000000" w:themeColor="text1"/>
              </w:rPr>
            </w:pPr>
            <w:r w:rsidRPr="00107C19">
              <w:rPr>
                <w:b w:val="0"/>
                <w:bCs/>
                <w:color w:val="000000" w:themeColor="text1"/>
              </w:rPr>
              <w:t>Partially exclusive 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377D8382"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80" w:type="dxa"/>
            <w:tcBorders>
              <w:top w:val="single" w:sz="4" w:space="0" w:color="auto"/>
              <w:left w:val="nil"/>
              <w:bottom w:val="single" w:sz="4" w:space="0" w:color="auto"/>
              <w:right w:val="single" w:sz="4" w:space="0" w:color="auto"/>
            </w:tcBorders>
            <w:shd w:val="clear" w:color="auto" w:fill="auto"/>
            <w:vAlign w:val="center"/>
          </w:tcPr>
          <w:p w14:paraId="652AEA44"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77" w:type="dxa"/>
            <w:tcBorders>
              <w:top w:val="single" w:sz="4" w:space="0" w:color="auto"/>
              <w:left w:val="nil"/>
              <w:bottom w:val="single" w:sz="4" w:space="0" w:color="auto"/>
              <w:right w:val="single" w:sz="4" w:space="0" w:color="auto"/>
            </w:tcBorders>
            <w:shd w:val="clear" w:color="auto" w:fill="auto"/>
            <w:vAlign w:val="center"/>
          </w:tcPr>
          <w:p w14:paraId="3A6A1CF4"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14" w:type="dxa"/>
            <w:tcBorders>
              <w:top w:val="single" w:sz="4" w:space="0" w:color="auto"/>
              <w:left w:val="nil"/>
              <w:bottom w:val="single" w:sz="4" w:space="0" w:color="auto"/>
              <w:right w:val="single" w:sz="4" w:space="0" w:color="auto"/>
            </w:tcBorders>
            <w:shd w:val="clear" w:color="auto" w:fill="auto"/>
            <w:vAlign w:val="center"/>
          </w:tcPr>
          <w:p w14:paraId="13E585D9"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091" w:type="dxa"/>
            <w:tcBorders>
              <w:top w:val="single" w:sz="4" w:space="0" w:color="auto"/>
              <w:left w:val="nil"/>
              <w:bottom w:val="single" w:sz="4" w:space="0" w:color="auto"/>
              <w:right w:val="single" w:sz="4" w:space="0" w:color="auto"/>
            </w:tcBorders>
            <w:shd w:val="clear" w:color="auto" w:fill="auto"/>
            <w:vAlign w:val="center"/>
          </w:tcPr>
          <w:p w14:paraId="674C9B10" w14:textId="77777777" w:rsidR="009175A4" w:rsidRPr="00107C19" w:rsidRDefault="009175A4" w:rsidP="00167353">
            <w:pPr>
              <w:pStyle w:val="TableHeading"/>
              <w:jc w:val="center"/>
              <w:rPr>
                <w:b w:val="0"/>
                <w:bCs/>
                <w:color w:val="000000" w:themeColor="text1"/>
              </w:rPr>
            </w:pPr>
            <w:r w:rsidRPr="00107C19">
              <w:rPr>
                <w:b w:val="0"/>
                <w:bCs/>
                <w:color w:val="000000" w:themeColor="text1"/>
              </w:rPr>
              <w:t>5</w:t>
            </w:r>
          </w:p>
        </w:tc>
      </w:tr>
      <w:tr w:rsidR="00107C19" w:rsidRPr="00107C19" w14:paraId="214CFA5C"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CB6FE" w14:textId="77777777" w:rsidR="009175A4" w:rsidRPr="00107C19" w:rsidRDefault="009175A4" w:rsidP="00013CB4">
            <w:pPr>
              <w:pStyle w:val="TableHeading"/>
              <w:rPr>
                <w:b w:val="0"/>
                <w:bCs/>
                <w:color w:val="000000" w:themeColor="text1"/>
              </w:rPr>
            </w:pPr>
            <w:r w:rsidRPr="00107C19">
              <w:rPr>
                <w:b w:val="0"/>
                <w:bCs/>
                <w:color w:val="000000" w:themeColor="text1"/>
              </w:rPr>
              <w:t>Non-exclusive 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13B4E23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177</w:t>
            </w:r>
          </w:p>
        </w:tc>
        <w:tc>
          <w:tcPr>
            <w:tcW w:w="1180" w:type="dxa"/>
            <w:tcBorders>
              <w:top w:val="single" w:sz="4" w:space="0" w:color="auto"/>
              <w:left w:val="nil"/>
              <w:bottom w:val="single" w:sz="4" w:space="0" w:color="auto"/>
              <w:right w:val="single" w:sz="4" w:space="0" w:color="auto"/>
            </w:tcBorders>
            <w:shd w:val="clear" w:color="auto" w:fill="auto"/>
            <w:vAlign w:val="center"/>
          </w:tcPr>
          <w:p w14:paraId="1D569F25"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241</w:t>
            </w:r>
          </w:p>
        </w:tc>
        <w:tc>
          <w:tcPr>
            <w:tcW w:w="1177" w:type="dxa"/>
            <w:tcBorders>
              <w:top w:val="single" w:sz="4" w:space="0" w:color="auto"/>
              <w:left w:val="nil"/>
              <w:bottom w:val="single" w:sz="4" w:space="0" w:color="auto"/>
              <w:right w:val="single" w:sz="4" w:space="0" w:color="auto"/>
            </w:tcBorders>
            <w:shd w:val="clear" w:color="auto" w:fill="auto"/>
            <w:vAlign w:val="center"/>
          </w:tcPr>
          <w:p w14:paraId="1F24162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276</w:t>
            </w:r>
          </w:p>
        </w:tc>
        <w:tc>
          <w:tcPr>
            <w:tcW w:w="1114" w:type="dxa"/>
            <w:tcBorders>
              <w:top w:val="single" w:sz="4" w:space="0" w:color="auto"/>
              <w:left w:val="nil"/>
              <w:bottom w:val="single" w:sz="4" w:space="0" w:color="auto"/>
              <w:right w:val="single" w:sz="4" w:space="0" w:color="auto"/>
            </w:tcBorders>
            <w:shd w:val="clear" w:color="auto" w:fill="auto"/>
            <w:vAlign w:val="center"/>
          </w:tcPr>
          <w:p w14:paraId="4671CB2D"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295</w:t>
            </w:r>
          </w:p>
        </w:tc>
        <w:tc>
          <w:tcPr>
            <w:tcW w:w="1091" w:type="dxa"/>
            <w:tcBorders>
              <w:top w:val="single" w:sz="4" w:space="0" w:color="auto"/>
              <w:left w:val="nil"/>
              <w:bottom w:val="single" w:sz="4" w:space="0" w:color="auto"/>
              <w:right w:val="single" w:sz="4" w:space="0" w:color="auto"/>
            </w:tcBorders>
            <w:shd w:val="clear" w:color="auto" w:fill="auto"/>
            <w:vAlign w:val="center"/>
          </w:tcPr>
          <w:p w14:paraId="168C595D"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333</w:t>
            </w:r>
          </w:p>
        </w:tc>
      </w:tr>
      <w:tr w:rsidR="00107C19" w:rsidRPr="00107C19" w14:paraId="6819E17D" w14:textId="77777777" w:rsidTr="00167353">
        <w:trPr>
          <w:trHeight w:val="345"/>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D7065" w14:textId="77777777" w:rsidR="009175A4" w:rsidRPr="00107C19" w:rsidRDefault="009175A4" w:rsidP="00013CB4">
            <w:pPr>
              <w:pStyle w:val="TableHeading"/>
              <w:rPr>
                <w:b w:val="0"/>
                <w:bCs/>
                <w:color w:val="000000" w:themeColor="text1"/>
              </w:rPr>
            </w:pPr>
            <w:r w:rsidRPr="00107C19">
              <w:rPr>
                <w:b w:val="0"/>
                <w:bCs/>
                <w:color w:val="000000" w:themeColor="text1"/>
              </w:rPr>
              <w:t>Income-bearing Invention licenses</w:t>
            </w:r>
            <w:r w:rsidRPr="00107C19">
              <w:rPr>
                <w:b w:val="0"/>
                <w:bCs/>
                <w:color w:val="000000" w:themeColor="text1"/>
                <w:vertAlign w:val="superscript"/>
              </w:rPr>
              <w:t>6</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673D856A" w14:textId="77777777" w:rsidR="009175A4" w:rsidRPr="00107C19" w:rsidRDefault="009175A4" w:rsidP="00167353">
            <w:pPr>
              <w:pStyle w:val="TableHeading"/>
              <w:jc w:val="center"/>
              <w:rPr>
                <w:b w:val="0"/>
                <w:bCs/>
                <w:color w:val="000000" w:themeColor="text1"/>
              </w:rPr>
            </w:pPr>
            <w:r w:rsidRPr="00107C19">
              <w:rPr>
                <w:b w:val="0"/>
                <w:bCs/>
                <w:color w:val="000000" w:themeColor="text1"/>
              </w:rPr>
              <w:t>376</w:t>
            </w:r>
          </w:p>
        </w:tc>
        <w:tc>
          <w:tcPr>
            <w:tcW w:w="1180" w:type="dxa"/>
            <w:tcBorders>
              <w:top w:val="single" w:sz="4" w:space="0" w:color="auto"/>
              <w:left w:val="nil"/>
              <w:bottom w:val="single" w:sz="4" w:space="0" w:color="auto"/>
              <w:right w:val="single" w:sz="4" w:space="0" w:color="auto"/>
            </w:tcBorders>
            <w:shd w:val="clear" w:color="auto" w:fill="auto"/>
            <w:vAlign w:val="center"/>
          </w:tcPr>
          <w:p w14:paraId="3E343296" w14:textId="77777777" w:rsidR="009175A4" w:rsidRPr="00107C19" w:rsidRDefault="009175A4" w:rsidP="00167353">
            <w:pPr>
              <w:pStyle w:val="TableHeading"/>
              <w:jc w:val="center"/>
              <w:rPr>
                <w:b w:val="0"/>
                <w:bCs/>
                <w:color w:val="000000" w:themeColor="text1"/>
              </w:rPr>
            </w:pPr>
            <w:r w:rsidRPr="00107C19">
              <w:rPr>
                <w:b w:val="0"/>
                <w:bCs/>
                <w:color w:val="000000" w:themeColor="text1"/>
              </w:rPr>
              <w:t>392</w:t>
            </w:r>
          </w:p>
        </w:tc>
        <w:tc>
          <w:tcPr>
            <w:tcW w:w="1177" w:type="dxa"/>
            <w:tcBorders>
              <w:top w:val="single" w:sz="4" w:space="0" w:color="auto"/>
              <w:left w:val="nil"/>
              <w:bottom w:val="single" w:sz="4" w:space="0" w:color="auto"/>
              <w:right w:val="single" w:sz="4" w:space="0" w:color="auto"/>
            </w:tcBorders>
            <w:shd w:val="clear" w:color="auto" w:fill="auto"/>
            <w:vAlign w:val="center"/>
          </w:tcPr>
          <w:p w14:paraId="738580BA" w14:textId="77777777" w:rsidR="009175A4" w:rsidRPr="00107C19" w:rsidRDefault="009175A4" w:rsidP="00167353">
            <w:pPr>
              <w:pStyle w:val="TableHeading"/>
              <w:jc w:val="center"/>
              <w:rPr>
                <w:b w:val="0"/>
                <w:bCs/>
                <w:color w:val="000000" w:themeColor="text1"/>
              </w:rPr>
            </w:pPr>
            <w:r w:rsidRPr="00107C19">
              <w:rPr>
                <w:b w:val="0"/>
                <w:bCs/>
                <w:color w:val="000000" w:themeColor="text1"/>
              </w:rPr>
              <w:t>411</w:t>
            </w:r>
          </w:p>
        </w:tc>
        <w:tc>
          <w:tcPr>
            <w:tcW w:w="1114" w:type="dxa"/>
            <w:tcBorders>
              <w:top w:val="single" w:sz="4" w:space="0" w:color="auto"/>
              <w:left w:val="nil"/>
              <w:bottom w:val="single" w:sz="4" w:space="0" w:color="auto"/>
              <w:right w:val="single" w:sz="4" w:space="0" w:color="auto"/>
            </w:tcBorders>
            <w:shd w:val="clear" w:color="auto" w:fill="auto"/>
            <w:vAlign w:val="center"/>
          </w:tcPr>
          <w:p w14:paraId="63A85069" w14:textId="77777777" w:rsidR="009175A4" w:rsidRPr="00107C19" w:rsidRDefault="009175A4" w:rsidP="00167353">
            <w:pPr>
              <w:pStyle w:val="TableHeading"/>
              <w:jc w:val="center"/>
              <w:rPr>
                <w:b w:val="0"/>
                <w:bCs/>
                <w:color w:val="000000" w:themeColor="text1"/>
              </w:rPr>
            </w:pPr>
            <w:r w:rsidRPr="00107C19">
              <w:rPr>
                <w:b w:val="0"/>
                <w:bCs/>
                <w:color w:val="000000" w:themeColor="text1"/>
              </w:rPr>
              <w:t>416</w:t>
            </w:r>
          </w:p>
        </w:tc>
        <w:tc>
          <w:tcPr>
            <w:tcW w:w="1091" w:type="dxa"/>
            <w:tcBorders>
              <w:top w:val="single" w:sz="4" w:space="0" w:color="auto"/>
              <w:left w:val="nil"/>
              <w:bottom w:val="single" w:sz="4" w:space="0" w:color="auto"/>
              <w:right w:val="single" w:sz="4" w:space="0" w:color="auto"/>
            </w:tcBorders>
            <w:shd w:val="clear" w:color="auto" w:fill="auto"/>
            <w:vAlign w:val="center"/>
          </w:tcPr>
          <w:p w14:paraId="4B21BB43" w14:textId="77777777" w:rsidR="009175A4" w:rsidRPr="00107C19" w:rsidRDefault="009175A4" w:rsidP="00167353">
            <w:pPr>
              <w:pStyle w:val="TableHeading"/>
              <w:jc w:val="center"/>
              <w:rPr>
                <w:b w:val="0"/>
                <w:bCs/>
                <w:color w:val="000000" w:themeColor="text1"/>
              </w:rPr>
            </w:pPr>
            <w:r w:rsidRPr="00107C19">
              <w:rPr>
                <w:b w:val="0"/>
                <w:bCs/>
                <w:color w:val="000000" w:themeColor="text1"/>
              </w:rPr>
              <w:t>377</w:t>
            </w:r>
          </w:p>
        </w:tc>
      </w:tr>
      <w:tr w:rsidR="00107C19" w:rsidRPr="00107C19" w14:paraId="51EBB67E"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C64AE" w14:textId="77777777" w:rsidR="009175A4" w:rsidRPr="00107C19" w:rsidRDefault="009175A4" w:rsidP="00013CB4">
            <w:pPr>
              <w:pStyle w:val="TableHeading"/>
              <w:rPr>
                <w:b w:val="0"/>
                <w:bCs/>
                <w:color w:val="000000" w:themeColor="text1"/>
              </w:rPr>
            </w:pPr>
            <w:r w:rsidRPr="00107C19">
              <w:rPr>
                <w:b w:val="0"/>
                <w:bCs/>
                <w:color w:val="000000" w:themeColor="text1"/>
              </w:rPr>
              <w:t>Exclusive income-bearing invention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EDF531B"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299</w:t>
            </w:r>
          </w:p>
        </w:tc>
        <w:tc>
          <w:tcPr>
            <w:tcW w:w="1180" w:type="dxa"/>
            <w:tcBorders>
              <w:top w:val="single" w:sz="4" w:space="0" w:color="auto"/>
              <w:left w:val="nil"/>
              <w:bottom w:val="single" w:sz="4" w:space="0" w:color="auto"/>
              <w:right w:val="single" w:sz="4" w:space="0" w:color="auto"/>
            </w:tcBorders>
            <w:shd w:val="clear" w:color="auto" w:fill="auto"/>
            <w:vAlign w:val="center"/>
          </w:tcPr>
          <w:p w14:paraId="3884223A"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300</w:t>
            </w:r>
          </w:p>
        </w:tc>
        <w:tc>
          <w:tcPr>
            <w:tcW w:w="1177" w:type="dxa"/>
            <w:tcBorders>
              <w:top w:val="single" w:sz="4" w:space="0" w:color="auto"/>
              <w:left w:val="nil"/>
              <w:bottom w:val="single" w:sz="4" w:space="0" w:color="auto"/>
              <w:right w:val="single" w:sz="4" w:space="0" w:color="auto"/>
            </w:tcBorders>
            <w:shd w:val="clear" w:color="auto" w:fill="auto"/>
            <w:vAlign w:val="center"/>
          </w:tcPr>
          <w:p w14:paraId="4021E8BB"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313</w:t>
            </w:r>
          </w:p>
        </w:tc>
        <w:tc>
          <w:tcPr>
            <w:tcW w:w="1114" w:type="dxa"/>
            <w:tcBorders>
              <w:top w:val="single" w:sz="4" w:space="0" w:color="auto"/>
              <w:left w:val="nil"/>
              <w:bottom w:val="single" w:sz="4" w:space="0" w:color="auto"/>
              <w:right w:val="single" w:sz="4" w:space="0" w:color="auto"/>
            </w:tcBorders>
            <w:shd w:val="clear" w:color="auto" w:fill="auto"/>
            <w:vAlign w:val="center"/>
          </w:tcPr>
          <w:p w14:paraId="6FEA29B8"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316</w:t>
            </w:r>
          </w:p>
        </w:tc>
        <w:tc>
          <w:tcPr>
            <w:tcW w:w="1091" w:type="dxa"/>
            <w:tcBorders>
              <w:top w:val="single" w:sz="4" w:space="0" w:color="auto"/>
              <w:left w:val="nil"/>
              <w:bottom w:val="single" w:sz="4" w:space="0" w:color="auto"/>
              <w:right w:val="single" w:sz="4" w:space="0" w:color="auto"/>
            </w:tcBorders>
            <w:shd w:val="clear" w:color="auto" w:fill="auto"/>
            <w:vAlign w:val="center"/>
          </w:tcPr>
          <w:p w14:paraId="054F653E" w14:textId="77777777" w:rsidR="009175A4" w:rsidRPr="00107C19" w:rsidRDefault="009175A4" w:rsidP="00167353">
            <w:pPr>
              <w:pStyle w:val="TableHeading"/>
              <w:jc w:val="center"/>
              <w:rPr>
                <w:b w:val="0"/>
                <w:bCs/>
                <w:color w:val="000000" w:themeColor="text1"/>
              </w:rPr>
            </w:pPr>
            <w:r w:rsidRPr="00107C19">
              <w:rPr>
                <w:b w:val="0"/>
                <w:bCs/>
                <w:color w:val="000000" w:themeColor="text1"/>
              </w:rPr>
              <w:t>269</w:t>
            </w:r>
          </w:p>
        </w:tc>
      </w:tr>
      <w:tr w:rsidR="00107C19" w:rsidRPr="00107C19" w14:paraId="1F6614B9"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5AC4D7BD" w14:textId="77777777" w:rsidR="009175A4" w:rsidRPr="00107C19" w:rsidRDefault="009175A4" w:rsidP="00013CB4">
            <w:pPr>
              <w:pStyle w:val="TableHeading"/>
              <w:rPr>
                <w:b w:val="0"/>
                <w:bCs/>
                <w:color w:val="000000" w:themeColor="text1"/>
              </w:rPr>
            </w:pPr>
            <w:r w:rsidRPr="00107C19">
              <w:rPr>
                <w:b w:val="0"/>
                <w:bCs/>
                <w:color w:val="000000" w:themeColor="text1"/>
              </w:rPr>
              <w:t>Partially exclusive income-bearing invention licenses</w:t>
            </w:r>
          </w:p>
        </w:tc>
        <w:tc>
          <w:tcPr>
            <w:tcW w:w="1353" w:type="dxa"/>
            <w:tcBorders>
              <w:top w:val="nil"/>
              <w:left w:val="nil"/>
              <w:bottom w:val="single" w:sz="4" w:space="0" w:color="auto"/>
              <w:right w:val="single" w:sz="4" w:space="0" w:color="auto"/>
            </w:tcBorders>
            <w:noWrap/>
            <w:vAlign w:val="center"/>
          </w:tcPr>
          <w:p w14:paraId="4C9550F1"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80" w:type="dxa"/>
            <w:tcBorders>
              <w:top w:val="nil"/>
              <w:left w:val="nil"/>
              <w:bottom w:val="single" w:sz="4" w:space="0" w:color="auto"/>
              <w:right w:val="single" w:sz="4" w:space="0" w:color="auto"/>
            </w:tcBorders>
            <w:vAlign w:val="center"/>
          </w:tcPr>
          <w:p w14:paraId="174EFAE1"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77" w:type="dxa"/>
            <w:tcBorders>
              <w:top w:val="nil"/>
              <w:left w:val="nil"/>
              <w:bottom w:val="single" w:sz="4" w:space="0" w:color="auto"/>
              <w:right w:val="single" w:sz="4" w:space="0" w:color="auto"/>
            </w:tcBorders>
            <w:vAlign w:val="center"/>
          </w:tcPr>
          <w:p w14:paraId="4BFB4E99"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114" w:type="dxa"/>
            <w:tcBorders>
              <w:top w:val="nil"/>
              <w:left w:val="nil"/>
              <w:bottom w:val="single" w:sz="4" w:space="0" w:color="auto"/>
              <w:right w:val="single" w:sz="4" w:space="0" w:color="auto"/>
            </w:tcBorders>
            <w:vAlign w:val="center"/>
          </w:tcPr>
          <w:p w14:paraId="03031AA7" w14:textId="77777777" w:rsidR="009175A4" w:rsidRPr="00107C19" w:rsidRDefault="009175A4" w:rsidP="00167353">
            <w:pPr>
              <w:pStyle w:val="TableHeading"/>
              <w:jc w:val="center"/>
              <w:rPr>
                <w:b w:val="0"/>
                <w:bCs/>
                <w:color w:val="000000" w:themeColor="text1"/>
              </w:rPr>
            </w:pPr>
            <w:r w:rsidRPr="00107C19">
              <w:rPr>
                <w:b w:val="0"/>
                <w:bCs/>
                <w:color w:val="000000" w:themeColor="text1"/>
              </w:rPr>
              <w:t>7</w:t>
            </w:r>
          </w:p>
        </w:tc>
        <w:tc>
          <w:tcPr>
            <w:tcW w:w="1091" w:type="dxa"/>
            <w:tcBorders>
              <w:top w:val="nil"/>
              <w:left w:val="nil"/>
              <w:bottom w:val="single" w:sz="4" w:space="0" w:color="auto"/>
              <w:right w:val="single" w:sz="4" w:space="0" w:color="auto"/>
            </w:tcBorders>
            <w:vAlign w:val="center"/>
          </w:tcPr>
          <w:p w14:paraId="29222EB1" w14:textId="77777777" w:rsidR="009175A4" w:rsidRPr="00107C19" w:rsidRDefault="009175A4" w:rsidP="00167353">
            <w:pPr>
              <w:pStyle w:val="TableHeading"/>
              <w:jc w:val="center"/>
              <w:rPr>
                <w:b w:val="0"/>
                <w:bCs/>
                <w:color w:val="000000" w:themeColor="text1"/>
              </w:rPr>
            </w:pPr>
            <w:r w:rsidRPr="00107C19">
              <w:rPr>
                <w:b w:val="0"/>
                <w:bCs/>
                <w:color w:val="000000" w:themeColor="text1"/>
              </w:rPr>
              <w:t>5</w:t>
            </w:r>
          </w:p>
        </w:tc>
      </w:tr>
      <w:tr w:rsidR="00107C19" w:rsidRPr="00107C19" w14:paraId="4BDDCB3E"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2A35AE36" w14:textId="77777777" w:rsidR="009175A4" w:rsidRPr="00107C19" w:rsidRDefault="009175A4" w:rsidP="00013CB4">
            <w:pPr>
              <w:pStyle w:val="TableHeading"/>
              <w:rPr>
                <w:b w:val="0"/>
                <w:bCs/>
                <w:color w:val="000000" w:themeColor="text1"/>
              </w:rPr>
            </w:pPr>
            <w:r w:rsidRPr="00107C19">
              <w:rPr>
                <w:b w:val="0"/>
                <w:bCs/>
                <w:color w:val="000000" w:themeColor="text1"/>
              </w:rPr>
              <w:t>Non-exclusive income-bearing invention licenses</w:t>
            </w:r>
          </w:p>
        </w:tc>
        <w:tc>
          <w:tcPr>
            <w:tcW w:w="1353" w:type="dxa"/>
            <w:tcBorders>
              <w:top w:val="nil"/>
              <w:left w:val="nil"/>
              <w:bottom w:val="single" w:sz="4" w:space="0" w:color="auto"/>
              <w:right w:val="single" w:sz="4" w:space="0" w:color="auto"/>
            </w:tcBorders>
            <w:noWrap/>
            <w:vAlign w:val="center"/>
          </w:tcPr>
          <w:p w14:paraId="68691F83" w14:textId="77777777" w:rsidR="009175A4" w:rsidRPr="00107C19" w:rsidRDefault="009175A4" w:rsidP="00167353">
            <w:pPr>
              <w:pStyle w:val="TableHeading"/>
              <w:jc w:val="center"/>
              <w:rPr>
                <w:b w:val="0"/>
                <w:bCs/>
                <w:color w:val="000000" w:themeColor="text1"/>
              </w:rPr>
            </w:pPr>
            <w:r w:rsidRPr="00107C19">
              <w:rPr>
                <w:b w:val="0"/>
                <w:bCs/>
                <w:color w:val="000000" w:themeColor="text1"/>
              </w:rPr>
              <w:t>70</w:t>
            </w:r>
          </w:p>
        </w:tc>
        <w:tc>
          <w:tcPr>
            <w:tcW w:w="1180" w:type="dxa"/>
            <w:tcBorders>
              <w:top w:val="nil"/>
              <w:left w:val="nil"/>
              <w:bottom w:val="single" w:sz="4" w:space="0" w:color="auto"/>
              <w:right w:val="single" w:sz="4" w:space="0" w:color="auto"/>
            </w:tcBorders>
            <w:vAlign w:val="center"/>
          </w:tcPr>
          <w:p w14:paraId="23EAD2E3" w14:textId="77777777" w:rsidR="009175A4" w:rsidRPr="00107C19" w:rsidRDefault="009175A4" w:rsidP="00167353">
            <w:pPr>
              <w:pStyle w:val="TableHeading"/>
              <w:jc w:val="center"/>
              <w:rPr>
                <w:b w:val="0"/>
                <w:bCs/>
                <w:color w:val="000000" w:themeColor="text1"/>
              </w:rPr>
            </w:pPr>
            <w:r w:rsidRPr="00107C19">
              <w:rPr>
                <w:b w:val="0"/>
                <w:bCs/>
                <w:color w:val="000000" w:themeColor="text1"/>
              </w:rPr>
              <w:t>85</w:t>
            </w:r>
          </w:p>
        </w:tc>
        <w:tc>
          <w:tcPr>
            <w:tcW w:w="1177" w:type="dxa"/>
            <w:tcBorders>
              <w:top w:val="nil"/>
              <w:left w:val="nil"/>
              <w:bottom w:val="single" w:sz="4" w:space="0" w:color="auto"/>
              <w:right w:val="single" w:sz="4" w:space="0" w:color="auto"/>
            </w:tcBorders>
            <w:vAlign w:val="center"/>
          </w:tcPr>
          <w:p w14:paraId="02A91055" w14:textId="77777777" w:rsidR="009175A4" w:rsidRPr="00107C19" w:rsidRDefault="009175A4" w:rsidP="00167353">
            <w:pPr>
              <w:pStyle w:val="TableHeading"/>
              <w:jc w:val="center"/>
              <w:rPr>
                <w:b w:val="0"/>
                <w:bCs/>
                <w:color w:val="000000" w:themeColor="text1"/>
              </w:rPr>
            </w:pPr>
            <w:r w:rsidRPr="00107C19">
              <w:rPr>
                <w:b w:val="0"/>
                <w:bCs/>
                <w:color w:val="000000" w:themeColor="text1"/>
              </w:rPr>
              <w:t>91</w:t>
            </w:r>
          </w:p>
        </w:tc>
        <w:tc>
          <w:tcPr>
            <w:tcW w:w="1114" w:type="dxa"/>
            <w:tcBorders>
              <w:top w:val="nil"/>
              <w:left w:val="nil"/>
              <w:bottom w:val="single" w:sz="4" w:space="0" w:color="auto"/>
              <w:right w:val="single" w:sz="4" w:space="0" w:color="auto"/>
            </w:tcBorders>
            <w:vAlign w:val="center"/>
          </w:tcPr>
          <w:p w14:paraId="2AE43365" w14:textId="77777777" w:rsidR="009175A4" w:rsidRPr="00107C19" w:rsidRDefault="009175A4" w:rsidP="00167353">
            <w:pPr>
              <w:pStyle w:val="TableHeading"/>
              <w:jc w:val="center"/>
              <w:rPr>
                <w:b w:val="0"/>
                <w:bCs/>
                <w:color w:val="000000" w:themeColor="text1"/>
              </w:rPr>
            </w:pPr>
            <w:r w:rsidRPr="00107C19">
              <w:rPr>
                <w:b w:val="0"/>
                <w:bCs/>
                <w:color w:val="000000" w:themeColor="text1"/>
              </w:rPr>
              <w:t>93</w:t>
            </w:r>
          </w:p>
        </w:tc>
        <w:tc>
          <w:tcPr>
            <w:tcW w:w="1091" w:type="dxa"/>
            <w:tcBorders>
              <w:top w:val="nil"/>
              <w:left w:val="nil"/>
              <w:bottom w:val="single" w:sz="4" w:space="0" w:color="auto"/>
              <w:right w:val="single" w:sz="4" w:space="0" w:color="auto"/>
            </w:tcBorders>
            <w:vAlign w:val="center"/>
          </w:tcPr>
          <w:p w14:paraId="0F946B1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106</w:t>
            </w:r>
          </w:p>
        </w:tc>
      </w:tr>
      <w:tr w:rsidR="00107C19" w:rsidRPr="00107C19" w14:paraId="3933FA42" w14:textId="77777777" w:rsidTr="00167353">
        <w:trPr>
          <w:trHeight w:val="345"/>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ADA99" w14:textId="77777777" w:rsidR="009175A4" w:rsidRPr="00107C19" w:rsidRDefault="009175A4" w:rsidP="00013CB4">
            <w:pPr>
              <w:pStyle w:val="TableHeading"/>
              <w:rPr>
                <w:b w:val="0"/>
                <w:bCs/>
                <w:color w:val="000000" w:themeColor="text1"/>
              </w:rPr>
            </w:pPr>
            <w:r w:rsidRPr="00107C19">
              <w:rPr>
                <w:b w:val="0"/>
                <w:bCs/>
                <w:color w:val="000000" w:themeColor="text1"/>
              </w:rPr>
              <w:t>Other licenses</w:t>
            </w:r>
            <w:r w:rsidRPr="00107C19">
              <w:rPr>
                <w:b w:val="0"/>
                <w:bCs/>
                <w:color w:val="000000" w:themeColor="text1"/>
                <w:vertAlign w:val="superscript"/>
              </w:rPr>
              <w:t xml:space="preserve">7 </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7F30E79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120</w:t>
            </w:r>
          </w:p>
        </w:tc>
        <w:tc>
          <w:tcPr>
            <w:tcW w:w="1180" w:type="dxa"/>
            <w:tcBorders>
              <w:top w:val="single" w:sz="4" w:space="0" w:color="auto"/>
              <w:left w:val="nil"/>
              <w:bottom w:val="single" w:sz="4" w:space="0" w:color="auto"/>
              <w:right w:val="single" w:sz="4" w:space="0" w:color="auto"/>
            </w:tcBorders>
            <w:shd w:val="clear" w:color="auto" w:fill="auto"/>
            <w:vAlign w:val="center"/>
          </w:tcPr>
          <w:p w14:paraId="123154B0"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172</w:t>
            </w:r>
          </w:p>
        </w:tc>
        <w:tc>
          <w:tcPr>
            <w:tcW w:w="1177" w:type="dxa"/>
            <w:tcBorders>
              <w:top w:val="single" w:sz="4" w:space="0" w:color="auto"/>
              <w:left w:val="nil"/>
              <w:bottom w:val="single" w:sz="4" w:space="0" w:color="auto"/>
              <w:right w:val="single" w:sz="4" w:space="0" w:color="auto"/>
            </w:tcBorders>
            <w:shd w:val="clear" w:color="auto" w:fill="auto"/>
            <w:vAlign w:val="center"/>
          </w:tcPr>
          <w:p w14:paraId="098AACB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201</w:t>
            </w:r>
          </w:p>
        </w:tc>
        <w:tc>
          <w:tcPr>
            <w:tcW w:w="1114" w:type="dxa"/>
            <w:tcBorders>
              <w:top w:val="single" w:sz="4" w:space="0" w:color="auto"/>
              <w:left w:val="nil"/>
              <w:bottom w:val="single" w:sz="4" w:space="0" w:color="auto"/>
              <w:right w:val="single" w:sz="4" w:space="0" w:color="auto"/>
            </w:tcBorders>
            <w:shd w:val="clear" w:color="auto" w:fill="auto"/>
            <w:vAlign w:val="center"/>
          </w:tcPr>
          <w:p w14:paraId="280FEA74"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218</w:t>
            </w:r>
          </w:p>
        </w:tc>
        <w:tc>
          <w:tcPr>
            <w:tcW w:w="1091" w:type="dxa"/>
            <w:tcBorders>
              <w:top w:val="single" w:sz="4" w:space="0" w:color="auto"/>
              <w:left w:val="nil"/>
              <w:bottom w:val="single" w:sz="4" w:space="0" w:color="auto"/>
              <w:right w:val="single" w:sz="4" w:space="0" w:color="auto"/>
            </w:tcBorders>
            <w:shd w:val="clear" w:color="auto" w:fill="auto"/>
            <w:vAlign w:val="center"/>
          </w:tcPr>
          <w:p w14:paraId="05A22A0D"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243</w:t>
            </w:r>
          </w:p>
        </w:tc>
      </w:tr>
      <w:tr w:rsidR="00107C19" w:rsidRPr="00107C19" w14:paraId="7E1BC10E"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47F09" w14:textId="77777777" w:rsidR="009175A4" w:rsidRPr="00107C19" w:rsidRDefault="009175A4" w:rsidP="00013CB4">
            <w:pPr>
              <w:pStyle w:val="TableHeading"/>
              <w:rPr>
                <w:b w:val="0"/>
                <w:bCs/>
                <w:color w:val="000000" w:themeColor="text1"/>
              </w:rPr>
            </w:pPr>
            <w:r w:rsidRPr="00107C19">
              <w:rPr>
                <w:b w:val="0"/>
                <w:bCs/>
                <w:color w:val="000000" w:themeColor="text1"/>
              </w:rPr>
              <w:t>Exclusive other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1F5A3392"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w:t>
            </w:r>
          </w:p>
        </w:tc>
        <w:tc>
          <w:tcPr>
            <w:tcW w:w="1180" w:type="dxa"/>
            <w:tcBorders>
              <w:top w:val="single" w:sz="4" w:space="0" w:color="auto"/>
              <w:left w:val="nil"/>
              <w:bottom w:val="single" w:sz="4" w:space="0" w:color="auto"/>
              <w:right w:val="single" w:sz="4" w:space="0" w:color="auto"/>
            </w:tcBorders>
            <w:shd w:val="clear" w:color="auto" w:fill="auto"/>
            <w:vAlign w:val="center"/>
          </w:tcPr>
          <w:p w14:paraId="62791D7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c>
          <w:tcPr>
            <w:tcW w:w="1177" w:type="dxa"/>
            <w:tcBorders>
              <w:top w:val="single" w:sz="4" w:space="0" w:color="auto"/>
              <w:left w:val="nil"/>
              <w:bottom w:val="single" w:sz="4" w:space="0" w:color="auto"/>
              <w:right w:val="single" w:sz="4" w:space="0" w:color="auto"/>
            </w:tcBorders>
            <w:shd w:val="clear" w:color="auto" w:fill="auto"/>
            <w:vAlign w:val="center"/>
          </w:tcPr>
          <w:p w14:paraId="5B6C254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c>
          <w:tcPr>
            <w:tcW w:w="1114" w:type="dxa"/>
            <w:tcBorders>
              <w:top w:val="single" w:sz="4" w:space="0" w:color="auto"/>
              <w:left w:val="nil"/>
              <w:bottom w:val="single" w:sz="4" w:space="0" w:color="auto"/>
              <w:right w:val="single" w:sz="4" w:space="0" w:color="auto"/>
            </w:tcBorders>
            <w:shd w:val="clear" w:color="auto" w:fill="auto"/>
            <w:vAlign w:val="center"/>
          </w:tcPr>
          <w:p w14:paraId="5EDE5CA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c>
          <w:tcPr>
            <w:tcW w:w="1091" w:type="dxa"/>
            <w:tcBorders>
              <w:top w:val="single" w:sz="4" w:space="0" w:color="auto"/>
              <w:left w:val="nil"/>
              <w:bottom w:val="single" w:sz="4" w:space="0" w:color="auto"/>
              <w:right w:val="single" w:sz="4" w:space="0" w:color="auto"/>
            </w:tcBorders>
            <w:shd w:val="clear" w:color="auto" w:fill="auto"/>
            <w:vAlign w:val="center"/>
          </w:tcPr>
          <w:p w14:paraId="13960A74"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w:t>
            </w:r>
          </w:p>
        </w:tc>
      </w:tr>
      <w:tr w:rsidR="00107C19" w:rsidRPr="00107C19" w14:paraId="4E971BAD"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A29C7" w14:textId="77777777" w:rsidR="009175A4" w:rsidRPr="00107C19" w:rsidRDefault="009175A4" w:rsidP="00013CB4">
            <w:pPr>
              <w:pStyle w:val="TableHeading"/>
              <w:rPr>
                <w:b w:val="0"/>
                <w:bCs/>
                <w:color w:val="000000" w:themeColor="text1"/>
              </w:rPr>
            </w:pPr>
            <w:r w:rsidRPr="00107C19">
              <w:rPr>
                <w:b w:val="0"/>
                <w:bCs/>
                <w:color w:val="000000" w:themeColor="text1"/>
              </w:rPr>
              <w:t>Partially exclusive other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2BB17C27"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80" w:type="dxa"/>
            <w:tcBorders>
              <w:top w:val="single" w:sz="4" w:space="0" w:color="auto"/>
              <w:left w:val="nil"/>
              <w:bottom w:val="single" w:sz="4" w:space="0" w:color="auto"/>
              <w:right w:val="single" w:sz="4" w:space="0" w:color="auto"/>
            </w:tcBorders>
            <w:shd w:val="clear" w:color="auto" w:fill="auto"/>
            <w:vAlign w:val="center"/>
          </w:tcPr>
          <w:p w14:paraId="52F4BB3C"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77" w:type="dxa"/>
            <w:tcBorders>
              <w:top w:val="single" w:sz="4" w:space="0" w:color="auto"/>
              <w:left w:val="nil"/>
              <w:bottom w:val="single" w:sz="4" w:space="0" w:color="auto"/>
              <w:right w:val="single" w:sz="4" w:space="0" w:color="auto"/>
            </w:tcBorders>
            <w:shd w:val="clear" w:color="auto" w:fill="auto"/>
            <w:vAlign w:val="center"/>
          </w:tcPr>
          <w:p w14:paraId="11BFC930"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14" w:type="dxa"/>
            <w:tcBorders>
              <w:top w:val="single" w:sz="4" w:space="0" w:color="auto"/>
              <w:left w:val="nil"/>
              <w:bottom w:val="single" w:sz="4" w:space="0" w:color="auto"/>
              <w:right w:val="single" w:sz="4" w:space="0" w:color="auto"/>
            </w:tcBorders>
            <w:shd w:val="clear" w:color="auto" w:fill="auto"/>
            <w:vAlign w:val="center"/>
          </w:tcPr>
          <w:p w14:paraId="0595E87E"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single" w:sz="4" w:space="0" w:color="auto"/>
              <w:left w:val="nil"/>
              <w:bottom w:val="single" w:sz="4" w:space="0" w:color="auto"/>
              <w:right w:val="single" w:sz="4" w:space="0" w:color="auto"/>
            </w:tcBorders>
            <w:shd w:val="clear" w:color="auto" w:fill="auto"/>
            <w:vAlign w:val="center"/>
          </w:tcPr>
          <w:p w14:paraId="6304EA23"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r w:rsidR="00107C19" w:rsidRPr="00107C19" w14:paraId="58724EE6"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DA952" w14:textId="77777777" w:rsidR="009175A4" w:rsidRPr="00107C19" w:rsidRDefault="009175A4" w:rsidP="00013CB4">
            <w:pPr>
              <w:pStyle w:val="TableHeading"/>
              <w:rPr>
                <w:b w:val="0"/>
                <w:bCs/>
                <w:color w:val="000000" w:themeColor="text1"/>
              </w:rPr>
            </w:pPr>
            <w:r w:rsidRPr="00107C19">
              <w:rPr>
                <w:b w:val="0"/>
                <w:bCs/>
                <w:color w:val="000000" w:themeColor="text1"/>
              </w:rPr>
              <w:t>Non-exclusive other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252570B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107</w:t>
            </w:r>
          </w:p>
        </w:tc>
        <w:tc>
          <w:tcPr>
            <w:tcW w:w="1180" w:type="dxa"/>
            <w:tcBorders>
              <w:top w:val="single" w:sz="4" w:space="0" w:color="auto"/>
              <w:left w:val="nil"/>
              <w:bottom w:val="single" w:sz="4" w:space="0" w:color="auto"/>
              <w:right w:val="single" w:sz="4" w:space="0" w:color="auto"/>
            </w:tcBorders>
            <w:shd w:val="clear" w:color="auto" w:fill="auto"/>
            <w:vAlign w:val="center"/>
          </w:tcPr>
          <w:p w14:paraId="2862636B"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156</w:t>
            </w:r>
          </w:p>
        </w:tc>
        <w:tc>
          <w:tcPr>
            <w:tcW w:w="1177" w:type="dxa"/>
            <w:tcBorders>
              <w:top w:val="single" w:sz="4" w:space="0" w:color="auto"/>
              <w:left w:val="nil"/>
              <w:bottom w:val="single" w:sz="4" w:space="0" w:color="auto"/>
              <w:right w:val="single" w:sz="4" w:space="0" w:color="auto"/>
            </w:tcBorders>
            <w:shd w:val="clear" w:color="auto" w:fill="auto"/>
            <w:vAlign w:val="center"/>
          </w:tcPr>
          <w:p w14:paraId="618CBD29"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185</w:t>
            </w:r>
          </w:p>
        </w:tc>
        <w:tc>
          <w:tcPr>
            <w:tcW w:w="1114" w:type="dxa"/>
            <w:tcBorders>
              <w:top w:val="single" w:sz="4" w:space="0" w:color="auto"/>
              <w:left w:val="nil"/>
              <w:bottom w:val="single" w:sz="4" w:space="0" w:color="auto"/>
              <w:right w:val="single" w:sz="4" w:space="0" w:color="auto"/>
            </w:tcBorders>
            <w:shd w:val="clear" w:color="auto" w:fill="auto"/>
            <w:vAlign w:val="center"/>
          </w:tcPr>
          <w:p w14:paraId="6F41BE0F"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202</w:t>
            </w:r>
          </w:p>
        </w:tc>
        <w:tc>
          <w:tcPr>
            <w:tcW w:w="1091" w:type="dxa"/>
            <w:tcBorders>
              <w:top w:val="single" w:sz="4" w:space="0" w:color="auto"/>
              <w:left w:val="nil"/>
              <w:bottom w:val="single" w:sz="4" w:space="0" w:color="auto"/>
              <w:right w:val="single" w:sz="4" w:space="0" w:color="auto"/>
            </w:tcBorders>
            <w:shd w:val="clear" w:color="auto" w:fill="auto"/>
            <w:vAlign w:val="center"/>
          </w:tcPr>
          <w:p w14:paraId="4825426E"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227</w:t>
            </w:r>
          </w:p>
        </w:tc>
      </w:tr>
      <w:tr w:rsidR="00107C19" w:rsidRPr="00107C19" w14:paraId="18B4E126"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9BEB3" w14:textId="77777777" w:rsidR="009175A4" w:rsidRPr="00107C19" w:rsidRDefault="009175A4" w:rsidP="00013CB4">
            <w:pPr>
              <w:pStyle w:val="TableHeading"/>
              <w:rPr>
                <w:b w:val="0"/>
                <w:bCs/>
                <w:color w:val="000000" w:themeColor="text1"/>
              </w:rPr>
            </w:pPr>
            <w:r w:rsidRPr="00107C19">
              <w:rPr>
                <w:b w:val="0"/>
                <w:bCs/>
                <w:color w:val="000000" w:themeColor="text1"/>
              </w:rPr>
              <w:t>Total royalty-bearing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0C25972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125</w:t>
            </w:r>
          </w:p>
        </w:tc>
        <w:tc>
          <w:tcPr>
            <w:tcW w:w="1180" w:type="dxa"/>
            <w:tcBorders>
              <w:top w:val="single" w:sz="4" w:space="0" w:color="auto"/>
              <w:left w:val="nil"/>
              <w:bottom w:val="single" w:sz="4" w:space="0" w:color="auto"/>
              <w:right w:val="single" w:sz="4" w:space="0" w:color="auto"/>
            </w:tcBorders>
            <w:shd w:val="clear" w:color="auto" w:fill="auto"/>
            <w:vAlign w:val="center"/>
          </w:tcPr>
          <w:p w14:paraId="1924302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109</w:t>
            </w:r>
          </w:p>
        </w:tc>
        <w:tc>
          <w:tcPr>
            <w:tcW w:w="1177" w:type="dxa"/>
            <w:tcBorders>
              <w:top w:val="single" w:sz="4" w:space="0" w:color="auto"/>
              <w:left w:val="nil"/>
              <w:bottom w:val="single" w:sz="4" w:space="0" w:color="auto"/>
              <w:right w:val="single" w:sz="4" w:space="0" w:color="auto"/>
            </w:tcBorders>
            <w:shd w:val="clear" w:color="auto" w:fill="auto"/>
            <w:vAlign w:val="center"/>
          </w:tcPr>
          <w:p w14:paraId="1C58D7A3" w14:textId="77777777" w:rsidR="009175A4" w:rsidRPr="00107C19" w:rsidRDefault="009175A4" w:rsidP="00167353">
            <w:pPr>
              <w:pStyle w:val="TableHeading"/>
              <w:jc w:val="center"/>
              <w:rPr>
                <w:b w:val="0"/>
                <w:bCs/>
                <w:color w:val="000000" w:themeColor="text1"/>
              </w:rPr>
            </w:pPr>
            <w:r w:rsidRPr="00107C19">
              <w:rPr>
                <w:b w:val="0"/>
                <w:bCs/>
                <w:color w:val="000000" w:themeColor="text1"/>
              </w:rPr>
              <w:t>99</w:t>
            </w:r>
          </w:p>
        </w:tc>
        <w:tc>
          <w:tcPr>
            <w:tcW w:w="1114" w:type="dxa"/>
            <w:tcBorders>
              <w:top w:val="single" w:sz="4" w:space="0" w:color="auto"/>
              <w:left w:val="nil"/>
              <w:bottom w:val="single" w:sz="4" w:space="0" w:color="auto"/>
              <w:right w:val="single" w:sz="4" w:space="0" w:color="auto"/>
            </w:tcBorders>
            <w:shd w:val="clear" w:color="auto" w:fill="auto"/>
            <w:vAlign w:val="center"/>
          </w:tcPr>
          <w:p w14:paraId="17553EE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114</w:t>
            </w:r>
          </w:p>
        </w:tc>
        <w:tc>
          <w:tcPr>
            <w:tcW w:w="1091" w:type="dxa"/>
            <w:tcBorders>
              <w:top w:val="single" w:sz="4" w:space="0" w:color="auto"/>
              <w:left w:val="nil"/>
              <w:bottom w:val="single" w:sz="4" w:space="0" w:color="auto"/>
              <w:right w:val="single" w:sz="4" w:space="0" w:color="auto"/>
            </w:tcBorders>
            <w:shd w:val="clear" w:color="auto" w:fill="auto"/>
            <w:vAlign w:val="center"/>
          </w:tcPr>
          <w:p w14:paraId="3C5B616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146</w:t>
            </w:r>
          </w:p>
        </w:tc>
      </w:tr>
      <w:tr w:rsidR="00107C19" w:rsidRPr="00107C19" w14:paraId="0307A93B"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E26C6" w14:textId="77777777" w:rsidR="009175A4" w:rsidRPr="00107C19" w:rsidRDefault="009175A4" w:rsidP="00013CB4">
            <w:pPr>
              <w:pStyle w:val="TableHeading"/>
              <w:rPr>
                <w:b w:val="0"/>
                <w:bCs/>
                <w:color w:val="000000" w:themeColor="text1"/>
              </w:rPr>
            </w:pPr>
            <w:r w:rsidRPr="00107C19">
              <w:rPr>
                <w:b w:val="0"/>
                <w:bCs/>
                <w:color w:val="000000" w:themeColor="text1"/>
              </w:rPr>
              <w:t>Royalty-bearing invention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7B926E11"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105</w:t>
            </w:r>
          </w:p>
        </w:tc>
        <w:tc>
          <w:tcPr>
            <w:tcW w:w="1180" w:type="dxa"/>
            <w:tcBorders>
              <w:top w:val="single" w:sz="4" w:space="0" w:color="auto"/>
              <w:left w:val="nil"/>
              <w:bottom w:val="single" w:sz="4" w:space="0" w:color="auto"/>
              <w:right w:val="single" w:sz="4" w:space="0" w:color="auto"/>
            </w:tcBorders>
            <w:shd w:val="clear" w:color="auto" w:fill="auto"/>
            <w:vAlign w:val="center"/>
          </w:tcPr>
          <w:p w14:paraId="3B9570FF" w14:textId="77777777" w:rsidR="009175A4" w:rsidRPr="00107C19" w:rsidRDefault="009175A4" w:rsidP="00167353">
            <w:pPr>
              <w:pStyle w:val="TableHeading"/>
              <w:jc w:val="center"/>
              <w:rPr>
                <w:b w:val="0"/>
                <w:bCs/>
                <w:color w:val="000000" w:themeColor="text1"/>
              </w:rPr>
            </w:pPr>
            <w:r w:rsidRPr="00107C19">
              <w:rPr>
                <w:b w:val="0"/>
                <w:bCs/>
                <w:color w:val="000000" w:themeColor="text1"/>
              </w:rPr>
              <w:t>96</w:t>
            </w:r>
          </w:p>
        </w:tc>
        <w:tc>
          <w:tcPr>
            <w:tcW w:w="1177" w:type="dxa"/>
            <w:tcBorders>
              <w:top w:val="single" w:sz="4" w:space="0" w:color="auto"/>
              <w:left w:val="nil"/>
              <w:bottom w:val="single" w:sz="4" w:space="0" w:color="auto"/>
              <w:right w:val="single" w:sz="4" w:space="0" w:color="auto"/>
            </w:tcBorders>
            <w:shd w:val="clear" w:color="auto" w:fill="auto"/>
            <w:vAlign w:val="center"/>
          </w:tcPr>
          <w:p w14:paraId="6F1CB2FC" w14:textId="77777777" w:rsidR="009175A4" w:rsidRPr="00107C19" w:rsidRDefault="009175A4" w:rsidP="00167353">
            <w:pPr>
              <w:pStyle w:val="TableHeading"/>
              <w:jc w:val="center"/>
              <w:rPr>
                <w:b w:val="0"/>
                <w:bCs/>
                <w:color w:val="000000" w:themeColor="text1"/>
              </w:rPr>
            </w:pPr>
            <w:r w:rsidRPr="00107C19">
              <w:rPr>
                <w:b w:val="0"/>
                <w:bCs/>
                <w:color w:val="000000" w:themeColor="text1"/>
              </w:rPr>
              <w:t>85</w:t>
            </w:r>
          </w:p>
        </w:tc>
        <w:tc>
          <w:tcPr>
            <w:tcW w:w="1114" w:type="dxa"/>
            <w:tcBorders>
              <w:top w:val="single" w:sz="4" w:space="0" w:color="auto"/>
              <w:left w:val="nil"/>
              <w:bottom w:val="single" w:sz="4" w:space="0" w:color="auto"/>
              <w:right w:val="single" w:sz="4" w:space="0" w:color="auto"/>
            </w:tcBorders>
            <w:shd w:val="clear" w:color="auto" w:fill="auto"/>
            <w:vAlign w:val="center"/>
          </w:tcPr>
          <w:p w14:paraId="3B0B7145"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100</w:t>
            </w:r>
          </w:p>
        </w:tc>
        <w:tc>
          <w:tcPr>
            <w:tcW w:w="1091" w:type="dxa"/>
            <w:tcBorders>
              <w:top w:val="single" w:sz="4" w:space="0" w:color="auto"/>
              <w:left w:val="nil"/>
              <w:bottom w:val="single" w:sz="4" w:space="0" w:color="auto"/>
              <w:right w:val="single" w:sz="4" w:space="0" w:color="auto"/>
            </w:tcBorders>
            <w:shd w:val="clear" w:color="auto" w:fill="auto"/>
            <w:vAlign w:val="center"/>
          </w:tcPr>
          <w:p w14:paraId="41054A7E"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124</w:t>
            </w:r>
          </w:p>
        </w:tc>
      </w:tr>
      <w:tr w:rsidR="00107C19" w:rsidRPr="00107C19" w14:paraId="4C1387A6"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3EDA9" w14:textId="77777777" w:rsidR="009175A4" w:rsidRPr="00107C19" w:rsidRDefault="009175A4" w:rsidP="00013CB4">
            <w:pPr>
              <w:pStyle w:val="TableHeading"/>
              <w:rPr>
                <w:b w:val="0"/>
                <w:bCs/>
                <w:color w:val="000000" w:themeColor="text1"/>
              </w:rPr>
            </w:pPr>
            <w:r w:rsidRPr="00107C19">
              <w:rPr>
                <w:b w:val="0"/>
                <w:bCs/>
                <w:color w:val="000000" w:themeColor="text1"/>
              </w:rPr>
              <w:t xml:space="preserve">Royalty-bearing other licenses </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43F15333" w14:textId="77777777" w:rsidR="009175A4" w:rsidRPr="00107C19" w:rsidRDefault="009175A4" w:rsidP="00167353">
            <w:pPr>
              <w:pStyle w:val="TableHeading"/>
              <w:jc w:val="center"/>
              <w:rPr>
                <w:b w:val="0"/>
                <w:bCs/>
                <w:color w:val="000000" w:themeColor="text1"/>
              </w:rPr>
            </w:pPr>
            <w:r w:rsidRPr="00107C19">
              <w:rPr>
                <w:b w:val="0"/>
                <w:bCs/>
                <w:color w:val="000000" w:themeColor="text1"/>
              </w:rPr>
              <w:t>20</w:t>
            </w:r>
          </w:p>
        </w:tc>
        <w:tc>
          <w:tcPr>
            <w:tcW w:w="1180" w:type="dxa"/>
            <w:tcBorders>
              <w:top w:val="single" w:sz="4" w:space="0" w:color="auto"/>
              <w:left w:val="nil"/>
              <w:bottom w:val="single" w:sz="4" w:space="0" w:color="auto"/>
              <w:right w:val="single" w:sz="4" w:space="0" w:color="auto"/>
            </w:tcBorders>
            <w:shd w:val="clear" w:color="auto" w:fill="auto"/>
            <w:vAlign w:val="center"/>
          </w:tcPr>
          <w:p w14:paraId="1C119E1A"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w:t>
            </w:r>
          </w:p>
        </w:tc>
        <w:tc>
          <w:tcPr>
            <w:tcW w:w="1177" w:type="dxa"/>
            <w:tcBorders>
              <w:top w:val="single" w:sz="4" w:space="0" w:color="auto"/>
              <w:left w:val="nil"/>
              <w:bottom w:val="single" w:sz="4" w:space="0" w:color="auto"/>
              <w:right w:val="single" w:sz="4" w:space="0" w:color="auto"/>
            </w:tcBorders>
            <w:shd w:val="clear" w:color="auto" w:fill="auto"/>
            <w:vAlign w:val="center"/>
          </w:tcPr>
          <w:p w14:paraId="6AEB055D"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w:t>
            </w:r>
          </w:p>
        </w:tc>
        <w:tc>
          <w:tcPr>
            <w:tcW w:w="1114" w:type="dxa"/>
            <w:tcBorders>
              <w:top w:val="single" w:sz="4" w:space="0" w:color="auto"/>
              <w:left w:val="nil"/>
              <w:bottom w:val="single" w:sz="4" w:space="0" w:color="auto"/>
              <w:right w:val="single" w:sz="4" w:space="0" w:color="auto"/>
            </w:tcBorders>
            <w:shd w:val="clear" w:color="auto" w:fill="auto"/>
            <w:vAlign w:val="center"/>
          </w:tcPr>
          <w:p w14:paraId="5539AA49"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w:t>
            </w:r>
          </w:p>
        </w:tc>
        <w:tc>
          <w:tcPr>
            <w:tcW w:w="1091" w:type="dxa"/>
            <w:tcBorders>
              <w:top w:val="single" w:sz="4" w:space="0" w:color="auto"/>
              <w:left w:val="nil"/>
              <w:bottom w:val="single" w:sz="4" w:space="0" w:color="auto"/>
              <w:right w:val="single" w:sz="4" w:space="0" w:color="auto"/>
            </w:tcBorders>
            <w:shd w:val="clear" w:color="auto" w:fill="auto"/>
            <w:vAlign w:val="center"/>
          </w:tcPr>
          <w:p w14:paraId="204682C5"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w:t>
            </w:r>
          </w:p>
        </w:tc>
      </w:tr>
      <w:tr w:rsidR="00107C19" w:rsidRPr="00107C19" w14:paraId="05AC145E"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7BB1B" w14:textId="77777777" w:rsidR="009175A4" w:rsidRPr="00107C19" w:rsidRDefault="009175A4" w:rsidP="00013CB4">
            <w:pPr>
              <w:pStyle w:val="TableHeading"/>
              <w:rPr>
                <w:b w:val="0"/>
                <w:bCs/>
                <w:color w:val="000000" w:themeColor="text1"/>
              </w:rPr>
            </w:pPr>
            <w:r w:rsidRPr="00107C19">
              <w:rPr>
                <w:b w:val="0"/>
                <w:bCs/>
                <w:color w:val="000000" w:themeColor="text1"/>
              </w:rPr>
              <w:t>Elapsed Amount of Time for Granting Invention Licenses average (months)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6EE1BF71" w14:textId="77777777" w:rsidR="009175A4" w:rsidRPr="00107C19" w:rsidRDefault="009175A4" w:rsidP="00167353">
            <w:pPr>
              <w:pStyle w:val="TableHeading"/>
              <w:jc w:val="center"/>
              <w:rPr>
                <w:b w:val="0"/>
                <w:bCs/>
                <w:color w:val="000000" w:themeColor="text1"/>
              </w:rPr>
            </w:pPr>
            <w:r w:rsidRPr="00107C19">
              <w:rPr>
                <w:b w:val="0"/>
                <w:bCs/>
                <w:color w:val="000000" w:themeColor="text1"/>
              </w:rPr>
              <w:t>5.9</w:t>
            </w:r>
          </w:p>
        </w:tc>
        <w:tc>
          <w:tcPr>
            <w:tcW w:w="1180" w:type="dxa"/>
            <w:tcBorders>
              <w:top w:val="single" w:sz="4" w:space="0" w:color="auto"/>
              <w:left w:val="nil"/>
              <w:bottom w:val="single" w:sz="4" w:space="0" w:color="auto"/>
              <w:right w:val="single" w:sz="4" w:space="0" w:color="auto"/>
            </w:tcBorders>
            <w:shd w:val="clear" w:color="auto" w:fill="auto"/>
            <w:vAlign w:val="center"/>
          </w:tcPr>
          <w:p w14:paraId="657A3A93" w14:textId="77777777" w:rsidR="009175A4" w:rsidRPr="00107C19" w:rsidRDefault="009175A4" w:rsidP="00167353">
            <w:pPr>
              <w:pStyle w:val="TableHeading"/>
              <w:jc w:val="center"/>
              <w:rPr>
                <w:b w:val="0"/>
                <w:bCs/>
                <w:color w:val="000000" w:themeColor="text1"/>
              </w:rPr>
            </w:pPr>
            <w:r w:rsidRPr="00107C19">
              <w:rPr>
                <w:b w:val="0"/>
                <w:bCs/>
                <w:color w:val="000000" w:themeColor="text1"/>
              </w:rPr>
              <w:t>3.6</w:t>
            </w:r>
          </w:p>
        </w:tc>
        <w:tc>
          <w:tcPr>
            <w:tcW w:w="1177" w:type="dxa"/>
            <w:tcBorders>
              <w:top w:val="single" w:sz="4" w:space="0" w:color="auto"/>
              <w:left w:val="nil"/>
              <w:bottom w:val="single" w:sz="4" w:space="0" w:color="auto"/>
              <w:right w:val="single" w:sz="4" w:space="0" w:color="auto"/>
            </w:tcBorders>
            <w:shd w:val="clear" w:color="auto" w:fill="auto"/>
            <w:vAlign w:val="center"/>
          </w:tcPr>
          <w:p w14:paraId="1D26023B" w14:textId="77777777" w:rsidR="009175A4" w:rsidRPr="00107C19" w:rsidRDefault="009175A4" w:rsidP="00167353">
            <w:pPr>
              <w:pStyle w:val="TableHeading"/>
              <w:jc w:val="center"/>
              <w:rPr>
                <w:b w:val="0"/>
                <w:bCs/>
                <w:color w:val="000000" w:themeColor="text1"/>
              </w:rPr>
            </w:pPr>
            <w:r w:rsidRPr="00107C19">
              <w:rPr>
                <w:b w:val="0"/>
                <w:bCs/>
                <w:color w:val="000000" w:themeColor="text1"/>
              </w:rPr>
              <w:t>6.3</w:t>
            </w:r>
          </w:p>
        </w:tc>
        <w:tc>
          <w:tcPr>
            <w:tcW w:w="1114" w:type="dxa"/>
            <w:tcBorders>
              <w:top w:val="single" w:sz="4" w:space="0" w:color="auto"/>
              <w:left w:val="nil"/>
              <w:bottom w:val="single" w:sz="4" w:space="0" w:color="auto"/>
              <w:right w:val="single" w:sz="4" w:space="0" w:color="auto"/>
            </w:tcBorders>
            <w:shd w:val="clear" w:color="auto" w:fill="auto"/>
            <w:vAlign w:val="center"/>
          </w:tcPr>
          <w:p w14:paraId="56304954" w14:textId="77777777" w:rsidR="009175A4" w:rsidRPr="00107C19" w:rsidRDefault="009175A4" w:rsidP="00167353">
            <w:pPr>
              <w:pStyle w:val="TableHeading"/>
              <w:jc w:val="center"/>
              <w:rPr>
                <w:b w:val="0"/>
                <w:bCs/>
                <w:color w:val="000000" w:themeColor="text1"/>
              </w:rPr>
            </w:pPr>
            <w:r w:rsidRPr="00107C19">
              <w:rPr>
                <w:b w:val="0"/>
                <w:bCs/>
                <w:color w:val="000000" w:themeColor="text1"/>
              </w:rPr>
              <w:t>2.7</w:t>
            </w:r>
          </w:p>
        </w:tc>
        <w:tc>
          <w:tcPr>
            <w:tcW w:w="1091" w:type="dxa"/>
            <w:tcBorders>
              <w:top w:val="single" w:sz="4" w:space="0" w:color="auto"/>
              <w:left w:val="nil"/>
              <w:bottom w:val="single" w:sz="4" w:space="0" w:color="auto"/>
              <w:right w:val="single" w:sz="4" w:space="0" w:color="auto"/>
            </w:tcBorders>
            <w:shd w:val="clear" w:color="auto" w:fill="auto"/>
            <w:vAlign w:val="center"/>
          </w:tcPr>
          <w:p w14:paraId="157A08B0" w14:textId="77777777" w:rsidR="009175A4" w:rsidRPr="00107C19" w:rsidRDefault="009175A4" w:rsidP="00167353">
            <w:pPr>
              <w:pStyle w:val="TableHeading"/>
              <w:jc w:val="center"/>
              <w:rPr>
                <w:b w:val="0"/>
                <w:bCs/>
                <w:color w:val="000000" w:themeColor="text1"/>
              </w:rPr>
            </w:pPr>
            <w:r w:rsidRPr="00107C19">
              <w:rPr>
                <w:b w:val="0"/>
                <w:bCs/>
                <w:color w:val="000000" w:themeColor="text1"/>
              </w:rPr>
              <w:t>4.3</w:t>
            </w:r>
          </w:p>
        </w:tc>
      </w:tr>
      <w:tr w:rsidR="00107C19" w:rsidRPr="00107C19" w14:paraId="3605727F"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6181D" w14:textId="77777777" w:rsidR="009175A4" w:rsidRPr="00107C19" w:rsidRDefault="009175A4" w:rsidP="00013CB4">
            <w:pPr>
              <w:pStyle w:val="TableHeading"/>
              <w:rPr>
                <w:b w:val="0"/>
                <w:bCs/>
                <w:color w:val="000000" w:themeColor="text1"/>
              </w:rPr>
            </w:pPr>
            <w:r w:rsidRPr="00107C19">
              <w:rPr>
                <w:b w:val="0"/>
                <w:bCs/>
                <w:color w:val="000000" w:themeColor="text1"/>
              </w:rPr>
              <w:t>Elapsed Amount of Time for Granting Invention Licenses median (months)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A27F2B1" w14:textId="77777777" w:rsidR="009175A4" w:rsidRPr="00107C19" w:rsidRDefault="009175A4" w:rsidP="00167353">
            <w:pPr>
              <w:pStyle w:val="TableHeading"/>
              <w:jc w:val="center"/>
              <w:rPr>
                <w:b w:val="0"/>
                <w:bCs/>
                <w:color w:val="000000" w:themeColor="text1"/>
              </w:rPr>
            </w:pPr>
            <w:r w:rsidRPr="00107C19">
              <w:rPr>
                <w:b w:val="0"/>
                <w:bCs/>
                <w:color w:val="000000" w:themeColor="text1"/>
              </w:rPr>
              <w:t>5.0</w:t>
            </w:r>
          </w:p>
        </w:tc>
        <w:tc>
          <w:tcPr>
            <w:tcW w:w="1180" w:type="dxa"/>
            <w:tcBorders>
              <w:top w:val="single" w:sz="4" w:space="0" w:color="auto"/>
              <w:left w:val="nil"/>
              <w:bottom w:val="single" w:sz="4" w:space="0" w:color="auto"/>
              <w:right w:val="single" w:sz="4" w:space="0" w:color="auto"/>
            </w:tcBorders>
            <w:shd w:val="clear" w:color="auto" w:fill="auto"/>
            <w:vAlign w:val="center"/>
          </w:tcPr>
          <w:p w14:paraId="49964831" w14:textId="77777777" w:rsidR="009175A4" w:rsidRPr="00107C19" w:rsidRDefault="009175A4" w:rsidP="00167353">
            <w:pPr>
              <w:pStyle w:val="TableHeading"/>
              <w:jc w:val="center"/>
              <w:rPr>
                <w:b w:val="0"/>
                <w:bCs/>
                <w:color w:val="000000" w:themeColor="text1"/>
              </w:rPr>
            </w:pPr>
            <w:r w:rsidRPr="00107C19">
              <w:rPr>
                <w:b w:val="0"/>
                <w:bCs/>
                <w:color w:val="000000" w:themeColor="text1"/>
              </w:rPr>
              <w:t>2.6</w:t>
            </w:r>
          </w:p>
        </w:tc>
        <w:tc>
          <w:tcPr>
            <w:tcW w:w="1177" w:type="dxa"/>
            <w:tcBorders>
              <w:top w:val="single" w:sz="4" w:space="0" w:color="auto"/>
              <w:left w:val="nil"/>
              <w:bottom w:val="single" w:sz="4" w:space="0" w:color="auto"/>
              <w:right w:val="single" w:sz="4" w:space="0" w:color="auto"/>
            </w:tcBorders>
            <w:shd w:val="clear" w:color="auto" w:fill="auto"/>
            <w:vAlign w:val="center"/>
          </w:tcPr>
          <w:p w14:paraId="255C5C1D" w14:textId="77777777" w:rsidR="009175A4" w:rsidRPr="00107C19" w:rsidRDefault="009175A4" w:rsidP="00167353">
            <w:pPr>
              <w:pStyle w:val="TableHeading"/>
              <w:jc w:val="center"/>
              <w:rPr>
                <w:b w:val="0"/>
                <w:bCs/>
                <w:color w:val="000000" w:themeColor="text1"/>
              </w:rPr>
            </w:pPr>
            <w:r w:rsidRPr="00107C19">
              <w:rPr>
                <w:b w:val="0"/>
                <w:bCs/>
                <w:color w:val="000000" w:themeColor="text1"/>
              </w:rPr>
              <w:t>3.7</w:t>
            </w:r>
          </w:p>
        </w:tc>
        <w:tc>
          <w:tcPr>
            <w:tcW w:w="1114" w:type="dxa"/>
            <w:tcBorders>
              <w:top w:val="single" w:sz="4" w:space="0" w:color="auto"/>
              <w:left w:val="nil"/>
              <w:bottom w:val="single" w:sz="4" w:space="0" w:color="auto"/>
              <w:right w:val="single" w:sz="4" w:space="0" w:color="auto"/>
            </w:tcBorders>
            <w:shd w:val="clear" w:color="auto" w:fill="auto"/>
            <w:vAlign w:val="center"/>
          </w:tcPr>
          <w:p w14:paraId="634695FB"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w:t>
            </w:r>
          </w:p>
        </w:tc>
        <w:tc>
          <w:tcPr>
            <w:tcW w:w="1091" w:type="dxa"/>
            <w:tcBorders>
              <w:top w:val="single" w:sz="4" w:space="0" w:color="auto"/>
              <w:left w:val="nil"/>
              <w:bottom w:val="single" w:sz="4" w:space="0" w:color="auto"/>
              <w:right w:val="single" w:sz="4" w:space="0" w:color="auto"/>
            </w:tcBorders>
            <w:shd w:val="clear" w:color="auto" w:fill="auto"/>
            <w:vAlign w:val="center"/>
          </w:tcPr>
          <w:p w14:paraId="25F4A909"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r>
      <w:tr w:rsidR="00107C19" w:rsidRPr="00107C19" w14:paraId="49DF9E33"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0A063CC5" w14:textId="77777777" w:rsidR="009175A4" w:rsidRPr="00107C19" w:rsidRDefault="009175A4" w:rsidP="00013CB4">
            <w:pPr>
              <w:pStyle w:val="TableHeading"/>
              <w:rPr>
                <w:b w:val="0"/>
                <w:bCs/>
                <w:color w:val="000000" w:themeColor="text1"/>
              </w:rPr>
            </w:pPr>
            <w:r w:rsidRPr="00107C19">
              <w:rPr>
                <w:b w:val="0"/>
                <w:bCs/>
                <w:color w:val="000000" w:themeColor="text1"/>
              </w:rPr>
              <w:t>Elapsed Amount of Time for Granting Invention Licenses minimum (months)</w:t>
            </w:r>
          </w:p>
        </w:tc>
        <w:tc>
          <w:tcPr>
            <w:tcW w:w="1353" w:type="dxa"/>
            <w:tcBorders>
              <w:top w:val="nil"/>
              <w:left w:val="nil"/>
              <w:bottom w:val="single" w:sz="4" w:space="0" w:color="auto"/>
              <w:right w:val="single" w:sz="4" w:space="0" w:color="auto"/>
            </w:tcBorders>
            <w:noWrap/>
            <w:vAlign w:val="center"/>
          </w:tcPr>
          <w:p w14:paraId="2C5601BF" w14:textId="77777777" w:rsidR="009175A4" w:rsidRPr="00107C19" w:rsidRDefault="009175A4" w:rsidP="00167353">
            <w:pPr>
              <w:pStyle w:val="TableHeading"/>
              <w:jc w:val="center"/>
              <w:rPr>
                <w:b w:val="0"/>
                <w:bCs/>
                <w:color w:val="000000" w:themeColor="text1"/>
              </w:rPr>
            </w:pPr>
            <w:r w:rsidRPr="00107C19">
              <w:rPr>
                <w:b w:val="0"/>
                <w:bCs/>
                <w:color w:val="000000" w:themeColor="text1"/>
              </w:rPr>
              <w:t>1.8</w:t>
            </w:r>
          </w:p>
        </w:tc>
        <w:tc>
          <w:tcPr>
            <w:tcW w:w="1180" w:type="dxa"/>
            <w:tcBorders>
              <w:top w:val="nil"/>
              <w:left w:val="nil"/>
              <w:bottom w:val="single" w:sz="4" w:space="0" w:color="auto"/>
              <w:right w:val="single" w:sz="4" w:space="0" w:color="auto"/>
            </w:tcBorders>
            <w:vAlign w:val="center"/>
          </w:tcPr>
          <w:p w14:paraId="7A8DCE5B" w14:textId="77777777" w:rsidR="009175A4" w:rsidRPr="00107C19" w:rsidRDefault="009175A4" w:rsidP="00167353">
            <w:pPr>
              <w:pStyle w:val="TableHeading"/>
              <w:jc w:val="center"/>
              <w:rPr>
                <w:b w:val="0"/>
                <w:bCs/>
                <w:color w:val="000000" w:themeColor="text1"/>
              </w:rPr>
            </w:pPr>
            <w:r w:rsidRPr="00107C19">
              <w:rPr>
                <w:b w:val="0"/>
                <w:bCs/>
                <w:color w:val="000000" w:themeColor="text1"/>
              </w:rPr>
              <w:t>0.8</w:t>
            </w:r>
          </w:p>
        </w:tc>
        <w:tc>
          <w:tcPr>
            <w:tcW w:w="1177" w:type="dxa"/>
            <w:tcBorders>
              <w:top w:val="nil"/>
              <w:left w:val="nil"/>
              <w:bottom w:val="single" w:sz="4" w:space="0" w:color="auto"/>
              <w:right w:val="single" w:sz="4" w:space="0" w:color="auto"/>
            </w:tcBorders>
            <w:vAlign w:val="center"/>
          </w:tcPr>
          <w:p w14:paraId="2D326E53" w14:textId="77777777" w:rsidR="009175A4" w:rsidRPr="00107C19" w:rsidRDefault="009175A4" w:rsidP="00167353">
            <w:pPr>
              <w:pStyle w:val="TableHeading"/>
              <w:jc w:val="center"/>
              <w:rPr>
                <w:b w:val="0"/>
                <w:bCs/>
                <w:color w:val="000000" w:themeColor="text1"/>
              </w:rPr>
            </w:pPr>
            <w:r w:rsidRPr="00107C19">
              <w:rPr>
                <w:b w:val="0"/>
                <w:bCs/>
                <w:color w:val="000000" w:themeColor="text1"/>
              </w:rPr>
              <w:t>1.7</w:t>
            </w:r>
          </w:p>
        </w:tc>
        <w:tc>
          <w:tcPr>
            <w:tcW w:w="1114" w:type="dxa"/>
            <w:tcBorders>
              <w:top w:val="nil"/>
              <w:left w:val="nil"/>
              <w:bottom w:val="single" w:sz="4" w:space="0" w:color="auto"/>
              <w:right w:val="single" w:sz="4" w:space="0" w:color="auto"/>
            </w:tcBorders>
            <w:vAlign w:val="center"/>
          </w:tcPr>
          <w:p w14:paraId="02BF23F9" w14:textId="77777777" w:rsidR="009175A4" w:rsidRPr="00107C19" w:rsidRDefault="009175A4" w:rsidP="00167353">
            <w:pPr>
              <w:pStyle w:val="TableHeading"/>
              <w:jc w:val="center"/>
              <w:rPr>
                <w:b w:val="0"/>
                <w:bCs/>
                <w:color w:val="000000" w:themeColor="text1"/>
              </w:rPr>
            </w:pPr>
            <w:r w:rsidRPr="00107C19">
              <w:rPr>
                <w:b w:val="0"/>
                <w:bCs/>
                <w:color w:val="000000" w:themeColor="text1"/>
              </w:rPr>
              <w:t>0.2</w:t>
            </w:r>
          </w:p>
        </w:tc>
        <w:tc>
          <w:tcPr>
            <w:tcW w:w="1091" w:type="dxa"/>
            <w:tcBorders>
              <w:top w:val="nil"/>
              <w:left w:val="nil"/>
              <w:bottom w:val="single" w:sz="4" w:space="0" w:color="auto"/>
              <w:right w:val="single" w:sz="4" w:space="0" w:color="auto"/>
            </w:tcBorders>
            <w:vAlign w:val="center"/>
          </w:tcPr>
          <w:p w14:paraId="79D3B54F" w14:textId="77777777" w:rsidR="009175A4" w:rsidRPr="00107C19" w:rsidRDefault="009175A4" w:rsidP="00167353">
            <w:pPr>
              <w:pStyle w:val="TableHeading"/>
              <w:jc w:val="center"/>
              <w:rPr>
                <w:b w:val="0"/>
                <w:bCs/>
                <w:color w:val="000000" w:themeColor="text1"/>
              </w:rPr>
            </w:pPr>
            <w:r w:rsidRPr="00107C19">
              <w:rPr>
                <w:b w:val="0"/>
                <w:bCs/>
                <w:color w:val="000000" w:themeColor="text1"/>
              </w:rPr>
              <w:t>0.5</w:t>
            </w:r>
          </w:p>
        </w:tc>
      </w:tr>
      <w:tr w:rsidR="00107C19" w:rsidRPr="00107C19" w14:paraId="19FB6985" w14:textId="77777777" w:rsidTr="00167353">
        <w:trPr>
          <w:trHeight w:val="300"/>
          <w:jc w:val="center"/>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22C4D6BB" w14:textId="77777777" w:rsidR="009175A4" w:rsidRPr="00107C19" w:rsidRDefault="009175A4" w:rsidP="00013CB4">
            <w:pPr>
              <w:pStyle w:val="TableHeading"/>
              <w:rPr>
                <w:b w:val="0"/>
                <w:bCs/>
                <w:color w:val="000000" w:themeColor="text1"/>
              </w:rPr>
            </w:pPr>
            <w:r w:rsidRPr="00107C19">
              <w:rPr>
                <w:b w:val="0"/>
                <w:bCs/>
                <w:color w:val="000000" w:themeColor="text1"/>
              </w:rPr>
              <w:t>Elapsed Amount of Time for Granting Invention Licenses maximum (months)</w:t>
            </w:r>
          </w:p>
        </w:tc>
        <w:tc>
          <w:tcPr>
            <w:tcW w:w="1353" w:type="dxa"/>
            <w:tcBorders>
              <w:top w:val="nil"/>
              <w:left w:val="nil"/>
              <w:bottom w:val="single" w:sz="4" w:space="0" w:color="auto"/>
              <w:right w:val="single" w:sz="4" w:space="0" w:color="auto"/>
            </w:tcBorders>
            <w:noWrap/>
            <w:vAlign w:val="center"/>
          </w:tcPr>
          <w:p w14:paraId="746E935B" w14:textId="77777777" w:rsidR="009175A4" w:rsidRPr="00107C19" w:rsidRDefault="009175A4" w:rsidP="00167353">
            <w:pPr>
              <w:pStyle w:val="TableHeading"/>
              <w:jc w:val="center"/>
              <w:rPr>
                <w:b w:val="0"/>
                <w:bCs/>
                <w:color w:val="000000" w:themeColor="text1"/>
              </w:rPr>
            </w:pPr>
            <w:r w:rsidRPr="00107C19">
              <w:rPr>
                <w:b w:val="0"/>
                <w:bCs/>
                <w:color w:val="000000" w:themeColor="text1"/>
              </w:rPr>
              <w:t>34.9</w:t>
            </w:r>
          </w:p>
        </w:tc>
        <w:tc>
          <w:tcPr>
            <w:tcW w:w="1180" w:type="dxa"/>
            <w:tcBorders>
              <w:top w:val="nil"/>
              <w:left w:val="nil"/>
              <w:bottom w:val="single" w:sz="4" w:space="0" w:color="auto"/>
              <w:right w:val="single" w:sz="4" w:space="0" w:color="auto"/>
            </w:tcBorders>
            <w:vAlign w:val="center"/>
          </w:tcPr>
          <w:p w14:paraId="5117F894" w14:textId="77777777" w:rsidR="009175A4" w:rsidRPr="00107C19" w:rsidRDefault="009175A4" w:rsidP="00167353">
            <w:pPr>
              <w:pStyle w:val="TableHeading"/>
              <w:jc w:val="center"/>
              <w:rPr>
                <w:b w:val="0"/>
                <w:bCs/>
                <w:color w:val="000000" w:themeColor="text1"/>
              </w:rPr>
            </w:pPr>
            <w:r w:rsidRPr="00107C19">
              <w:rPr>
                <w:b w:val="0"/>
                <w:bCs/>
                <w:color w:val="000000" w:themeColor="text1"/>
              </w:rPr>
              <w:t>15.8</w:t>
            </w:r>
          </w:p>
        </w:tc>
        <w:tc>
          <w:tcPr>
            <w:tcW w:w="1177" w:type="dxa"/>
            <w:tcBorders>
              <w:top w:val="nil"/>
              <w:left w:val="nil"/>
              <w:bottom w:val="single" w:sz="4" w:space="0" w:color="auto"/>
              <w:right w:val="single" w:sz="4" w:space="0" w:color="auto"/>
            </w:tcBorders>
            <w:vAlign w:val="center"/>
          </w:tcPr>
          <w:p w14:paraId="1FA81C9C"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25.4</w:t>
            </w:r>
          </w:p>
        </w:tc>
        <w:tc>
          <w:tcPr>
            <w:tcW w:w="1114" w:type="dxa"/>
            <w:tcBorders>
              <w:top w:val="nil"/>
              <w:left w:val="nil"/>
              <w:bottom w:val="single" w:sz="4" w:space="0" w:color="auto"/>
              <w:right w:val="single" w:sz="4" w:space="0" w:color="auto"/>
            </w:tcBorders>
            <w:vAlign w:val="center"/>
          </w:tcPr>
          <w:p w14:paraId="0F5E5428" w14:textId="77777777" w:rsidR="009175A4" w:rsidRPr="00107C19" w:rsidRDefault="009175A4" w:rsidP="00167353">
            <w:pPr>
              <w:pStyle w:val="TableHeading"/>
              <w:jc w:val="center"/>
              <w:rPr>
                <w:b w:val="0"/>
                <w:bCs/>
                <w:color w:val="000000" w:themeColor="text1"/>
              </w:rPr>
            </w:pPr>
            <w:r w:rsidRPr="00107C19">
              <w:rPr>
                <w:b w:val="0"/>
                <w:bCs/>
                <w:color w:val="000000" w:themeColor="text1"/>
              </w:rPr>
              <w:t>14.2</w:t>
            </w:r>
          </w:p>
        </w:tc>
        <w:tc>
          <w:tcPr>
            <w:tcW w:w="1091" w:type="dxa"/>
            <w:tcBorders>
              <w:top w:val="nil"/>
              <w:left w:val="nil"/>
              <w:bottom w:val="single" w:sz="4" w:space="0" w:color="auto"/>
              <w:right w:val="single" w:sz="4" w:space="0" w:color="auto"/>
            </w:tcBorders>
            <w:vAlign w:val="center"/>
          </w:tcPr>
          <w:p w14:paraId="30CF40F3"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30.2</w:t>
            </w:r>
          </w:p>
        </w:tc>
      </w:tr>
      <w:tr w:rsidR="00107C19" w:rsidRPr="00107C19" w14:paraId="5F9A7A2A" w14:textId="77777777" w:rsidTr="00167353">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5D0BD27B" w14:textId="77777777" w:rsidR="009175A4" w:rsidRPr="00107C19" w:rsidRDefault="009175A4" w:rsidP="00013CB4">
            <w:pPr>
              <w:pStyle w:val="TableHeading"/>
              <w:rPr>
                <w:b w:val="0"/>
                <w:bCs/>
                <w:color w:val="000000" w:themeColor="text1"/>
              </w:rPr>
            </w:pPr>
            <w:r w:rsidRPr="00107C19">
              <w:rPr>
                <w:b w:val="0"/>
                <w:bCs/>
                <w:color w:val="000000" w:themeColor="text1"/>
              </w:rPr>
              <w:t>Licenses terminated for cause</w:t>
            </w:r>
          </w:p>
        </w:tc>
        <w:tc>
          <w:tcPr>
            <w:tcW w:w="1353" w:type="dxa"/>
            <w:tcBorders>
              <w:top w:val="single" w:sz="4" w:space="0" w:color="auto"/>
              <w:left w:val="nil"/>
              <w:bottom w:val="single" w:sz="4" w:space="0" w:color="auto"/>
              <w:right w:val="single" w:sz="4" w:space="0" w:color="auto"/>
            </w:tcBorders>
            <w:shd w:val="clear" w:color="000000" w:fill="auto"/>
            <w:noWrap/>
            <w:vAlign w:val="center"/>
          </w:tcPr>
          <w:p w14:paraId="2996973F"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80" w:type="dxa"/>
            <w:tcBorders>
              <w:top w:val="single" w:sz="4" w:space="0" w:color="auto"/>
              <w:left w:val="nil"/>
              <w:bottom w:val="single" w:sz="4" w:space="0" w:color="auto"/>
              <w:right w:val="single" w:sz="4" w:space="0" w:color="auto"/>
            </w:tcBorders>
            <w:shd w:val="clear" w:color="000000" w:fill="auto"/>
            <w:vAlign w:val="center"/>
          </w:tcPr>
          <w:p w14:paraId="11350835"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77" w:type="dxa"/>
            <w:tcBorders>
              <w:top w:val="single" w:sz="4" w:space="0" w:color="auto"/>
              <w:left w:val="nil"/>
              <w:bottom w:val="single" w:sz="4" w:space="0" w:color="auto"/>
              <w:right w:val="single" w:sz="4" w:space="0" w:color="auto"/>
            </w:tcBorders>
            <w:shd w:val="clear" w:color="000000" w:fill="auto"/>
            <w:vAlign w:val="center"/>
          </w:tcPr>
          <w:p w14:paraId="3A889532"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114" w:type="dxa"/>
            <w:tcBorders>
              <w:top w:val="single" w:sz="4" w:space="0" w:color="auto"/>
              <w:left w:val="nil"/>
              <w:bottom w:val="single" w:sz="4" w:space="0" w:color="auto"/>
              <w:right w:val="single" w:sz="4" w:space="0" w:color="auto"/>
            </w:tcBorders>
            <w:shd w:val="clear" w:color="000000" w:fill="auto"/>
            <w:vAlign w:val="center"/>
          </w:tcPr>
          <w:p w14:paraId="24D084FE"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091" w:type="dxa"/>
            <w:tcBorders>
              <w:top w:val="single" w:sz="4" w:space="0" w:color="auto"/>
              <w:left w:val="nil"/>
              <w:bottom w:val="single" w:sz="4" w:space="0" w:color="auto"/>
              <w:right w:val="single" w:sz="4" w:space="0" w:color="auto"/>
            </w:tcBorders>
            <w:shd w:val="clear" w:color="000000" w:fill="auto"/>
            <w:vAlign w:val="center"/>
          </w:tcPr>
          <w:p w14:paraId="6E8AD857"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bl>
    <w:p w14:paraId="444D8123"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14:ligatures w14:val="standardContextual"/>
        </w:rPr>
        <w:t>ND, data not available.</w:t>
      </w:r>
    </w:p>
    <w:p w14:paraId="6C5FFA6C"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1</w:t>
      </w:r>
      <w:r w:rsidRPr="00107C19">
        <w:rPr>
          <w:rFonts w:ascii="Calibri" w:hAnsi="Calibri"/>
          <w:color w:val="000000" w:themeColor="text1"/>
          <w:kern w:val="2"/>
          <w:sz w:val="22"/>
          <w14:ligatures w14:val="standardContextual"/>
        </w:rPr>
        <w:t xml:space="preserve"> The rest of the licenses were to medium or large size businesses.</w:t>
      </w:r>
    </w:p>
    <w:p w14:paraId="3916F1DA"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 xml:space="preserve">2 </w:t>
      </w:r>
      <w:r w:rsidRPr="00107C19">
        <w:rPr>
          <w:rFonts w:ascii="Calibri" w:hAnsi="Calibri"/>
          <w:color w:val="000000" w:themeColor="text1"/>
          <w:kern w:val="2"/>
          <w:sz w:val="22"/>
          <w14:ligatures w14:val="standardContextual"/>
        </w:rPr>
        <w:t>A small business, together with its affiliates, must not have more than 500 employees.</w:t>
      </w:r>
    </w:p>
    <w:p w14:paraId="72A2BE0C" w14:textId="77777777" w:rsidR="007826CE" w:rsidRPr="00107C19" w:rsidRDefault="007826CE" w:rsidP="007826CE">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lastRenderedPageBreak/>
        <w:t>3</w:t>
      </w:r>
      <w:r w:rsidRPr="00107C19">
        <w:rPr>
          <w:rFonts w:ascii="Calibri" w:hAnsi="Calibri"/>
          <w:color w:val="000000" w:themeColor="text1"/>
          <w:kern w:val="2"/>
          <w:sz w:val="22"/>
          <w14:ligatures w14:val="standardContextual"/>
        </w:rPr>
        <w:t xml:space="preserve"> Invention licenses refer to patents and Plant Variety Protection certifications.</w:t>
      </w:r>
    </w:p>
    <w:p w14:paraId="40491256" w14:textId="3DF28A16" w:rsidR="009175A4" w:rsidRPr="00107C19" w:rsidRDefault="007826CE"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4</w:t>
      </w:r>
      <w:r w:rsidR="009175A4" w:rsidRPr="00107C19">
        <w:rPr>
          <w:rFonts w:ascii="Calibri" w:hAnsi="Calibri"/>
          <w:color w:val="000000" w:themeColor="text1"/>
          <w:kern w:val="2"/>
          <w:sz w:val="22"/>
          <w14:ligatures w14:val="standardContextual"/>
        </w:rPr>
        <w:t xml:space="preserve"> For the purpose of this report, a startup company is a privately held, U.S. for-profit company operating for less than 5 years and actively seeking financing to commercialize a Federal scientific work product.</w:t>
      </w:r>
    </w:p>
    <w:p w14:paraId="1C550281"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5</w:t>
      </w:r>
      <w:r w:rsidRPr="00107C19">
        <w:rPr>
          <w:rFonts w:ascii="Calibri" w:hAnsi="Calibri"/>
          <w:color w:val="000000" w:themeColor="text1"/>
          <w:kern w:val="2"/>
          <w:sz w:val="22"/>
          <w14:ligatures w14:val="standardContextual"/>
        </w:rPr>
        <w:t xml:space="preserve"> Other IP licenses refer to biological materials licenses. </w:t>
      </w:r>
    </w:p>
    <w:p w14:paraId="044DDE97"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6</w:t>
      </w:r>
      <w:r w:rsidRPr="00107C19">
        <w:rPr>
          <w:rFonts w:ascii="Calibri" w:hAnsi="Calibri"/>
          <w:color w:val="000000" w:themeColor="text1"/>
          <w:kern w:val="2"/>
          <w:sz w:val="22"/>
          <w14:ligatures w14:val="standardContextual"/>
        </w:rPr>
        <w:t xml:space="preserve"> Invention licenses refer to patents and plant variety protection certificates.</w:t>
      </w:r>
    </w:p>
    <w:p w14:paraId="3A610486"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7</w:t>
      </w:r>
      <w:r w:rsidRPr="00107C19">
        <w:rPr>
          <w:rFonts w:ascii="Calibri" w:hAnsi="Calibri"/>
          <w:color w:val="000000" w:themeColor="text1"/>
          <w:kern w:val="2"/>
          <w:sz w:val="22"/>
          <w14:ligatures w14:val="standardContextual"/>
        </w:rPr>
        <w:t xml:space="preserve"> Other IP licenses refer to biological materials licenses.</w:t>
      </w:r>
    </w:p>
    <w:p w14:paraId="489D1BBE" w14:textId="70F47548" w:rsidR="009175A4" w:rsidRPr="00107C19" w:rsidRDefault="009175A4" w:rsidP="009175A4">
      <w:pPr>
        <w:spacing w:before="0" w:after="160" w:line="259" w:lineRule="auto"/>
        <w:rPr>
          <w:rFonts w:ascii="Calibri" w:hAnsi="Calibri"/>
          <w:b/>
          <w:bCs/>
          <w:color w:val="000000" w:themeColor="text1"/>
          <w:kern w:val="2"/>
          <w:sz w:val="22"/>
          <w14:ligatures w14:val="standardContextual"/>
        </w:rPr>
      </w:pPr>
      <w:r w:rsidRPr="00107C19">
        <w:rPr>
          <w:rFonts w:ascii="Calibri" w:hAnsi="Calibri"/>
          <w:b/>
          <w:bCs/>
          <w:color w:val="000000" w:themeColor="text1"/>
          <w:kern w:val="2"/>
          <w:sz w:val="22"/>
          <w14:ligatures w14:val="standardContextual"/>
        </w:rPr>
        <w:t>Table 4. Income from licensing</w:t>
      </w:r>
    </w:p>
    <w:tbl>
      <w:tblPr>
        <w:tblW w:w="10163" w:type="dxa"/>
        <w:jc w:val="center"/>
        <w:tblLook w:val="04A0" w:firstRow="1" w:lastRow="0" w:firstColumn="1" w:lastColumn="0" w:noHBand="0" w:noVBand="1"/>
      </w:tblPr>
      <w:tblGrid>
        <w:gridCol w:w="3128"/>
        <w:gridCol w:w="1620"/>
        <w:gridCol w:w="1431"/>
        <w:gridCol w:w="1352"/>
        <w:gridCol w:w="1323"/>
        <w:gridCol w:w="1309"/>
      </w:tblGrid>
      <w:tr w:rsidR="00107C19" w:rsidRPr="00107C19" w14:paraId="3F46A8D6" w14:textId="77777777" w:rsidTr="00167353">
        <w:trPr>
          <w:trHeight w:val="300"/>
          <w:tblHeader/>
          <w:jc w:val="center"/>
        </w:trPr>
        <w:tc>
          <w:tcPr>
            <w:tcW w:w="31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E3E22D6" w14:textId="77777777" w:rsidR="009175A4" w:rsidRPr="00107C19" w:rsidRDefault="009175A4" w:rsidP="005C3D2B">
            <w:pPr>
              <w:pStyle w:val="TableHeading"/>
              <w:rPr>
                <w:color w:val="000000" w:themeColor="text1"/>
              </w:rPr>
            </w:pPr>
            <w:r w:rsidRPr="00107C19">
              <w:rPr>
                <w:color w:val="000000" w:themeColor="text1"/>
              </w:rPr>
              <w:t>License income</w:t>
            </w:r>
          </w:p>
        </w:tc>
        <w:tc>
          <w:tcPr>
            <w:tcW w:w="1620" w:type="dxa"/>
            <w:tcBorders>
              <w:top w:val="single" w:sz="4" w:space="0" w:color="auto"/>
              <w:left w:val="nil"/>
              <w:bottom w:val="single" w:sz="4" w:space="0" w:color="auto"/>
              <w:right w:val="single" w:sz="4" w:space="0" w:color="auto"/>
            </w:tcBorders>
            <w:shd w:val="clear" w:color="000000" w:fill="D9D9D9"/>
            <w:noWrap/>
            <w:vAlign w:val="center"/>
          </w:tcPr>
          <w:p w14:paraId="40CB4B47" w14:textId="77777777" w:rsidR="009175A4" w:rsidRPr="00107C19" w:rsidRDefault="009175A4" w:rsidP="00167353">
            <w:pPr>
              <w:pStyle w:val="TableHeading"/>
              <w:jc w:val="center"/>
              <w:rPr>
                <w:color w:val="000000" w:themeColor="text1"/>
              </w:rPr>
            </w:pPr>
            <w:r w:rsidRPr="00107C19">
              <w:rPr>
                <w:color w:val="000000" w:themeColor="text1"/>
              </w:rPr>
              <w:t>2019</w:t>
            </w:r>
          </w:p>
        </w:tc>
        <w:tc>
          <w:tcPr>
            <w:tcW w:w="1330" w:type="dxa"/>
            <w:tcBorders>
              <w:top w:val="single" w:sz="4" w:space="0" w:color="auto"/>
              <w:left w:val="nil"/>
              <w:bottom w:val="single" w:sz="4" w:space="0" w:color="auto"/>
              <w:right w:val="single" w:sz="4" w:space="0" w:color="auto"/>
            </w:tcBorders>
            <w:shd w:val="clear" w:color="000000" w:fill="D9D9D9"/>
            <w:vAlign w:val="center"/>
          </w:tcPr>
          <w:p w14:paraId="5213ACF9" w14:textId="77777777" w:rsidR="009175A4" w:rsidRPr="00107C19" w:rsidRDefault="009175A4" w:rsidP="00167353">
            <w:pPr>
              <w:pStyle w:val="TableHeading"/>
              <w:jc w:val="center"/>
              <w:rPr>
                <w:color w:val="000000" w:themeColor="text1"/>
              </w:rPr>
            </w:pPr>
            <w:r w:rsidRPr="00107C19">
              <w:rPr>
                <w:color w:val="000000" w:themeColor="text1"/>
              </w:rPr>
              <w:t>2020</w:t>
            </w:r>
          </w:p>
        </w:tc>
        <w:tc>
          <w:tcPr>
            <w:tcW w:w="1428" w:type="dxa"/>
            <w:tcBorders>
              <w:top w:val="single" w:sz="4" w:space="0" w:color="auto"/>
              <w:left w:val="nil"/>
              <w:bottom w:val="single" w:sz="4" w:space="0" w:color="auto"/>
              <w:right w:val="single" w:sz="4" w:space="0" w:color="auto"/>
            </w:tcBorders>
            <w:shd w:val="clear" w:color="000000" w:fill="D9D9D9"/>
            <w:vAlign w:val="center"/>
          </w:tcPr>
          <w:p w14:paraId="57DF9F8D" w14:textId="77777777" w:rsidR="009175A4" w:rsidRPr="00107C19" w:rsidRDefault="009175A4" w:rsidP="00167353">
            <w:pPr>
              <w:pStyle w:val="TableHeading"/>
              <w:jc w:val="center"/>
              <w:rPr>
                <w:color w:val="000000" w:themeColor="text1"/>
              </w:rPr>
            </w:pPr>
            <w:r w:rsidRPr="00107C19">
              <w:rPr>
                <w:color w:val="000000" w:themeColor="text1"/>
              </w:rPr>
              <w:t>2021</w:t>
            </w:r>
          </w:p>
        </w:tc>
        <w:tc>
          <w:tcPr>
            <w:tcW w:w="1348" w:type="dxa"/>
            <w:tcBorders>
              <w:top w:val="single" w:sz="4" w:space="0" w:color="auto"/>
              <w:left w:val="nil"/>
              <w:bottom w:val="single" w:sz="4" w:space="0" w:color="auto"/>
              <w:right w:val="single" w:sz="4" w:space="0" w:color="auto"/>
            </w:tcBorders>
            <w:shd w:val="clear" w:color="000000" w:fill="D9D9D9"/>
            <w:vAlign w:val="center"/>
          </w:tcPr>
          <w:p w14:paraId="38F8CEEC" w14:textId="77777777" w:rsidR="009175A4" w:rsidRPr="00107C19" w:rsidRDefault="009175A4" w:rsidP="00167353">
            <w:pPr>
              <w:pStyle w:val="TableHeading"/>
              <w:jc w:val="center"/>
              <w:rPr>
                <w:color w:val="000000" w:themeColor="text1"/>
              </w:rPr>
            </w:pPr>
            <w:r w:rsidRPr="00107C19">
              <w:rPr>
                <w:color w:val="000000" w:themeColor="text1"/>
              </w:rPr>
              <w:t>2022</w:t>
            </w:r>
          </w:p>
        </w:tc>
        <w:tc>
          <w:tcPr>
            <w:tcW w:w="1310" w:type="dxa"/>
            <w:tcBorders>
              <w:top w:val="single" w:sz="4" w:space="0" w:color="auto"/>
              <w:left w:val="nil"/>
              <w:bottom w:val="single" w:sz="4" w:space="0" w:color="auto"/>
              <w:right w:val="single" w:sz="4" w:space="0" w:color="auto"/>
            </w:tcBorders>
            <w:shd w:val="clear" w:color="000000" w:fill="D9D9D9"/>
            <w:vAlign w:val="center"/>
          </w:tcPr>
          <w:p w14:paraId="3C270063" w14:textId="77777777" w:rsidR="009175A4" w:rsidRPr="00107C19" w:rsidRDefault="009175A4" w:rsidP="00167353">
            <w:pPr>
              <w:pStyle w:val="TableHeading"/>
              <w:jc w:val="center"/>
              <w:rPr>
                <w:color w:val="000000" w:themeColor="text1"/>
              </w:rPr>
            </w:pPr>
            <w:r w:rsidRPr="00107C19">
              <w:rPr>
                <w:color w:val="000000" w:themeColor="text1"/>
              </w:rPr>
              <w:t>2023</w:t>
            </w:r>
          </w:p>
        </w:tc>
      </w:tr>
      <w:tr w:rsidR="00107C19" w:rsidRPr="00107C19" w14:paraId="7B4B7075" w14:textId="77777777" w:rsidTr="00167353">
        <w:trPr>
          <w:trHeight w:val="300"/>
          <w:jc w:val="center"/>
        </w:trPr>
        <w:tc>
          <w:tcPr>
            <w:tcW w:w="3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7EF8A" w14:textId="77777777" w:rsidR="009175A4" w:rsidRPr="00107C19" w:rsidRDefault="009175A4" w:rsidP="005C3D2B">
            <w:pPr>
              <w:pStyle w:val="TableHeading"/>
              <w:rPr>
                <w:b w:val="0"/>
                <w:bCs/>
                <w:color w:val="000000" w:themeColor="text1"/>
              </w:rPr>
            </w:pPr>
            <w:r w:rsidRPr="00107C19">
              <w:rPr>
                <w:b w:val="0"/>
                <w:bCs/>
                <w:color w:val="000000" w:themeColor="text1"/>
              </w:rPr>
              <w:t>Total income all active licenses</w:t>
            </w:r>
          </w:p>
        </w:tc>
        <w:tc>
          <w:tcPr>
            <w:tcW w:w="1620" w:type="dxa"/>
            <w:tcBorders>
              <w:top w:val="single" w:sz="4" w:space="0" w:color="auto"/>
              <w:left w:val="nil"/>
              <w:bottom w:val="single" w:sz="4" w:space="0" w:color="auto"/>
              <w:right w:val="single" w:sz="4" w:space="0" w:color="auto"/>
            </w:tcBorders>
            <w:shd w:val="clear" w:color="auto" w:fill="auto"/>
            <w:noWrap/>
            <w:vAlign w:val="center"/>
          </w:tcPr>
          <w:p w14:paraId="553D33C9" w14:textId="77777777" w:rsidR="009175A4" w:rsidRPr="00107C19" w:rsidRDefault="009175A4" w:rsidP="00167353">
            <w:pPr>
              <w:pStyle w:val="TableHeading"/>
              <w:jc w:val="center"/>
              <w:rPr>
                <w:b w:val="0"/>
                <w:bCs/>
                <w:color w:val="000000" w:themeColor="text1"/>
              </w:rPr>
            </w:pPr>
            <w:r w:rsidRPr="00107C19">
              <w:rPr>
                <w:b w:val="0"/>
                <w:bCs/>
                <w:color w:val="000000" w:themeColor="text1"/>
              </w:rPr>
              <w:t>$3,243,196</w:t>
            </w:r>
          </w:p>
        </w:tc>
        <w:tc>
          <w:tcPr>
            <w:tcW w:w="1330" w:type="dxa"/>
            <w:tcBorders>
              <w:top w:val="single" w:sz="4" w:space="0" w:color="auto"/>
              <w:left w:val="nil"/>
              <w:bottom w:val="single" w:sz="4" w:space="0" w:color="auto"/>
              <w:right w:val="single" w:sz="4" w:space="0" w:color="auto"/>
            </w:tcBorders>
            <w:shd w:val="clear" w:color="auto" w:fill="auto"/>
            <w:vAlign w:val="center"/>
          </w:tcPr>
          <w:p w14:paraId="27F877C5" w14:textId="77777777" w:rsidR="009175A4" w:rsidRPr="00107C19" w:rsidRDefault="009175A4" w:rsidP="00167353">
            <w:pPr>
              <w:pStyle w:val="TableHeading"/>
              <w:jc w:val="center"/>
              <w:rPr>
                <w:b w:val="0"/>
                <w:bCs/>
                <w:color w:val="000000" w:themeColor="text1"/>
              </w:rPr>
            </w:pPr>
            <w:r w:rsidRPr="00107C19">
              <w:rPr>
                <w:b w:val="0"/>
                <w:bCs/>
                <w:color w:val="000000" w:themeColor="text1"/>
              </w:rPr>
              <w:t>$3,799,1705</w:t>
            </w:r>
          </w:p>
        </w:tc>
        <w:tc>
          <w:tcPr>
            <w:tcW w:w="1428" w:type="dxa"/>
            <w:tcBorders>
              <w:top w:val="single" w:sz="4" w:space="0" w:color="auto"/>
              <w:left w:val="nil"/>
              <w:bottom w:val="single" w:sz="4" w:space="0" w:color="auto"/>
              <w:right w:val="single" w:sz="4" w:space="0" w:color="auto"/>
            </w:tcBorders>
            <w:shd w:val="clear" w:color="auto" w:fill="auto"/>
            <w:vAlign w:val="center"/>
          </w:tcPr>
          <w:p w14:paraId="02177A91"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$3,118,852</w:t>
            </w:r>
          </w:p>
        </w:tc>
        <w:tc>
          <w:tcPr>
            <w:tcW w:w="1348" w:type="dxa"/>
            <w:tcBorders>
              <w:top w:val="single" w:sz="4" w:space="0" w:color="auto"/>
              <w:left w:val="nil"/>
              <w:bottom w:val="single" w:sz="4" w:space="0" w:color="auto"/>
              <w:right w:val="single" w:sz="4" w:space="0" w:color="auto"/>
            </w:tcBorders>
            <w:shd w:val="clear" w:color="auto" w:fill="auto"/>
            <w:vAlign w:val="center"/>
          </w:tcPr>
          <w:p w14:paraId="59C5B06A" w14:textId="77777777" w:rsidR="009175A4" w:rsidRPr="00107C19" w:rsidRDefault="009175A4" w:rsidP="00167353">
            <w:pPr>
              <w:pStyle w:val="TableHeading"/>
              <w:jc w:val="center"/>
              <w:rPr>
                <w:b w:val="0"/>
                <w:bCs/>
                <w:color w:val="000000" w:themeColor="text1"/>
              </w:rPr>
            </w:pPr>
            <w:r w:rsidRPr="00107C19">
              <w:rPr>
                <w:b w:val="0"/>
                <w:bCs/>
                <w:color w:val="000000" w:themeColor="text1"/>
              </w:rPr>
              <w:t>$4,039,326</w:t>
            </w:r>
          </w:p>
        </w:tc>
        <w:tc>
          <w:tcPr>
            <w:tcW w:w="1310" w:type="dxa"/>
            <w:tcBorders>
              <w:top w:val="single" w:sz="4" w:space="0" w:color="auto"/>
              <w:left w:val="nil"/>
              <w:bottom w:val="single" w:sz="4" w:space="0" w:color="auto"/>
              <w:right w:val="single" w:sz="4" w:space="0" w:color="auto"/>
            </w:tcBorders>
            <w:shd w:val="clear" w:color="auto" w:fill="auto"/>
            <w:vAlign w:val="center"/>
          </w:tcPr>
          <w:p w14:paraId="100DC501" w14:textId="77777777" w:rsidR="009175A4" w:rsidRPr="00107C19" w:rsidRDefault="009175A4" w:rsidP="00167353">
            <w:pPr>
              <w:pStyle w:val="TableHeading"/>
              <w:jc w:val="center"/>
              <w:rPr>
                <w:b w:val="0"/>
                <w:bCs/>
                <w:color w:val="000000" w:themeColor="text1"/>
              </w:rPr>
            </w:pPr>
            <w:r w:rsidRPr="00107C19">
              <w:rPr>
                <w:b w:val="0"/>
                <w:bCs/>
                <w:color w:val="000000" w:themeColor="text1"/>
              </w:rPr>
              <w:t>$4,190,558</w:t>
            </w:r>
          </w:p>
        </w:tc>
      </w:tr>
      <w:tr w:rsidR="00107C19" w:rsidRPr="00107C19" w14:paraId="5D9BF5EC" w14:textId="77777777" w:rsidTr="00167353">
        <w:trPr>
          <w:trHeight w:val="33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18262215" w14:textId="77777777" w:rsidR="009175A4" w:rsidRPr="00107C19" w:rsidRDefault="009175A4" w:rsidP="005C3D2B">
            <w:pPr>
              <w:pStyle w:val="TableHeading"/>
              <w:rPr>
                <w:b w:val="0"/>
                <w:bCs/>
                <w:color w:val="000000" w:themeColor="text1"/>
              </w:rPr>
            </w:pPr>
            <w:r w:rsidRPr="00107C19">
              <w:rPr>
                <w:b w:val="0"/>
                <w:bCs/>
                <w:color w:val="000000" w:themeColor="text1"/>
              </w:rPr>
              <w:t>Invention licenses</w:t>
            </w:r>
            <w:r w:rsidRPr="00107C19">
              <w:rPr>
                <w:b w:val="0"/>
                <w:bCs/>
                <w:color w:val="000000" w:themeColor="text1"/>
                <w:vertAlign w:val="superscript"/>
              </w:rPr>
              <w:t>1</w:t>
            </w:r>
            <w:r w:rsidRPr="00107C19">
              <w:rPr>
                <w:b w:val="0"/>
                <w:bCs/>
                <w:color w:val="000000" w:themeColor="text1"/>
              </w:rPr>
              <w:t xml:space="preserve"> income</w:t>
            </w:r>
          </w:p>
        </w:tc>
        <w:tc>
          <w:tcPr>
            <w:tcW w:w="1620" w:type="dxa"/>
            <w:tcBorders>
              <w:top w:val="nil"/>
              <w:left w:val="nil"/>
              <w:bottom w:val="single" w:sz="4" w:space="0" w:color="auto"/>
              <w:right w:val="single" w:sz="4" w:space="0" w:color="auto"/>
            </w:tcBorders>
            <w:noWrap/>
            <w:vAlign w:val="center"/>
          </w:tcPr>
          <w:p w14:paraId="09F63090"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$2,968,437</w:t>
            </w:r>
          </w:p>
        </w:tc>
        <w:tc>
          <w:tcPr>
            <w:tcW w:w="1330" w:type="dxa"/>
            <w:tcBorders>
              <w:top w:val="nil"/>
              <w:left w:val="nil"/>
              <w:bottom w:val="single" w:sz="4" w:space="0" w:color="auto"/>
              <w:right w:val="single" w:sz="4" w:space="0" w:color="auto"/>
            </w:tcBorders>
            <w:vAlign w:val="center"/>
          </w:tcPr>
          <w:p w14:paraId="44B1A8E1" w14:textId="77777777" w:rsidR="009175A4" w:rsidRPr="00107C19" w:rsidRDefault="009175A4" w:rsidP="00167353">
            <w:pPr>
              <w:pStyle w:val="TableHeading"/>
              <w:jc w:val="center"/>
              <w:rPr>
                <w:b w:val="0"/>
                <w:bCs/>
                <w:color w:val="000000" w:themeColor="text1"/>
              </w:rPr>
            </w:pPr>
            <w:r w:rsidRPr="00107C19">
              <w:rPr>
                <w:b w:val="0"/>
                <w:bCs/>
                <w:color w:val="000000" w:themeColor="text1"/>
              </w:rPr>
              <w:t>$3,490,236</w:t>
            </w:r>
          </w:p>
        </w:tc>
        <w:tc>
          <w:tcPr>
            <w:tcW w:w="1428" w:type="dxa"/>
            <w:tcBorders>
              <w:top w:val="nil"/>
              <w:left w:val="nil"/>
              <w:bottom w:val="single" w:sz="4" w:space="0" w:color="auto"/>
              <w:right w:val="single" w:sz="4" w:space="0" w:color="auto"/>
            </w:tcBorders>
            <w:vAlign w:val="center"/>
          </w:tcPr>
          <w:p w14:paraId="6EA88BCA" w14:textId="77777777" w:rsidR="009175A4" w:rsidRPr="00107C19" w:rsidRDefault="009175A4" w:rsidP="00167353">
            <w:pPr>
              <w:pStyle w:val="TableHeading"/>
              <w:jc w:val="center"/>
              <w:rPr>
                <w:b w:val="0"/>
                <w:bCs/>
                <w:color w:val="000000" w:themeColor="text1"/>
              </w:rPr>
            </w:pPr>
            <w:r w:rsidRPr="00107C19">
              <w:rPr>
                <w:b w:val="0"/>
                <w:bCs/>
                <w:color w:val="000000" w:themeColor="text1"/>
              </w:rPr>
              <w:t>$2,877,587</w:t>
            </w:r>
          </w:p>
        </w:tc>
        <w:tc>
          <w:tcPr>
            <w:tcW w:w="1348" w:type="dxa"/>
            <w:tcBorders>
              <w:top w:val="nil"/>
              <w:left w:val="nil"/>
              <w:bottom w:val="single" w:sz="4" w:space="0" w:color="auto"/>
              <w:right w:val="single" w:sz="4" w:space="0" w:color="auto"/>
            </w:tcBorders>
            <w:vAlign w:val="center"/>
          </w:tcPr>
          <w:p w14:paraId="5307AC3C" w14:textId="77777777" w:rsidR="009175A4" w:rsidRPr="00107C19" w:rsidRDefault="009175A4" w:rsidP="00167353">
            <w:pPr>
              <w:pStyle w:val="TableHeading"/>
              <w:jc w:val="center"/>
              <w:rPr>
                <w:b w:val="0"/>
                <w:bCs/>
                <w:color w:val="000000" w:themeColor="text1"/>
              </w:rPr>
            </w:pPr>
            <w:r w:rsidRPr="00107C19">
              <w:rPr>
                <w:b w:val="0"/>
                <w:bCs/>
                <w:color w:val="000000" w:themeColor="text1"/>
              </w:rPr>
              <w:t>$3,729,529</w:t>
            </w:r>
          </w:p>
        </w:tc>
        <w:tc>
          <w:tcPr>
            <w:tcW w:w="1310" w:type="dxa"/>
            <w:tcBorders>
              <w:top w:val="nil"/>
              <w:left w:val="nil"/>
              <w:bottom w:val="single" w:sz="4" w:space="0" w:color="auto"/>
              <w:right w:val="single" w:sz="4" w:space="0" w:color="auto"/>
            </w:tcBorders>
            <w:vAlign w:val="center"/>
          </w:tcPr>
          <w:p w14:paraId="68674A58" w14:textId="77777777" w:rsidR="009175A4" w:rsidRPr="00107C19" w:rsidRDefault="009175A4" w:rsidP="00167353">
            <w:pPr>
              <w:pStyle w:val="TableHeading"/>
              <w:jc w:val="center"/>
              <w:rPr>
                <w:b w:val="0"/>
                <w:bCs/>
                <w:color w:val="000000" w:themeColor="text1"/>
              </w:rPr>
            </w:pPr>
            <w:r w:rsidRPr="00107C19">
              <w:rPr>
                <w:b w:val="0"/>
                <w:bCs/>
                <w:color w:val="000000" w:themeColor="text1"/>
              </w:rPr>
              <w:t>$3,845,473</w:t>
            </w:r>
          </w:p>
        </w:tc>
      </w:tr>
      <w:tr w:rsidR="00107C19" w:rsidRPr="00107C19" w14:paraId="49439701" w14:textId="77777777" w:rsidTr="00167353">
        <w:trPr>
          <w:trHeight w:val="33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4336446A" w14:textId="77777777" w:rsidR="009175A4" w:rsidRPr="00107C19" w:rsidRDefault="009175A4" w:rsidP="005C3D2B">
            <w:pPr>
              <w:pStyle w:val="TableHeading"/>
              <w:rPr>
                <w:b w:val="0"/>
                <w:bCs/>
                <w:color w:val="000000" w:themeColor="text1"/>
              </w:rPr>
            </w:pPr>
            <w:r w:rsidRPr="00107C19">
              <w:rPr>
                <w:b w:val="0"/>
                <w:bCs/>
                <w:color w:val="000000" w:themeColor="text1"/>
              </w:rPr>
              <w:t>Other IP licenses</w:t>
            </w:r>
            <w:r w:rsidRPr="00107C19">
              <w:rPr>
                <w:b w:val="0"/>
                <w:bCs/>
                <w:color w:val="000000" w:themeColor="text1"/>
                <w:vertAlign w:val="superscript"/>
              </w:rPr>
              <w:t>2</w:t>
            </w:r>
            <w:r w:rsidRPr="00107C19">
              <w:rPr>
                <w:b w:val="0"/>
                <w:bCs/>
                <w:color w:val="000000" w:themeColor="text1"/>
              </w:rPr>
              <w:t xml:space="preserve"> income</w:t>
            </w:r>
          </w:p>
        </w:tc>
        <w:tc>
          <w:tcPr>
            <w:tcW w:w="1620" w:type="dxa"/>
            <w:tcBorders>
              <w:top w:val="nil"/>
              <w:left w:val="nil"/>
              <w:bottom w:val="single" w:sz="4" w:space="0" w:color="auto"/>
              <w:right w:val="single" w:sz="4" w:space="0" w:color="auto"/>
            </w:tcBorders>
            <w:noWrap/>
            <w:vAlign w:val="center"/>
          </w:tcPr>
          <w:p w14:paraId="13EB5CA5" w14:textId="77777777" w:rsidR="009175A4" w:rsidRPr="00107C19" w:rsidRDefault="009175A4" w:rsidP="00167353">
            <w:pPr>
              <w:pStyle w:val="TableHeading"/>
              <w:jc w:val="center"/>
              <w:rPr>
                <w:b w:val="0"/>
                <w:bCs/>
                <w:color w:val="000000" w:themeColor="text1"/>
              </w:rPr>
            </w:pPr>
            <w:r w:rsidRPr="00107C19">
              <w:rPr>
                <w:b w:val="0"/>
                <w:bCs/>
                <w:color w:val="000000" w:themeColor="text1"/>
              </w:rPr>
              <w:t>$274,759</w:t>
            </w:r>
          </w:p>
        </w:tc>
        <w:tc>
          <w:tcPr>
            <w:tcW w:w="1330" w:type="dxa"/>
            <w:tcBorders>
              <w:top w:val="nil"/>
              <w:left w:val="nil"/>
              <w:bottom w:val="single" w:sz="4" w:space="0" w:color="auto"/>
              <w:right w:val="single" w:sz="4" w:space="0" w:color="auto"/>
            </w:tcBorders>
            <w:vAlign w:val="center"/>
          </w:tcPr>
          <w:p w14:paraId="474DDA04"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$308,934</w:t>
            </w:r>
          </w:p>
        </w:tc>
        <w:tc>
          <w:tcPr>
            <w:tcW w:w="1428" w:type="dxa"/>
            <w:tcBorders>
              <w:top w:val="nil"/>
              <w:left w:val="nil"/>
              <w:bottom w:val="single" w:sz="4" w:space="0" w:color="auto"/>
              <w:right w:val="single" w:sz="4" w:space="0" w:color="auto"/>
            </w:tcBorders>
            <w:vAlign w:val="center"/>
          </w:tcPr>
          <w:p w14:paraId="10B1AE83" w14:textId="77777777" w:rsidR="009175A4" w:rsidRPr="00107C19" w:rsidRDefault="009175A4" w:rsidP="00167353">
            <w:pPr>
              <w:pStyle w:val="TableHeading"/>
              <w:jc w:val="center"/>
              <w:rPr>
                <w:b w:val="0"/>
                <w:bCs/>
                <w:color w:val="000000" w:themeColor="text1"/>
              </w:rPr>
            </w:pPr>
            <w:r w:rsidRPr="00107C19">
              <w:rPr>
                <w:b w:val="0"/>
                <w:bCs/>
                <w:color w:val="000000" w:themeColor="text1"/>
              </w:rPr>
              <w:t>$241,265</w:t>
            </w:r>
          </w:p>
        </w:tc>
        <w:tc>
          <w:tcPr>
            <w:tcW w:w="1348" w:type="dxa"/>
            <w:tcBorders>
              <w:top w:val="nil"/>
              <w:left w:val="nil"/>
              <w:bottom w:val="single" w:sz="4" w:space="0" w:color="auto"/>
              <w:right w:val="single" w:sz="4" w:space="0" w:color="auto"/>
            </w:tcBorders>
            <w:vAlign w:val="center"/>
          </w:tcPr>
          <w:p w14:paraId="0B809004"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$309,797</w:t>
            </w:r>
          </w:p>
        </w:tc>
        <w:tc>
          <w:tcPr>
            <w:tcW w:w="1310" w:type="dxa"/>
            <w:tcBorders>
              <w:top w:val="nil"/>
              <w:left w:val="nil"/>
              <w:bottom w:val="single" w:sz="4" w:space="0" w:color="auto"/>
              <w:right w:val="single" w:sz="4" w:space="0" w:color="auto"/>
            </w:tcBorders>
            <w:vAlign w:val="center"/>
          </w:tcPr>
          <w:p w14:paraId="5E219450" w14:textId="77777777" w:rsidR="009175A4" w:rsidRPr="00107C19" w:rsidRDefault="009175A4" w:rsidP="00167353">
            <w:pPr>
              <w:pStyle w:val="TableHeading"/>
              <w:jc w:val="center"/>
              <w:rPr>
                <w:b w:val="0"/>
                <w:bCs/>
                <w:color w:val="000000" w:themeColor="text1"/>
              </w:rPr>
            </w:pPr>
            <w:r w:rsidRPr="00107C19">
              <w:rPr>
                <w:b w:val="0"/>
                <w:bCs/>
                <w:color w:val="000000" w:themeColor="text1"/>
              </w:rPr>
              <w:t>$345,115</w:t>
            </w:r>
          </w:p>
        </w:tc>
      </w:tr>
      <w:tr w:rsidR="00107C19" w:rsidRPr="00107C19" w14:paraId="6C9A0B5A" w14:textId="77777777" w:rsidTr="00167353">
        <w:trPr>
          <w:trHeight w:val="300"/>
          <w:jc w:val="center"/>
        </w:trPr>
        <w:tc>
          <w:tcPr>
            <w:tcW w:w="3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4E851" w14:textId="77777777" w:rsidR="009175A4" w:rsidRPr="00107C19" w:rsidRDefault="009175A4" w:rsidP="005C3D2B">
            <w:pPr>
              <w:pStyle w:val="TableHeading"/>
              <w:rPr>
                <w:b w:val="0"/>
                <w:bCs/>
                <w:color w:val="000000" w:themeColor="text1"/>
              </w:rPr>
            </w:pPr>
            <w:r w:rsidRPr="00107C19">
              <w:rPr>
                <w:b w:val="0"/>
                <w:bCs/>
                <w:color w:val="000000" w:themeColor="text1"/>
              </w:rPr>
              <w:t xml:space="preserve">Total Earned royalty income (ERI) </w:t>
            </w:r>
          </w:p>
        </w:tc>
        <w:tc>
          <w:tcPr>
            <w:tcW w:w="1620" w:type="dxa"/>
            <w:tcBorders>
              <w:top w:val="single" w:sz="4" w:space="0" w:color="auto"/>
              <w:left w:val="nil"/>
              <w:bottom w:val="single" w:sz="4" w:space="0" w:color="auto"/>
              <w:right w:val="single" w:sz="4" w:space="0" w:color="auto"/>
            </w:tcBorders>
            <w:shd w:val="clear" w:color="auto" w:fill="auto"/>
            <w:noWrap/>
            <w:vAlign w:val="center"/>
          </w:tcPr>
          <w:p w14:paraId="745134ED" w14:textId="77777777" w:rsidR="009175A4" w:rsidRPr="00107C19" w:rsidRDefault="009175A4" w:rsidP="00167353">
            <w:pPr>
              <w:pStyle w:val="TableHeading"/>
              <w:jc w:val="center"/>
              <w:rPr>
                <w:b w:val="0"/>
                <w:bCs/>
                <w:color w:val="000000" w:themeColor="text1"/>
              </w:rPr>
            </w:pPr>
            <w:r w:rsidRPr="00107C19">
              <w:rPr>
                <w:b w:val="0"/>
                <w:bCs/>
                <w:color w:val="000000" w:themeColor="text1"/>
              </w:rPr>
              <w:t>$2,678,083</w:t>
            </w:r>
          </w:p>
        </w:tc>
        <w:tc>
          <w:tcPr>
            <w:tcW w:w="1330" w:type="dxa"/>
            <w:tcBorders>
              <w:top w:val="single" w:sz="4" w:space="0" w:color="auto"/>
              <w:left w:val="nil"/>
              <w:bottom w:val="single" w:sz="4" w:space="0" w:color="auto"/>
              <w:right w:val="single" w:sz="4" w:space="0" w:color="auto"/>
            </w:tcBorders>
            <w:shd w:val="clear" w:color="auto" w:fill="auto"/>
            <w:vAlign w:val="center"/>
          </w:tcPr>
          <w:p w14:paraId="6A686F91" w14:textId="77777777" w:rsidR="009175A4" w:rsidRPr="00107C19" w:rsidRDefault="009175A4" w:rsidP="00167353">
            <w:pPr>
              <w:pStyle w:val="TableHeading"/>
              <w:jc w:val="center"/>
              <w:rPr>
                <w:b w:val="0"/>
                <w:bCs/>
                <w:color w:val="000000" w:themeColor="text1"/>
              </w:rPr>
            </w:pPr>
            <w:r w:rsidRPr="00107C19">
              <w:rPr>
                <w:b w:val="0"/>
                <w:bCs/>
                <w:color w:val="000000" w:themeColor="text1"/>
              </w:rPr>
              <w:t>$2,715,861</w:t>
            </w:r>
          </w:p>
        </w:tc>
        <w:tc>
          <w:tcPr>
            <w:tcW w:w="1428" w:type="dxa"/>
            <w:tcBorders>
              <w:top w:val="single" w:sz="4" w:space="0" w:color="auto"/>
              <w:left w:val="nil"/>
              <w:bottom w:val="single" w:sz="4" w:space="0" w:color="auto"/>
              <w:right w:val="single" w:sz="4" w:space="0" w:color="auto"/>
            </w:tcBorders>
            <w:shd w:val="clear" w:color="auto" w:fill="auto"/>
            <w:vAlign w:val="center"/>
          </w:tcPr>
          <w:p w14:paraId="438CF71A" w14:textId="77777777" w:rsidR="009175A4" w:rsidRPr="00107C19" w:rsidRDefault="009175A4" w:rsidP="00167353">
            <w:pPr>
              <w:pStyle w:val="TableHeading"/>
              <w:jc w:val="center"/>
              <w:rPr>
                <w:b w:val="0"/>
                <w:bCs/>
                <w:color w:val="000000" w:themeColor="text1"/>
              </w:rPr>
            </w:pPr>
            <w:r w:rsidRPr="00107C19">
              <w:rPr>
                <w:b w:val="0"/>
                <w:bCs/>
                <w:color w:val="000000" w:themeColor="text1"/>
              </w:rPr>
              <w:t>$2,399,480</w:t>
            </w:r>
          </w:p>
        </w:tc>
        <w:tc>
          <w:tcPr>
            <w:tcW w:w="1348" w:type="dxa"/>
            <w:tcBorders>
              <w:top w:val="single" w:sz="4" w:space="0" w:color="auto"/>
              <w:left w:val="nil"/>
              <w:bottom w:val="single" w:sz="4" w:space="0" w:color="auto"/>
              <w:right w:val="single" w:sz="4" w:space="0" w:color="auto"/>
            </w:tcBorders>
            <w:shd w:val="clear" w:color="auto" w:fill="auto"/>
            <w:vAlign w:val="center"/>
          </w:tcPr>
          <w:p w14:paraId="11F069BA" w14:textId="77777777" w:rsidR="009175A4" w:rsidRPr="00107C19" w:rsidRDefault="009175A4" w:rsidP="00167353">
            <w:pPr>
              <w:pStyle w:val="TableHeading"/>
              <w:jc w:val="center"/>
              <w:rPr>
                <w:b w:val="0"/>
                <w:bCs/>
                <w:color w:val="000000" w:themeColor="text1"/>
              </w:rPr>
            </w:pPr>
            <w:r w:rsidRPr="00107C19">
              <w:rPr>
                <w:b w:val="0"/>
                <w:bCs/>
                <w:color w:val="000000" w:themeColor="text1"/>
              </w:rPr>
              <w:t>$3,345,614</w:t>
            </w:r>
          </w:p>
        </w:tc>
        <w:tc>
          <w:tcPr>
            <w:tcW w:w="1310" w:type="dxa"/>
            <w:tcBorders>
              <w:top w:val="single" w:sz="4" w:space="0" w:color="auto"/>
              <w:left w:val="nil"/>
              <w:bottom w:val="single" w:sz="4" w:space="0" w:color="auto"/>
              <w:right w:val="single" w:sz="4" w:space="0" w:color="auto"/>
            </w:tcBorders>
            <w:shd w:val="clear" w:color="auto" w:fill="auto"/>
            <w:vAlign w:val="center"/>
          </w:tcPr>
          <w:p w14:paraId="4F14D0C6" w14:textId="77777777" w:rsidR="009175A4" w:rsidRPr="00107C19" w:rsidRDefault="009175A4" w:rsidP="00167353">
            <w:pPr>
              <w:pStyle w:val="TableHeading"/>
              <w:jc w:val="center"/>
              <w:rPr>
                <w:b w:val="0"/>
                <w:bCs/>
                <w:color w:val="000000" w:themeColor="text1"/>
              </w:rPr>
            </w:pPr>
            <w:r w:rsidRPr="00107C19">
              <w:rPr>
                <w:b w:val="0"/>
                <w:bCs/>
                <w:color w:val="000000" w:themeColor="text1"/>
              </w:rPr>
              <w:t>$3,200,750</w:t>
            </w:r>
          </w:p>
        </w:tc>
      </w:tr>
      <w:tr w:rsidR="00107C19" w:rsidRPr="00107C19" w14:paraId="4C4FF788"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6CB26A36" w14:textId="77777777" w:rsidR="009175A4" w:rsidRPr="00107C19" w:rsidRDefault="009175A4" w:rsidP="005C3D2B">
            <w:pPr>
              <w:pStyle w:val="TableHeading"/>
              <w:rPr>
                <w:b w:val="0"/>
                <w:bCs/>
                <w:color w:val="000000" w:themeColor="text1"/>
              </w:rPr>
            </w:pPr>
            <w:r w:rsidRPr="00107C19">
              <w:rPr>
                <w:b w:val="0"/>
                <w:bCs/>
                <w:color w:val="000000" w:themeColor="text1"/>
              </w:rPr>
              <w:t>Median ERI</w:t>
            </w:r>
          </w:p>
        </w:tc>
        <w:tc>
          <w:tcPr>
            <w:tcW w:w="1620" w:type="dxa"/>
            <w:tcBorders>
              <w:top w:val="nil"/>
              <w:left w:val="nil"/>
              <w:bottom w:val="single" w:sz="4" w:space="0" w:color="auto"/>
              <w:right w:val="single" w:sz="4" w:space="0" w:color="auto"/>
            </w:tcBorders>
            <w:noWrap/>
            <w:vAlign w:val="center"/>
          </w:tcPr>
          <w:p w14:paraId="13A196D3" w14:textId="77777777" w:rsidR="009175A4" w:rsidRPr="00107C19" w:rsidRDefault="009175A4" w:rsidP="00167353">
            <w:pPr>
              <w:pStyle w:val="TableHeading"/>
              <w:jc w:val="center"/>
              <w:rPr>
                <w:b w:val="0"/>
                <w:bCs/>
                <w:color w:val="000000" w:themeColor="text1"/>
              </w:rPr>
            </w:pPr>
            <w:r w:rsidRPr="00107C19">
              <w:rPr>
                <w:b w:val="0"/>
                <w:bCs/>
                <w:color w:val="000000" w:themeColor="text1"/>
              </w:rPr>
              <w:t>$4,221</w:t>
            </w:r>
          </w:p>
        </w:tc>
        <w:tc>
          <w:tcPr>
            <w:tcW w:w="1330" w:type="dxa"/>
            <w:tcBorders>
              <w:top w:val="nil"/>
              <w:left w:val="nil"/>
              <w:bottom w:val="single" w:sz="4" w:space="0" w:color="auto"/>
              <w:right w:val="single" w:sz="4" w:space="0" w:color="auto"/>
            </w:tcBorders>
            <w:vAlign w:val="center"/>
          </w:tcPr>
          <w:p w14:paraId="3923E436" w14:textId="77777777" w:rsidR="009175A4" w:rsidRPr="00107C19" w:rsidRDefault="009175A4" w:rsidP="00167353">
            <w:pPr>
              <w:pStyle w:val="TableHeading"/>
              <w:jc w:val="center"/>
              <w:rPr>
                <w:b w:val="0"/>
                <w:bCs/>
                <w:color w:val="000000" w:themeColor="text1"/>
              </w:rPr>
            </w:pPr>
            <w:r w:rsidRPr="00107C19">
              <w:rPr>
                <w:b w:val="0"/>
                <w:bCs/>
                <w:color w:val="000000" w:themeColor="text1"/>
              </w:rPr>
              <w:t>$3,056</w:t>
            </w:r>
          </w:p>
        </w:tc>
        <w:tc>
          <w:tcPr>
            <w:tcW w:w="1428" w:type="dxa"/>
            <w:tcBorders>
              <w:top w:val="nil"/>
              <w:left w:val="nil"/>
              <w:bottom w:val="single" w:sz="4" w:space="0" w:color="auto"/>
              <w:right w:val="single" w:sz="4" w:space="0" w:color="auto"/>
            </w:tcBorders>
            <w:vAlign w:val="center"/>
          </w:tcPr>
          <w:p w14:paraId="30F6B101" w14:textId="77777777" w:rsidR="009175A4" w:rsidRPr="00107C19" w:rsidRDefault="009175A4" w:rsidP="00167353">
            <w:pPr>
              <w:pStyle w:val="TableHeading"/>
              <w:jc w:val="center"/>
              <w:rPr>
                <w:b w:val="0"/>
                <w:bCs/>
                <w:color w:val="000000" w:themeColor="text1"/>
              </w:rPr>
            </w:pPr>
            <w:r w:rsidRPr="00107C19">
              <w:rPr>
                <w:b w:val="0"/>
                <w:bCs/>
                <w:color w:val="000000" w:themeColor="text1"/>
              </w:rPr>
              <w:t>$3,738</w:t>
            </w:r>
          </w:p>
        </w:tc>
        <w:tc>
          <w:tcPr>
            <w:tcW w:w="1348" w:type="dxa"/>
            <w:tcBorders>
              <w:top w:val="nil"/>
              <w:left w:val="nil"/>
              <w:bottom w:val="single" w:sz="4" w:space="0" w:color="auto"/>
              <w:right w:val="single" w:sz="4" w:space="0" w:color="auto"/>
            </w:tcBorders>
            <w:vAlign w:val="center"/>
          </w:tcPr>
          <w:p w14:paraId="02F12E7C" w14:textId="77777777" w:rsidR="009175A4" w:rsidRPr="00107C19" w:rsidRDefault="009175A4" w:rsidP="00167353">
            <w:pPr>
              <w:pStyle w:val="TableHeading"/>
              <w:jc w:val="center"/>
              <w:rPr>
                <w:b w:val="0"/>
                <w:bCs/>
                <w:color w:val="000000" w:themeColor="text1"/>
              </w:rPr>
            </w:pPr>
            <w:r w:rsidRPr="00107C19">
              <w:rPr>
                <w:b w:val="0"/>
                <w:bCs/>
                <w:color w:val="000000" w:themeColor="text1"/>
              </w:rPr>
              <w:t>$3,887</w:t>
            </w:r>
          </w:p>
        </w:tc>
        <w:tc>
          <w:tcPr>
            <w:tcW w:w="1310" w:type="dxa"/>
            <w:tcBorders>
              <w:top w:val="nil"/>
              <w:left w:val="nil"/>
              <w:bottom w:val="single" w:sz="4" w:space="0" w:color="auto"/>
              <w:right w:val="single" w:sz="4" w:space="0" w:color="auto"/>
            </w:tcBorders>
            <w:vAlign w:val="center"/>
          </w:tcPr>
          <w:p w14:paraId="79910A95"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$3124</w:t>
            </w:r>
          </w:p>
        </w:tc>
      </w:tr>
      <w:tr w:rsidR="00107C19" w:rsidRPr="00107C19" w14:paraId="5BE0DB91"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32D8017C" w14:textId="77777777" w:rsidR="009175A4" w:rsidRPr="00107C19" w:rsidRDefault="009175A4" w:rsidP="005C3D2B">
            <w:pPr>
              <w:pStyle w:val="TableHeading"/>
              <w:rPr>
                <w:b w:val="0"/>
                <w:bCs/>
                <w:color w:val="000000" w:themeColor="text1"/>
              </w:rPr>
            </w:pPr>
            <w:r w:rsidRPr="00107C19">
              <w:rPr>
                <w:b w:val="0"/>
                <w:bCs/>
                <w:color w:val="000000" w:themeColor="text1"/>
              </w:rPr>
              <w:t>Minimum ERI</w:t>
            </w:r>
          </w:p>
        </w:tc>
        <w:tc>
          <w:tcPr>
            <w:tcW w:w="1620" w:type="dxa"/>
            <w:tcBorders>
              <w:top w:val="nil"/>
              <w:left w:val="nil"/>
              <w:bottom w:val="single" w:sz="4" w:space="0" w:color="auto"/>
              <w:right w:val="single" w:sz="4" w:space="0" w:color="auto"/>
            </w:tcBorders>
            <w:noWrap/>
            <w:vAlign w:val="center"/>
          </w:tcPr>
          <w:p w14:paraId="23BDCD29" w14:textId="77777777" w:rsidR="009175A4" w:rsidRPr="00107C19" w:rsidRDefault="009175A4" w:rsidP="00167353">
            <w:pPr>
              <w:pStyle w:val="TableHeading"/>
              <w:jc w:val="center"/>
              <w:rPr>
                <w:b w:val="0"/>
                <w:bCs/>
                <w:color w:val="000000" w:themeColor="text1"/>
              </w:rPr>
            </w:pPr>
            <w:r w:rsidRPr="00107C19">
              <w:rPr>
                <w:b w:val="0"/>
                <w:bCs/>
                <w:color w:val="000000" w:themeColor="text1"/>
              </w:rPr>
              <w:t>$13</w:t>
            </w:r>
          </w:p>
        </w:tc>
        <w:tc>
          <w:tcPr>
            <w:tcW w:w="1330" w:type="dxa"/>
            <w:tcBorders>
              <w:top w:val="nil"/>
              <w:left w:val="nil"/>
              <w:bottom w:val="single" w:sz="4" w:space="0" w:color="auto"/>
              <w:right w:val="single" w:sz="4" w:space="0" w:color="auto"/>
            </w:tcBorders>
            <w:vAlign w:val="center"/>
          </w:tcPr>
          <w:p w14:paraId="437472F0"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w:t>
            </w:r>
          </w:p>
        </w:tc>
        <w:tc>
          <w:tcPr>
            <w:tcW w:w="1428" w:type="dxa"/>
            <w:tcBorders>
              <w:top w:val="nil"/>
              <w:left w:val="nil"/>
              <w:bottom w:val="single" w:sz="4" w:space="0" w:color="auto"/>
              <w:right w:val="single" w:sz="4" w:space="0" w:color="auto"/>
            </w:tcBorders>
            <w:vAlign w:val="center"/>
          </w:tcPr>
          <w:p w14:paraId="656A413E" w14:textId="77777777" w:rsidR="009175A4" w:rsidRPr="00107C19" w:rsidRDefault="009175A4" w:rsidP="00167353">
            <w:pPr>
              <w:pStyle w:val="TableHeading"/>
              <w:jc w:val="center"/>
              <w:rPr>
                <w:b w:val="0"/>
                <w:bCs/>
                <w:color w:val="000000" w:themeColor="text1"/>
              </w:rPr>
            </w:pPr>
            <w:r w:rsidRPr="00107C19">
              <w:rPr>
                <w:b w:val="0"/>
                <w:bCs/>
                <w:color w:val="000000" w:themeColor="text1"/>
              </w:rPr>
              <w:t>$0.02</w:t>
            </w:r>
          </w:p>
        </w:tc>
        <w:tc>
          <w:tcPr>
            <w:tcW w:w="1348" w:type="dxa"/>
            <w:tcBorders>
              <w:top w:val="nil"/>
              <w:left w:val="nil"/>
              <w:bottom w:val="single" w:sz="4" w:space="0" w:color="auto"/>
              <w:right w:val="single" w:sz="4" w:space="0" w:color="auto"/>
            </w:tcBorders>
            <w:vAlign w:val="center"/>
          </w:tcPr>
          <w:p w14:paraId="3855E27B" w14:textId="77777777" w:rsidR="009175A4" w:rsidRPr="00107C19" w:rsidRDefault="009175A4" w:rsidP="00167353">
            <w:pPr>
              <w:pStyle w:val="TableHeading"/>
              <w:jc w:val="center"/>
              <w:rPr>
                <w:b w:val="0"/>
                <w:bCs/>
                <w:color w:val="000000" w:themeColor="text1"/>
              </w:rPr>
            </w:pPr>
            <w:r w:rsidRPr="00107C19">
              <w:rPr>
                <w:b w:val="0"/>
                <w:bCs/>
                <w:color w:val="000000" w:themeColor="text1"/>
              </w:rPr>
              <w:t>$5</w:t>
            </w:r>
          </w:p>
        </w:tc>
        <w:tc>
          <w:tcPr>
            <w:tcW w:w="1310" w:type="dxa"/>
            <w:tcBorders>
              <w:top w:val="nil"/>
              <w:left w:val="nil"/>
              <w:bottom w:val="single" w:sz="4" w:space="0" w:color="auto"/>
              <w:right w:val="single" w:sz="4" w:space="0" w:color="auto"/>
            </w:tcBorders>
            <w:vAlign w:val="center"/>
          </w:tcPr>
          <w:p w14:paraId="51DE654B"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w:t>
            </w:r>
          </w:p>
        </w:tc>
      </w:tr>
      <w:tr w:rsidR="00107C19" w:rsidRPr="00107C19" w14:paraId="0E10C0F6"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5C54240A" w14:textId="77777777" w:rsidR="009175A4" w:rsidRPr="00107C19" w:rsidRDefault="009175A4" w:rsidP="005C3D2B">
            <w:pPr>
              <w:pStyle w:val="TableHeading"/>
              <w:rPr>
                <w:b w:val="0"/>
                <w:bCs/>
                <w:color w:val="000000" w:themeColor="text1"/>
              </w:rPr>
            </w:pPr>
            <w:r w:rsidRPr="00107C19">
              <w:rPr>
                <w:b w:val="0"/>
                <w:bCs/>
                <w:color w:val="000000" w:themeColor="text1"/>
              </w:rPr>
              <w:t>Maximum ERI</w:t>
            </w:r>
          </w:p>
        </w:tc>
        <w:tc>
          <w:tcPr>
            <w:tcW w:w="1620" w:type="dxa"/>
            <w:tcBorders>
              <w:top w:val="nil"/>
              <w:left w:val="nil"/>
              <w:bottom w:val="nil"/>
              <w:right w:val="single" w:sz="4" w:space="0" w:color="auto"/>
            </w:tcBorders>
            <w:shd w:val="clear" w:color="000000" w:fill="FFFFFF"/>
            <w:noWrap/>
            <w:vAlign w:val="center"/>
          </w:tcPr>
          <w:p w14:paraId="22F76FB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$279,915</w:t>
            </w:r>
          </w:p>
        </w:tc>
        <w:tc>
          <w:tcPr>
            <w:tcW w:w="1330" w:type="dxa"/>
            <w:tcBorders>
              <w:top w:val="nil"/>
              <w:left w:val="nil"/>
              <w:bottom w:val="nil"/>
              <w:right w:val="single" w:sz="4" w:space="0" w:color="auto"/>
            </w:tcBorders>
            <w:shd w:val="clear" w:color="000000" w:fill="FFFFFF"/>
            <w:vAlign w:val="center"/>
          </w:tcPr>
          <w:p w14:paraId="0985C8C1" w14:textId="77777777" w:rsidR="009175A4" w:rsidRPr="00107C19" w:rsidRDefault="009175A4" w:rsidP="00167353">
            <w:pPr>
              <w:pStyle w:val="TableHeading"/>
              <w:jc w:val="center"/>
              <w:rPr>
                <w:b w:val="0"/>
                <w:bCs/>
                <w:color w:val="000000" w:themeColor="text1"/>
              </w:rPr>
            </w:pPr>
            <w:r w:rsidRPr="00107C19">
              <w:rPr>
                <w:b w:val="0"/>
                <w:bCs/>
                <w:color w:val="000000" w:themeColor="text1"/>
              </w:rPr>
              <w:t>$265,844</w:t>
            </w:r>
          </w:p>
        </w:tc>
        <w:tc>
          <w:tcPr>
            <w:tcW w:w="1428" w:type="dxa"/>
            <w:tcBorders>
              <w:top w:val="nil"/>
              <w:left w:val="nil"/>
              <w:bottom w:val="nil"/>
              <w:right w:val="single" w:sz="4" w:space="0" w:color="auto"/>
            </w:tcBorders>
            <w:shd w:val="clear" w:color="auto" w:fill="FFFFFF"/>
            <w:vAlign w:val="center"/>
          </w:tcPr>
          <w:p w14:paraId="6C733E98" w14:textId="77777777" w:rsidR="009175A4" w:rsidRPr="00107C19" w:rsidRDefault="009175A4" w:rsidP="00167353">
            <w:pPr>
              <w:pStyle w:val="TableHeading"/>
              <w:jc w:val="center"/>
              <w:rPr>
                <w:b w:val="0"/>
                <w:bCs/>
                <w:color w:val="000000" w:themeColor="text1"/>
              </w:rPr>
            </w:pPr>
            <w:r w:rsidRPr="00107C19">
              <w:rPr>
                <w:b w:val="0"/>
                <w:bCs/>
                <w:color w:val="000000" w:themeColor="text1"/>
              </w:rPr>
              <w:t>$310,589</w:t>
            </w:r>
          </w:p>
        </w:tc>
        <w:tc>
          <w:tcPr>
            <w:tcW w:w="1348" w:type="dxa"/>
            <w:tcBorders>
              <w:top w:val="nil"/>
              <w:left w:val="nil"/>
              <w:bottom w:val="nil"/>
              <w:right w:val="single" w:sz="4" w:space="0" w:color="auto"/>
            </w:tcBorders>
            <w:shd w:val="clear" w:color="auto" w:fill="FFFFFF"/>
            <w:vAlign w:val="center"/>
          </w:tcPr>
          <w:p w14:paraId="1C354D0D" w14:textId="77777777" w:rsidR="009175A4" w:rsidRPr="00107C19" w:rsidRDefault="009175A4" w:rsidP="00167353">
            <w:pPr>
              <w:pStyle w:val="TableHeading"/>
              <w:jc w:val="center"/>
              <w:rPr>
                <w:b w:val="0"/>
                <w:bCs/>
                <w:color w:val="000000" w:themeColor="text1"/>
              </w:rPr>
            </w:pPr>
            <w:r w:rsidRPr="00107C19">
              <w:rPr>
                <w:b w:val="0"/>
                <w:bCs/>
                <w:color w:val="000000" w:themeColor="text1"/>
              </w:rPr>
              <w:t>$365,273</w:t>
            </w:r>
          </w:p>
        </w:tc>
        <w:tc>
          <w:tcPr>
            <w:tcW w:w="1310" w:type="dxa"/>
            <w:tcBorders>
              <w:top w:val="nil"/>
              <w:left w:val="nil"/>
              <w:bottom w:val="nil"/>
              <w:right w:val="single" w:sz="4" w:space="0" w:color="auto"/>
            </w:tcBorders>
            <w:shd w:val="clear" w:color="auto" w:fill="FFFFFF"/>
            <w:vAlign w:val="center"/>
          </w:tcPr>
          <w:p w14:paraId="43D99AB4" w14:textId="77777777" w:rsidR="009175A4" w:rsidRPr="00107C19" w:rsidRDefault="009175A4" w:rsidP="00167353">
            <w:pPr>
              <w:pStyle w:val="TableHeading"/>
              <w:jc w:val="center"/>
              <w:rPr>
                <w:b w:val="0"/>
                <w:bCs/>
                <w:color w:val="000000" w:themeColor="text1"/>
              </w:rPr>
            </w:pPr>
            <w:r w:rsidRPr="00107C19">
              <w:rPr>
                <w:b w:val="0"/>
                <w:bCs/>
                <w:color w:val="000000" w:themeColor="text1"/>
              </w:rPr>
              <w:t>$600,202</w:t>
            </w:r>
          </w:p>
        </w:tc>
      </w:tr>
      <w:tr w:rsidR="00107C19" w:rsidRPr="00107C19" w14:paraId="46A10C10"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33C7617A" w14:textId="77777777" w:rsidR="009175A4" w:rsidRPr="00107C19" w:rsidRDefault="009175A4" w:rsidP="005C3D2B">
            <w:pPr>
              <w:pStyle w:val="TableHeading"/>
              <w:rPr>
                <w:b w:val="0"/>
                <w:bCs/>
                <w:color w:val="000000" w:themeColor="text1"/>
              </w:rPr>
            </w:pPr>
            <w:r w:rsidRPr="00107C19">
              <w:rPr>
                <w:b w:val="0"/>
                <w:bCs/>
                <w:color w:val="000000" w:themeColor="text1"/>
              </w:rPr>
              <w:t>ERI from top 1% of licenses</w:t>
            </w:r>
            <w:r w:rsidRPr="00107C19">
              <w:rPr>
                <w:b w:val="0"/>
                <w:bCs/>
                <w:color w:val="000000" w:themeColor="text1"/>
                <w:vertAlign w:val="superscript"/>
              </w:rPr>
              <w:t>3</w:t>
            </w:r>
          </w:p>
        </w:tc>
        <w:tc>
          <w:tcPr>
            <w:tcW w:w="1620" w:type="dxa"/>
            <w:tcBorders>
              <w:top w:val="single" w:sz="4" w:space="0" w:color="auto"/>
              <w:left w:val="nil"/>
              <w:bottom w:val="single" w:sz="4" w:space="0" w:color="auto"/>
              <w:right w:val="single" w:sz="4" w:space="0" w:color="auto"/>
            </w:tcBorders>
            <w:vAlign w:val="center"/>
          </w:tcPr>
          <w:p w14:paraId="02F3636F" w14:textId="77777777" w:rsidR="009175A4" w:rsidRPr="00107C19" w:rsidRDefault="009175A4" w:rsidP="00167353">
            <w:pPr>
              <w:pStyle w:val="TableHeading"/>
              <w:jc w:val="center"/>
              <w:rPr>
                <w:b w:val="0"/>
                <w:bCs/>
                <w:color w:val="000000" w:themeColor="text1"/>
              </w:rPr>
            </w:pPr>
            <w:r w:rsidRPr="00107C19">
              <w:rPr>
                <w:b w:val="0"/>
                <w:bCs/>
                <w:color w:val="000000" w:themeColor="text1"/>
              </w:rPr>
              <w:t>NP</w:t>
            </w:r>
          </w:p>
        </w:tc>
        <w:tc>
          <w:tcPr>
            <w:tcW w:w="1330" w:type="dxa"/>
            <w:tcBorders>
              <w:top w:val="single" w:sz="4" w:space="0" w:color="auto"/>
              <w:left w:val="nil"/>
              <w:bottom w:val="single" w:sz="4" w:space="0" w:color="auto"/>
              <w:right w:val="single" w:sz="4" w:space="0" w:color="auto"/>
            </w:tcBorders>
            <w:vAlign w:val="center"/>
          </w:tcPr>
          <w:p w14:paraId="4E3A5232" w14:textId="77777777" w:rsidR="009175A4" w:rsidRPr="00107C19" w:rsidRDefault="009175A4" w:rsidP="00167353">
            <w:pPr>
              <w:pStyle w:val="TableHeading"/>
              <w:jc w:val="center"/>
              <w:rPr>
                <w:b w:val="0"/>
                <w:bCs/>
                <w:color w:val="000000" w:themeColor="text1"/>
              </w:rPr>
            </w:pPr>
            <w:r w:rsidRPr="00107C19">
              <w:rPr>
                <w:b w:val="0"/>
                <w:bCs/>
                <w:color w:val="000000" w:themeColor="text1"/>
              </w:rPr>
              <w:t>NP</w:t>
            </w:r>
          </w:p>
        </w:tc>
        <w:tc>
          <w:tcPr>
            <w:tcW w:w="1428" w:type="dxa"/>
            <w:tcBorders>
              <w:top w:val="single" w:sz="4" w:space="0" w:color="auto"/>
              <w:left w:val="nil"/>
              <w:bottom w:val="single" w:sz="4" w:space="0" w:color="auto"/>
              <w:right w:val="single" w:sz="4" w:space="0" w:color="auto"/>
            </w:tcBorders>
            <w:vAlign w:val="center"/>
          </w:tcPr>
          <w:p w14:paraId="2E701CD6" w14:textId="77777777" w:rsidR="009175A4" w:rsidRPr="00107C19" w:rsidRDefault="009175A4" w:rsidP="00167353">
            <w:pPr>
              <w:pStyle w:val="TableHeading"/>
              <w:jc w:val="center"/>
              <w:rPr>
                <w:b w:val="0"/>
                <w:bCs/>
                <w:color w:val="000000" w:themeColor="text1"/>
              </w:rPr>
            </w:pPr>
            <w:r w:rsidRPr="00107C19">
              <w:rPr>
                <w:b w:val="0"/>
                <w:bCs/>
                <w:color w:val="000000" w:themeColor="text1"/>
              </w:rPr>
              <w:t>NP</w:t>
            </w:r>
          </w:p>
        </w:tc>
        <w:tc>
          <w:tcPr>
            <w:tcW w:w="1348" w:type="dxa"/>
            <w:tcBorders>
              <w:top w:val="single" w:sz="4" w:space="0" w:color="auto"/>
              <w:left w:val="nil"/>
              <w:bottom w:val="single" w:sz="4" w:space="0" w:color="auto"/>
              <w:right w:val="single" w:sz="4" w:space="0" w:color="auto"/>
            </w:tcBorders>
            <w:vAlign w:val="center"/>
          </w:tcPr>
          <w:p w14:paraId="1E0F11F7" w14:textId="77777777" w:rsidR="009175A4" w:rsidRPr="00107C19" w:rsidRDefault="009175A4" w:rsidP="00167353">
            <w:pPr>
              <w:pStyle w:val="TableHeading"/>
              <w:jc w:val="center"/>
              <w:rPr>
                <w:b w:val="0"/>
                <w:bCs/>
                <w:color w:val="000000" w:themeColor="text1"/>
              </w:rPr>
            </w:pPr>
            <w:r w:rsidRPr="00107C19">
              <w:rPr>
                <w:b w:val="0"/>
                <w:bCs/>
                <w:color w:val="000000" w:themeColor="text1"/>
              </w:rPr>
              <w:t>NP</w:t>
            </w:r>
          </w:p>
        </w:tc>
        <w:tc>
          <w:tcPr>
            <w:tcW w:w="1310" w:type="dxa"/>
            <w:tcBorders>
              <w:top w:val="single" w:sz="4" w:space="0" w:color="auto"/>
              <w:left w:val="nil"/>
              <w:bottom w:val="single" w:sz="4" w:space="0" w:color="auto"/>
              <w:right w:val="single" w:sz="4" w:space="0" w:color="auto"/>
            </w:tcBorders>
            <w:vAlign w:val="center"/>
          </w:tcPr>
          <w:p w14:paraId="4330EA80" w14:textId="77777777" w:rsidR="009175A4" w:rsidRPr="00107C19" w:rsidRDefault="009175A4" w:rsidP="00167353">
            <w:pPr>
              <w:pStyle w:val="TableHeading"/>
              <w:jc w:val="center"/>
              <w:rPr>
                <w:b w:val="0"/>
                <w:bCs/>
                <w:color w:val="000000" w:themeColor="text1"/>
              </w:rPr>
            </w:pPr>
            <w:r w:rsidRPr="00107C19">
              <w:rPr>
                <w:b w:val="0"/>
                <w:bCs/>
                <w:color w:val="000000" w:themeColor="text1"/>
              </w:rPr>
              <w:t>NP</w:t>
            </w:r>
          </w:p>
        </w:tc>
      </w:tr>
      <w:tr w:rsidR="00107C19" w:rsidRPr="00107C19" w14:paraId="069B1BF1"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2B589A4E" w14:textId="77777777" w:rsidR="009175A4" w:rsidRPr="00107C19" w:rsidRDefault="009175A4" w:rsidP="005C3D2B">
            <w:pPr>
              <w:pStyle w:val="TableHeading"/>
              <w:rPr>
                <w:b w:val="0"/>
                <w:bCs/>
                <w:color w:val="000000" w:themeColor="text1"/>
              </w:rPr>
            </w:pPr>
            <w:r w:rsidRPr="00107C19">
              <w:rPr>
                <w:b w:val="0"/>
                <w:bCs/>
                <w:color w:val="000000" w:themeColor="text1"/>
              </w:rPr>
              <w:t>ERI from top 5% of licenses</w:t>
            </w:r>
          </w:p>
        </w:tc>
        <w:tc>
          <w:tcPr>
            <w:tcW w:w="1620" w:type="dxa"/>
            <w:tcBorders>
              <w:top w:val="nil"/>
              <w:left w:val="nil"/>
              <w:bottom w:val="single" w:sz="4" w:space="0" w:color="auto"/>
              <w:right w:val="single" w:sz="4" w:space="0" w:color="auto"/>
            </w:tcBorders>
            <w:shd w:val="clear" w:color="000000" w:fill="FFFFFF"/>
            <w:noWrap/>
            <w:vAlign w:val="center"/>
          </w:tcPr>
          <w:p w14:paraId="012469AC" w14:textId="77777777" w:rsidR="009175A4" w:rsidRPr="00107C19" w:rsidRDefault="009175A4" w:rsidP="00167353">
            <w:pPr>
              <w:pStyle w:val="TableHeading"/>
              <w:jc w:val="center"/>
              <w:rPr>
                <w:b w:val="0"/>
                <w:bCs/>
                <w:color w:val="000000" w:themeColor="text1"/>
              </w:rPr>
            </w:pPr>
            <w:r w:rsidRPr="00107C19">
              <w:rPr>
                <w:b w:val="0"/>
                <w:bCs/>
                <w:color w:val="000000" w:themeColor="text1"/>
              </w:rPr>
              <w:t>$1,111,917</w:t>
            </w:r>
          </w:p>
        </w:tc>
        <w:tc>
          <w:tcPr>
            <w:tcW w:w="1330" w:type="dxa"/>
            <w:tcBorders>
              <w:top w:val="nil"/>
              <w:left w:val="nil"/>
              <w:bottom w:val="single" w:sz="4" w:space="0" w:color="auto"/>
              <w:right w:val="single" w:sz="4" w:space="0" w:color="auto"/>
            </w:tcBorders>
            <w:shd w:val="clear" w:color="000000" w:fill="FFFFFF"/>
            <w:vAlign w:val="center"/>
          </w:tcPr>
          <w:p w14:paraId="6CF69BF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$1,218,975</w:t>
            </w:r>
          </w:p>
        </w:tc>
        <w:tc>
          <w:tcPr>
            <w:tcW w:w="1428" w:type="dxa"/>
            <w:tcBorders>
              <w:top w:val="nil"/>
              <w:left w:val="nil"/>
              <w:bottom w:val="single" w:sz="4" w:space="0" w:color="auto"/>
              <w:right w:val="single" w:sz="4" w:space="0" w:color="auto"/>
            </w:tcBorders>
            <w:shd w:val="clear" w:color="auto" w:fill="FFFFFF"/>
            <w:vAlign w:val="center"/>
          </w:tcPr>
          <w:p w14:paraId="4BCA1A36" w14:textId="77777777" w:rsidR="009175A4" w:rsidRPr="00107C19" w:rsidRDefault="009175A4" w:rsidP="00167353">
            <w:pPr>
              <w:pStyle w:val="TableHeading"/>
              <w:jc w:val="center"/>
              <w:rPr>
                <w:b w:val="0"/>
                <w:bCs/>
                <w:color w:val="000000" w:themeColor="text1"/>
              </w:rPr>
            </w:pPr>
            <w:r w:rsidRPr="00107C19">
              <w:rPr>
                <w:b w:val="0"/>
                <w:bCs/>
                <w:color w:val="000000" w:themeColor="text1"/>
              </w:rPr>
              <w:t>$1,068,082</w:t>
            </w:r>
          </w:p>
        </w:tc>
        <w:tc>
          <w:tcPr>
            <w:tcW w:w="1348" w:type="dxa"/>
            <w:tcBorders>
              <w:top w:val="nil"/>
              <w:left w:val="nil"/>
              <w:bottom w:val="single" w:sz="4" w:space="0" w:color="auto"/>
              <w:right w:val="single" w:sz="4" w:space="0" w:color="auto"/>
            </w:tcBorders>
            <w:shd w:val="clear" w:color="auto" w:fill="FFFFFF"/>
            <w:vAlign w:val="center"/>
          </w:tcPr>
          <w:p w14:paraId="235C79F0" w14:textId="77777777" w:rsidR="009175A4" w:rsidRPr="00107C19" w:rsidRDefault="009175A4" w:rsidP="00167353">
            <w:pPr>
              <w:pStyle w:val="TableHeading"/>
              <w:jc w:val="center"/>
              <w:rPr>
                <w:b w:val="0"/>
                <w:bCs/>
                <w:color w:val="000000" w:themeColor="text1"/>
              </w:rPr>
            </w:pPr>
            <w:r w:rsidRPr="00107C19">
              <w:rPr>
                <w:b w:val="0"/>
                <w:bCs/>
                <w:color w:val="000000" w:themeColor="text1"/>
              </w:rPr>
              <w:t>$1,665,799</w:t>
            </w:r>
          </w:p>
        </w:tc>
        <w:tc>
          <w:tcPr>
            <w:tcW w:w="1310" w:type="dxa"/>
            <w:tcBorders>
              <w:top w:val="nil"/>
              <w:left w:val="nil"/>
              <w:bottom w:val="single" w:sz="4" w:space="0" w:color="auto"/>
              <w:right w:val="single" w:sz="4" w:space="0" w:color="auto"/>
            </w:tcBorders>
            <w:shd w:val="clear" w:color="auto" w:fill="FFFFFF"/>
            <w:vAlign w:val="center"/>
          </w:tcPr>
          <w:p w14:paraId="2DBEAA61" w14:textId="77777777" w:rsidR="009175A4" w:rsidRPr="00107C19" w:rsidRDefault="009175A4" w:rsidP="00167353">
            <w:pPr>
              <w:pStyle w:val="TableHeading"/>
              <w:jc w:val="center"/>
              <w:rPr>
                <w:b w:val="0"/>
                <w:bCs/>
                <w:color w:val="000000" w:themeColor="text1"/>
              </w:rPr>
            </w:pPr>
            <w:r w:rsidRPr="00107C19">
              <w:rPr>
                <w:b w:val="0"/>
                <w:bCs/>
                <w:color w:val="000000" w:themeColor="text1"/>
              </w:rPr>
              <w:t>$1,959,395</w:t>
            </w:r>
          </w:p>
        </w:tc>
      </w:tr>
      <w:tr w:rsidR="00107C19" w:rsidRPr="00107C19" w14:paraId="3DA2FB6E"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078B91B8" w14:textId="77777777" w:rsidR="009175A4" w:rsidRPr="00107C19" w:rsidRDefault="009175A4" w:rsidP="005C3D2B">
            <w:pPr>
              <w:pStyle w:val="TableHeading"/>
              <w:rPr>
                <w:b w:val="0"/>
                <w:bCs/>
                <w:color w:val="000000" w:themeColor="text1"/>
              </w:rPr>
            </w:pPr>
            <w:r w:rsidRPr="00107C19">
              <w:rPr>
                <w:b w:val="0"/>
                <w:bCs/>
                <w:color w:val="000000" w:themeColor="text1"/>
              </w:rPr>
              <w:t>ERI from top 20% of licenses</w:t>
            </w:r>
          </w:p>
        </w:tc>
        <w:tc>
          <w:tcPr>
            <w:tcW w:w="1620" w:type="dxa"/>
            <w:tcBorders>
              <w:top w:val="nil"/>
              <w:left w:val="nil"/>
              <w:bottom w:val="single" w:sz="4" w:space="0" w:color="auto"/>
              <w:right w:val="single" w:sz="4" w:space="0" w:color="auto"/>
            </w:tcBorders>
            <w:shd w:val="clear" w:color="000000" w:fill="FFFFFF"/>
            <w:noWrap/>
            <w:vAlign w:val="center"/>
          </w:tcPr>
          <w:p w14:paraId="1061F6EB"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$2,210,427</w:t>
            </w:r>
          </w:p>
        </w:tc>
        <w:tc>
          <w:tcPr>
            <w:tcW w:w="1330" w:type="dxa"/>
            <w:tcBorders>
              <w:top w:val="nil"/>
              <w:left w:val="nil"/>
              <w:bottom w:val="single" w:sz="4" w:space="0" w:color="auto"/>
              <w:right w:val="single" w:sz="4" w:space="0" w:color="auto"/>
            </w:tcBorders>
            <w:shd w:val="clear" w:color="000000" w:fill="FFFFFF"/>
            <w:vAlign w:val="center"/>
          </w:tcPr>
          <w:p w14:paraId="194A5C4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$2,227,058</w:t>
            </w:r>
          </w:p>
        </w:tc>
        <w:tc>
          <w:tcPr>
            <w:tcW w:w="1428" w:type="dxa"/>
            <w:tcBorders>
              <w:top w:val="nil"/>
              <w:left w:val="nil"/>
              <w:bottom w:val="single" w:sz="4" w:space="0" w:color="auto"/>
              <w:right w:val="single" w:sz="4" w:space="0" w:color="auto"/>
            </w:tcBorders>
            <w:shd w:val="clear" w:color="auto" w:fill="FFFFFF"/>
            <w:vAlign w:val="center"/>
          </w:tcPr>
          <w:p w14:paraId="54C1FD02" w14:textId="77777777" w:rsidR="009175A4" w:rsidRPr="00107C19" w:rsidRDefault="009175A4" w:rsidP="00167353">
            <w:pPr>
              <w:pStyle w:val="TableHeading"/>
              <w:jc w:val="center"/>
              <w:rPr>
                <w:b w:val="0"/>
                <w:bCs/>
                <w:color w:val="000000" w:themeColor="text1"/>
              </w:rPr>
            </w:pPr>
            <w:r w:rsidRPr="00107C19">
              <w:rPr>
                <w:b w:val="0"/>
                <w:bCs/>
                <w:color w:val="000000" w:themeColor="text1"/>
              </w:rPr>
              <w:t>$2,107,125</w:t>
            </w:r>
          </w:p>
        </w:tc>
        <w:tc>
          <w:tcPr>
            <w:tcW w:w="1348" w:type="dxa"/>
            <w:tcBorders>
              <w:top w:val="nil"/>
              <w:left w:val="nil"/>
              <w:bottom w:val="single" w:sz="4" w:space="0" w:color="auto"/>
              <w:right w:val="single" w:sz="4" w:space="0" w:color="auto"/>
            </w:tcBorders>
            <w:shd w:val="clear" w:color="auto" w:fill="FFFFFF"/>
            <w:vAlign w:val="center"/>
          </w:tcPr>
          <w:p w14:paraId="311415F0" w14:textId="77777777" w:rsidR="009175A4" w:rsidRPr="00107C19" w:rsidRDefault="009175A4" w:rsidP="00167353">
            <w:pPr>
              <w:pStyle w:val="TableHeading"/>
              <w:jc w:val="center"/>
              <w:rPr>
                <w:b w:val="0"/>
                <w:bCs/>
                <w:color w:val="000000" w:themeColor="text1"/>
              </w:rPr>
            </w:pPr>
            <w:r w:rsidRPr="00107C19">
              <w:rPr>
                <w:b w:val="0"/>
                <w:bCs/>
                <w:color w:val="000000" w:themeColor="text1"/>
              </w:rPr>
              <w:t>$2,930,858</w:t>
            </w:r>
          </w:p>
        </w:tc>
        <w:tc>
          <w:tcPr>
            <w:tcW w:w="1310" w:type="dxa"/>
            <w:tcBorders>
              <w:top w:val="nil"/>
              <w:left w:val="nil"/>
              <w:bottom w:val="single" w:sz="4" w:space="0" w:color="auto"/>
              <w:right w:val="single" w:sz="4" w:space="0" w:color="auto"/>
            </w:tcBorders>
            <w:shd w:val="clear" w:color="auto" w:fill="FFFFFF"/>
            <w:vAlign w:val="center"/>
          </w:tcPr>
          <w:p w14:paraId="6A9A545A" w14:textId="77777777" w:rsidR="009175A4" w:rsidRPr="00107C19" w:rsidRDefault="009175A4" w:rsidP="00167353">
            <w:pPr>
              <w:pStyle w:val="TableHeading"/>
              <w:jc w:val="center"/>
              <w:rPr>
                <w:b w:val="0"/>
                <w:bCs/>
                <w:color w:val="000000" w:themeColor="text1"/>
              </w:rPr>
            </w:pPr>
            <w:r w:rsidRPr="00107C19">
              <w:rPr>
                <w:b w:val="0"/>
                <w:bCs/>
                <w:color w:val="000000" w:themeColor="text1"/>
              </w:rPr>
              <w:t>$2,834,218</w:t>
            </w:r>
          </w:p>
        </w:tc>
      </w:tr>
      <w:tr w:rsidR="00107C19" w:rsidRPr="00107C19" w14:paraId="73AABED1"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309472AB" w14:textId="77777777" w:rsidR="009175A4" w:rsidRPr="00107C19" w:rsidRDefault="009175A4" w:rsidP="005C3D2B">
            <w:pPr>
              <w:pStyle w:val="TableHeading"/>
              <w:rPr>
                <w:b w:val="0"/>
                <w:bCs/>
                <w:color w:val="000000" w:themeColor="text1"/>
              </w:rPr>
            </w:pPr>
            <w:r w:rsidRPr="00107C19">
              <w:rPr>
                <w:b w:val="0"/>
                <w:bCs/>
                <w:color w:val="000000" w:themeColor="text1"/>
              </w:rPr>
              <w:t>Percentage ERI Distributed to Inventors</w:t>
            </w:r>
          </w:p>
        </w:tc>
        <w:tc>
          <w:tcPr>
            <w:tcW w:w="1620" w:type="dxa"/>
            <w:tcBorders>
              <w:top w:val="nil"/>
              <w:left w:val="nil"/>
              <w:bottom w:val="single" w:sz="4" w:space="0" w:color="auto"/>
              <w:right w:val="single" w:sz="4" w:space="0" w:color="auto"/>
            </w:tcBorders>
            <w:noWrap/>
            <w:vAlign w:val="center"/>
          </w:tcPr>
          <w:p w14:paraId="49FFDD71"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w:t>
            </w:r>
          </w:p>
        </w:tc>
        <w:tc>
          <w:tcPr>
            <w:tcW w:w="1330" w:type="dxa"/>
            <w:tcBorders>
              <w:top w:val="nil"/>
              <w:left w:val="nil"/>
              <w:bottom w:val="single" w:sz="4" w:space="0" w:color="auto"/>
              <w:right w:val="single" w:sz="4" w:space="0" w:color="auto"/>
            </w:tcBorders>
            <w:vAlign w:val="center"/>
          </w:tcPr>
          <w:p w14:paraId="77DF114A"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w:t>
            </w:r>
          </w:p>
        </w:tc>
        <w:tc>
          <w:tcPr>
            <w:tcW w:w="1428" w:type="dxa"/>
            <w:tcBorders>
              <w:top w:val="nil"/>
              <w:left w:val="nil"/>
              <w:bottom w:val="single" w:sz="4" w:space="0" w:color="auto"/>
              <w:right w:val="single" w:sz="4" w:space="0" w:color="auto"/>
            </w:tcBorders>
            <w:vAlign w:val="center"/>
          </w:tcPr>
          <w:p w14:paraId="43A72A8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w:t>
            </w:r>
          </w:p>
        </w:tc>
        <w:tc>
          <w:tcPr>
            <w:tcW w:w="1348" w:type="dxa"/>
            <w:tcBorders>
              <w:top w:val="nil"/>
              <w:left w:val="nil"/>
              <w:bottom w:val="single" w:sz="4" w:space="0" w:color="auto"/>
              <w:right w:val="single" w:sz="4" w:space="0" w:color="auto"/>
            </w:tcBorders>
            <w:vAlign w:val="center"/>
          </w:tcPr>
          <w:p w14:paraId="7F179DE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w:t>
            </w:r>
          </w:p>
        </w:tc>
        <w:tc>
          <w:tcPr>
            <w:tcW w:w="1310" w:type="dxa"/>
            <w:tcBorders>
              <w:top w:val="nil"/>
              <w:left w:val="nil"/>
              <w:bottom w:val="single" w:sz="4" w:space="0" w:color="auto"/>
              <w:right w:val="single" w:sz="4" w:space="0" w:color="auto"/>
            </w:tcBorders>
            <w:vAlign w:val="center"/>
          </w:tcPr>
          <w:p w14:paraId="4811F32C" w14:textId="77777777" w:rsidR="009175A4" w:rsidRPr="00107C19" w:rsidRDefault="009175A4" w:rsidP="00167353">
            <w:pPr>
              <w:pStyle w:val="TableHeading"/>
              <w:jc w:val="center"/>
              <w:rPr>
                <w:b w:val="0"/>
                <w:bCs/>
                <w:color w:val="000000" w:themeColor="text1"/>
              </w:rPr>
            </w:pPr>
            <w:r w:rsidRPr="00107C19">
              <w:rPr>
                <w:b w:val="0"/>
                <w:bCs/>
                <w:color w:val="000000" w:themeColor="text1"/>
              </w:rPr>
              <w:t>25</w:t>
            </w:r>
          </w:p>
        </w:tc>
      </w:tr>
      <w:tr w:rsidR="00107C19" w:rsidRPr="00107C19" w14:paraId="46D0BA9D"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78673DFA" w14:textId="77777777" w:rsidR="009175A4" w:rsidRPr="00107C19" w:rsidRDefault="009175A4" w:rsidP="005C3D2B">
            <w:pPr>
              <w:pStyle w:val="TableHeading"/>
              <w:rPr>
                <w:b w:val="0"/>
                <w:bCs/>
                <w:color w:val="000000" w:themeColor="text1"/>
              </w:rPr>
            </w:pPr>
            <w:r w:rsidRPr="00107C19">
              <w:rPr>
                <w:b w:val="0"/>
                <w:bCs/>
                <w:color w:val="000000" w:themeColor="text1"/>
              </w:rPr>
              <w:t>Percentage ERI Distributed to Lab/Agency</w:t>
            </w:r>
          </w:p>
        </w:tc>
        <w:tc>
          <w:tcPr>
            <w:tcW w:w="1620" w:type="dxa"/>
            <w:tcBorders>
              <w:top w:val="nil"/>
              <w:left w:val="nil"/>
              <w:bottom w:val="single" w:sz="4" w:space="0" w:color="auto"/>
              <w:right w:val="single" w:sz="4" w:space="0" w:color="auto"/>
            </w:tcBorders>
            <w:noWrap/>
            <w:vAlign w:val="center"/>
          </w:tcPr>
          <w:p w14:paraId="2BC188F2"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330" w:type="dxa"/>
            <w:tcBorders>
              <w:top w:val="nil"/>
              <w:left w:val="nil"/>
              <w:bottom w:val="single" w:sz="4" w:space="0" w:color="auto"/>
              <w:right w:val="single" w:sz="4" w:space="0" w:color="auto"/>
            </w:tcBorders>
            <w:vAlign w:val="center"/>
          </w:tcPr>
          <w:p w14:paraId="3AAF7FC2"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428" w:type="dxa"/>
            <w:tcBorders>
              <w:top w:val="nil"/>
              <w:left w:val="nil"/>
              <w:bottom w:val="single" w:sz="4" w:space="0" w:color="auto"/>
              <w:right w:val="single" w:sz="4" w:space="0" w:color="auto"/>
            </w:tcBorders>
            <w:vAlign w:val="center"/>
          </w:tcPr>
          <w:p w14:paraId="79C51921"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348" w:type="dxa"/>
            <w:tcBorders>
              <w:top w:val="nil"/>
              <w:left w:val="nil"/>
              <w:bottom w:val="single" w:sz="4" w:space="0" w:color="auto"/>
              <w:right w:val="single" w:sz="4" w:space="0" w:color="auto"/>
            </w:tcBorders>
            <w:vAlign w:val="center"/>
          </w:tcPr>
          <w:p w14:paraId="1961F729"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c>
          <w:tcPr>
            <w:tcW w:w="1310" w:type="dxa"/>
            <w:tcBorders>
              <w:top w:val="nil"/>
              <w:left w:val="nil"/>
              <w:bottom w:val="single" w:sz="4" w:space="0" w:color="auto"/>
              <w:right w:val="single" w:sz="4" w:space="0" w:color="auto"/>
            </w:tcBorders>
            <w:vAlign w:val="center"/>
          </w:tcPr>
          <w:p w14:paraId="5E539039" w14:textId="77777777" w:rsidR="009175A4" w:rsidRPr="00107C19" w:rsidRDefault="009175A4" w:rsidP="00167353">
            <w:pPr>
              <w:pStyle w:val="TableHeading"/>
              <w:jc w:val="center"/>
              <w:rPr>
                <w:b w:val="0"/>
                <w:bCs/>
                <w:color w:val="000000" w:themeColor="text1"/>
              </w:rPr>
            </w:pPr>
            <w:r w:rsidRPr="00107C19">
              <w:rPr>
                <w:b w:val="0"/>
                <w:bCs/>
                <w:color w:val="000000" w:themeColor="text1"/>
              </w:rPr>
              <w:t>0</w:t>
            </w:r>
          </w:p>
        </w:tc>
      </w:tr>
      <w:tr w:rsidR="00107C19" w:rsidRPr="002557CA" w14:paraId="02BEC789" w14:textId="77777777" w:rsidTr="00167353">
        <w:trPr>
          <w:trHeight w:val="300"/>
          <w:jc w:val="center"/>
        </w:trPr>
        <w:tc>
          <w:tcPr>
            <w:tcW w:w="3127" w:type="dxa"/>
            <w:tcBorders>
              <w:top w:val="nil"/>
              <w:left w:val="single" w:sz="4" w:space="0" w:color="auto"/>
              <w:bottom w:val="single" w:sz="4" w:space="0" w:color="auto"/>
              <w:right w:val="single" w:sz="4" w:space="0" w:color="auto"/>
            </w:tcBorders>
            <w:shd w:val="clear" w:color="auto" w:fill="auto"/>
            <w:noWrap/>
            <w:vAlign w:val="center"/>
          </w:tcPr>
          <w:p w14:paraId="5094060E" w14:textId="77777777" w:rsidR="009175A4" w:rsidRPr="00107C19" w:rsidRDefault="009175A4" w:rsidP="005C3D2B">
            <w:pPr>
              <w:pStyle w:val="TableHeading"/>
              <w:rPr>
                <w:b w:val="0"/>
                <w:bCs/>
                <w:color w:val="000000" w:themeColor="text1"/>
              </w:rPr>
            </w:pPr>
            <w:r w:rsidRPr="00107C19">
              <w:rPr>
                <w:b w:val="0"/>
                <w:bCs/>
                <w:color w:val="000000" w:themeColor="text1"/>
              </w:rPr>
              <w:t>ERI distributed to Innovation Fund</w:t>
            </w:r>
            <w:r w:rsidRPr="00107C19">
              <w:rPr>
                <w:b w:val="0"/>
                <w:bCs/>
                <w:color w:val="000000" w:themeColor="text1"/>
                <w:vertAlign w:val="superscript"/>
              </w:rPr>
              <w:t>4</w:t>
            </w:r>
          </w:p>
        </w:tc>
        <w:tc>
          <w:tcPr>
            <w:tcW w:w="1620" w:type="dxa"/>
            <w:tcBorders>
              <w:top w:val="nil"/>
              <w:left w:val="nil"/>
              <w:bottom w:val="single" w:sz="4" w:space="0" w:color="auto"/>
              <w:right w:val="single" w:sz="4" w:space="0" w:color="auto"/>
            </w:tcBorders>
            <w:noWrap/>
            <w:vAlign w:val="center"/>
          </w:tcPr>
          <w:p w14:paraId="59B92BF0" w14:textId="77777777" w:rsidR="009175A4" w:rsidRPr="00107C19" w:rsidRDefault="009175A4" w:rsidP="00167353">
            <w:pPr>
              <w:pStyle w:val="TableHeading"/>
              <w:jc w:val="center"/>
              <w:rPr>
                <w:b w:val="0"/>
                <w:bCs/>
                <w:color w:val="000000" w:themeColor="text1"/>
              </w:rPr>
            </w:pPr>
            <w:r w:rsidRPr="00107C19">
              <w:rPr>
                <w:b w:val="0"/>
                <w:bCs/>
                <w:color w:val="000000" w:themeColor="text1"/>
              </w:rPr>
              <w:t>$898,144</w:t>
            </w:r>
          </w:p>
        </w:tc>
        <w:tc>
          <w:tcPr>
            <w:tcW w:w="1330" w:type="dxa"/>
            <w:tcBorders>
              <w:top w:val="nil"/>
              <w:left w:val="nil"/>
              <w:bottom w:val="single" w:sz="4" w:space="0" w:color="auto"/>
              <w:right w:val="single" w:sz="4" w:space="0" w:color="auto"/>
            </w:tcBorders>
            <w:vAlign w:val="center"/>
          </w:tcPr>
          <w:p w14:paraId="2FD782C3" w14:textId="77777777" w:rsidR="009175A4" w:rsidRPr="00107C19" w:rsidRDefault="009175A4" w:rsidP="00167353">
            <w:pPr>
              <w:pStyle w:val="TableHeading"/>
              <w:jc w:val="center"/>
              <w:rPr>
                <w:b w:val="0"/>
                <w:bCs/>
                <w:color w:val="000000" w:themeColor="text1"/>
              </w:rPr>
            </w:pPr>
            <w:r w:rsidRPr="00107C19">
              <w:rPr>
                <w:b w:val="0"/>
                <w:bCs/>
                <w:color w:val="000000" w:themeColor="text1"/>
              </w:rPr>
              <w:t>$618,000</w:t>
            </w:r>
          </w:p>
        </w:tc>
        <w:tc>
          <w:tcPr>
            <w:tcW w:w="1428" w:type="dxa"/>
            <w:tcBorders>
              <w:top w:val="nil"/>
              <w:left w:val="nil"/>
              <w:bottom w:val="single" w:sz="4" w:space="0" w:color="auto"/>
              <w:right w:val="single" w:sz="4" w:space="0" w:color="auto"/>
            </w:tcBorders>
            <w:vAlign w:val="center"/>
          </w:tcPr>
          <w:p w14:paraId="79C02DE1" w14:textId="77777777" w:rsidR="009175A4" w:rsidRPr="00107C19" w:rsidRDefault="009175A4" w:rsidP="00167353">
            <w:pPr>
              <w:pStyle w:val="TableHeading"/>
              <w:jc w:val="center"/>
              <w:rPr>
                <w:b w:val="0"/>
                <w:bCs/>
                <w:color w:val="000000" w:themeColor="text1"/>
              </w:rPr>
            </w:pPr>
            <w:r w:rsidRPr="00107C19">
              <w:rPr>
                <w:b w:val="0"/>
                <w:bCs/>
                <w:color w:val="000000" w:themeColor="text1"/>
              </w:rPr>
              <w:t>$556,135</w:t>
            </w:r>
          </w:p>
        </w:tc>
        <w:tc>
          <w:tcPr>
            <w:tcW w:w="1348" w:type="dxa"/>
            <w:tcBorders>
              <w:top w:val="nil"/>
              <w:left w:val="nil"/>
              <w:bottom w:val="single" w:sz="4" w:space="0" w:color="auto"/>
              <w:right w:val="single" w:sz="4" w:space="0" w:color="auto"/>
            </w:tcBorders>
            <w:vAlign w:val="center"/>
          </w:tcPr>
          <w:p w14:paraId="5CAD1609" w14:textId="77777777" w:rsidR="009175A4" w:rsidRPr="00107C19" w:rsidRDefault="009175A4" w:rsidP="00167353">
            <w:pPr>
              <w:pStyle w:val="TableHeading"/>
              <w:jc w:val="center"/>
              <w:rPr>
                <w:b w:val="0"/>
                <w:bCs/>
                <w:color w:val="000000" w:themeColor="text1"/>
              </w:rPr>
            </w:pPr>
            <w:r w:rsidRPr="00107C19">
              <w:rPr>
                <w:b w:val="0"/>
                <w:bCs/>
                <w:color w:val="000000" w:themeColor="text1"/>
              </w:rPr>
              <w:t>$233,000</w:t>
            </w:r>
          </w:p>
        </w:tc>
        <w:tc>
          <w:tcPr>
            <w:tcW w:w="1310" w:type="dxa"/>
            <w:tcBorders>
              <w:top w:val="nil"/>
              <w:left w:val="nil"/>
              <w:bottom w:val="single" w:sz="4" w:space="0" w:color="auto"/>
              <w:right w:val="single" w:sz="4" w:space="0" w:color="auto"/>
            </w:tcBorders>
            <w:vAlign w:val="center"/>
          </w:tcPr>
          <w:p w14:paraId="77333680" w14:textId="1EDAC344" w:rsidR="009175A4" w:rsidRPr="002557CA" w:rsidRDefault="00812C52" w:rsidP="00167353">
            <w:pPr>
              <w:pStyle w:val="TableHeading"/>
              <w:jc w:val="center"/>
              <w:rPr>
                <w:b w:val="0"/>
                <w:bCs/>
                <w:color w:val="000000" w:themeColor="text1"/>
                <w:highlight w:val="yellow"/>
              </w:rPr>
            </w:pPr>
            <w:r w:rsidRPr="00812C52">
              <w:rPr>
                <w:b w:val="0"/>
                <w:bCs/>
                <w:color w:val="000000" w:themeColor="text1"/>
              </w:rPr>
              <w:t>$</w:t>
            </w:r>
            <w:r w:rsidR="00F41172" w:rsidRPr="00F41172">
              <w:rPr>
                <w:b w:val="0"/>
                <w:bCs/>
                <w:color w:val="000000" w:themeColor="text1"/>
              </w:rPr>
              <w:t>384,300</w:t>
            </w:r>
          </w:p>
        </w:tc>
      </w:tr>
    </w:tbl>
    <w:p w14:paraId="6BF99022"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14:ligatures w14:val="standardContextual"/>
        </w:rPr>
        <w:t>ND, data not available; NP, data not presented; ERI, earned royalty income.</w:t>
      </w:r>
    </w:p>
    <w:p w14:paraId="601B5F7D"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1</w:t>
      </w:r>
      <w:r w:rsidRPr="00107C19">
        <w:rPr>
          <w:rFonts w:ascii="Calibri" w:hAnsi="Calibri"/>
          <w:color w:val="000000" w:themeColor="text1"/>
          <w:kern w:val="2"/>
          <w:sz w:val="22"/>
          <w14:ligatures w14:val="standardContextual"/>
        </w:rPr>
        <w:t xml:space="preserve"> Invention licenses refer to patents and Plant Variety Protection certifications.</w:t>
      </w:r>
    </w:p>
    <w:p w14:paraId="152B27FD"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2</w:t>
      </w:r>
      <w:r w:rsidRPr="00107C19">
        <w:rPr>
          <w:rFonts w:ascii="Calibri" w:hAnsi="Calibri"/>
          <w:color w:val="000000" w:themeColor="text1"/>
          <w:kern w:val="2"/>
          <w:sz w:val="22"/>
          <w14:ligatures w14:val="standardContextual"/>
        </w:rPr>
        <w:t xml:space="preserve"> Other IP licenses. Refer to biological materials licenses.</w:t>
      </w:r>
    </w:p>
    <w:p w14:paraId="33A9C5C4"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3</w:t>
      </w:r>
      <w:r w:rsidRPr="00107C19">
        <w:rPr>
          <w:rFonts w:ascii="Calibri" w:hAnsi="Calibri"/>
          <w:color w:val="000000" w:themeColor="text1"/>
          <w:kern w:val="2"/>
          <w:sz w:val="22"/>
          <w14:ligatures w14:val="standardContextual"/>
        </w:rPr>
        <w:t xml:space="preserve"> Not presented, represents one license.</w:t>
      </w:r>
    </w:p>
    <w:p w14:paraId="1314B42B" w14:textId="77777777" w:rsidR="009175A4" w:rsidRPr="00107C19" w:rsidRDefault="009175A4" w:rsidP="009175A4">
      <w:pPr>
        <w:spacing w:before="0" w:after="160" w:line="259" w:lineRule="auto"/>
        <w:rPr>
          <w:rFonts w:ascii="Calibri" w:hAnsi="Calibri"/>
          <w:color w:val="000000" w:themeColor="text1"/>
          <w:kern w:val="2"/>
          <w:sz w:val="22"/>
          <w14:ligatures w14:val="standardContextual"/>
        </w:rPr>
      </w:pPr>
      <w:r w:rsidRPr="00107C19">
        <w:rPr>
          <w:rFonts w:ascii="Calibri" w:hAnsi="Calibri"/>
          <w:color w:val="000000" w:themeColor="text1"/>
          <w:kern w:val="2"/>
          <w:sz w:val="22"/>
          <w:vertAlign w:val="superscript"/>
          <w14:ligatures w14:val="standardContextual"/>
        </w:rPr>
        <w:t>4</w:t>
      </w:r>
      <w:r w:rsidRPr="00107C19">
        <w:rPr>
          <w:rFonts w:ascii="Calibri" w:hAnsi="Calibri"/>
          <w:color w:val="000000" w:themeColor="text1"/>
          <w:kern w:val="2"/>
          <w:sz w:val="22"/>
          <w14:ligatures w14:val="standardContextual"/>
        </w:rPr>
        <w:t xml:space="preserve"> Funds are from previous year’s revenue.</w:t>
      </w:r>
    </w:p>
    <w:p w14:paraId="43F82968" w14:textId="6DBE94C1" w:rsidR="00144EDD" w:rsidRPr="00107C19" w:rsidRDefault="00144EDD" w:rsidP="00F31C85">
      <w:pPr>
        <w:pStyle w:val="Heading2"/>
        <w:rPr>
          <w:rFonts w:asciiTheme="minorHAnsi" w:hAnsiTheme="minorHAnsi" w:cstheme="minorHAnsi"/>
          <w:color w:val="000000" w:themeColor="text1"/>
        </w:rPr>
      </w:pPr>
      <w:bookmarkStart w:id="476" w:name="_Toc160186039"/>
      <w:r w:rsidRPr="00107C19">
        <w:rPr>
          <w:rFonts w:asciiTheme="minorHAnsi" w:hAnsiTheme="minorHAnsi" w:cstheme="minorHAnsi"/>
          <w:color w:val="000000" w:themeColor="text1"/>
        </w:rPr>
        <w:lastRenderedPageBreak/>
        <w:t>Downstream Outcomes</w:t>
      </w:r>
      <w:bookmarkEnd w:id="476"/>
    </w:p>
    <w:p w14:paraId="22594A35" w14:textId="77777777" w:rsidR="00144EDD" w:rsidRPr="00107C19"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56809B69" w14:textId="77777777" w:rsidR="00144EDD" w:rsidRPr="00107C19"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1ED6E1EA" w14:textId="77777777" w:rsidR="00144EDD" w:rsidRPr="00107C19"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34A58E86" w14:textId="77777777" w:rsidR="00144EDD" w:rsidRPr="00107C19"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4E596D37" w14:textId="77777777" w:rsidR="00144EDD" w:rsidRPr="00107C19" w:rsidRDefault="00144EDD" w:rsidP="006F3955">
      <w:pPr>
        <w:pStyle w:val="Heading3"/>
        <w:rPr>
          <w:b/>
          <w:bCs w:val="0"/>
        </w:rPr>
      </w:pPr>
      <w:bookmarkStart w:id="477" w:name="_Toc160186040"/>
      <w:r w:rsidRPr="00107C19">
        <w:rPr>
          <w:b/>
          <w:bCs w:val="0"/>
        </w:rPr>
        <w:t>Animal Production and Protection</w:t>
      </w:r>
      <w:bookmarkEnd w:id="477"/>
    </w:p>
    <w:p w14:paraId="25C76640" w14:textId="77777777" w:rsidR="004C0CD7" w:rsidRPr="00107C19" w:rsidRDefault="004C0CD7" w:rsidP="00313F84">
      <w:pPr>
        <w:pStyle w:val="text"/>
        <w:spacing w:line="240" w:lineRule="auto"/>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First complete mammalian X- and Y-chromosome assembly for cattle, sheep, and goats. </w:t>
      </w:r>
      <w:r w:rsidRPr="00107C19">
        <w:rPr>
          <w:rStyle w:val="title-text"/>
          <w:rFonts w:asciiTheme="minorHAnsi" w:hAnsiTheme="minorHAnsi" w:cstheme="minorHAnsi"/>
          <w:color w:val="000000" w:themeColor="text1"/>
        </w:rPr>
        <w:t xml:space="preserve"> Sex chromosomes (X and Y in mammals) contain the unique and essential genes that define and differentiate females and males of a species. Precision mapping and gene identification on sex chromosomes has been hampered due to technical limitations in sequencing technology, significantly slowing genetic improvement in livestock. ARS scientists in Clay Center, Nebraska, and Beltsville, Maryland, collaborated with researchers at the University of Idaho, Utah State University, University of Missouri, and the National Institutes of Health to create and analyze the first complete sex chromosome assembly map in cattle, sheep, and goat species. Their findings identified surprising differences in the genes, their varied arrangement in ruminants, and how they vary between ruminants and primates. This pioneering research opens the door for improving analyses of sex-specific trait expression (e.g., milk yield, semen volume) and inheritance patterns, increasing the accuracy of genetic selection, and increasing the fundamental knowledge of species similarity and differentiation in sex chromosomes. Livestock producers will immediately benefit from using new genomic information in genetic evaluation and selection programs, which will advance the accuracy and rate of genetic improvement for reproduction, growth and development, and production efficiency traits that influence economic, environmental, welfare, and societal outcomes. (NP 101, C2, PS2A, Project No. 3040-31000-104-000D and 8042-31000-112-000D)</w:t>
      </w:r>
    </w:p>
    <w:p w14:paraId="3CC4161A"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Improving pig welfare through informed environmental management.</w:t>
      </w:r>
      <w:r w:rsidRPr="00107C19">
        <w:rPr>
          <w:rStyle w:val="title-text"/>
          <w:rFonts w:asciiTheme="minorHAnsi" w:hAnsiTheme="minorHAnsi" w:cstheme="minorHAnsi"/>
          <w:color w:val="000000" w:themeColor="text1"/>
        </w:rPr>
        <w:t xml:space="preserve"> Climate change and more frequent, intense, and longer weather events create animal welfare concerns for livestock, particularly heat stress challenges that threaten the profitability and sustainability of U.S. and global livestock enterprises. Pigs are particularly sensitive to the negative effects of heat stress, which can be detrimental to their health, productivity, and welfare. Pig producers use several commercially available cooling technologies to mitigate heat stress; however, they need real-time, readily accessible information on weather and in-building conditions to optimize mitigation strategies. ARS researchers in West Lafayette, Indiana, and University of Illinois and Purdue University collaborators developed the smartphone application HotHog to predict thermal comfort and stress in pigs. HotHog technology helps producers more accurately predict, plan, and implement best practices to reduce the detrimental impacts of heat stress across a pig’s lifespan. The HotHog app is freely available to the public for iOS and Android through either the Apple App Store or Google Play. Producers in more than 40 countries are now using this modern, science-based tool to improve pig comfort, health, and welfare and increase potential profits in swine production. (NP 101, C1, PS1C, Project No. 5020-32000-014-000D). </w:t>
      </w:r>
    </w:p>
    <w:p w14:paraId="514464FC"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Postmortem gene expression in pork muscle. </w:t>
      </w:r>
      <w:r w:rsidRPr="00107C19">
        <w:rPr>
          <w:rStyle w:val="title-text"/>
          <w:rFonts w:asciiTheme="minorHAnsi" w:hAnsiTheme="minorHAnsi" w:cstheme="minorHAnsi"/>
          <w:color w:val="000000" w:themeColor="text1"/>
        </w:rPr>
        <w:t xml:space="preserve">Gene expression was generally believed to stop at the time of harvest and therefore not influence postmortem glycolysis nor contribute to postmortem environmental effects on quality. However, many meat quality attributes that influence processing and eating quality are profoundly influenced by the postmortem environment. ARS scientists in Clay Center, Nebraska, determined that numerous genes in pork longissimus muscle are more highly expressed at 48 hours postmortem than at the time of harvest. Many of the genes that are highly </w:t>
      </w:r>
      <w:r w:rsidRPr="00107C19">
        <w:rPr>
          <w:rStyle w:val="title-text"/>
          <w:rFonts w:asciiTheme="minorHAnsi" w:hAnsiTheme="minorHAnsi" w:cstheme="minorHAnsi"/>
          <w:color w:val="000000" w:themeColor="text1"/>
        </w:rPr>
        <w:lastRenderedPageBreak/>
        <w:t>expressed in the postmortem period code for proteins, indicating that the postmortem muscle continues to produce new proteins to maintain energy production. Genes that displayed increased expression coincided with previously reported genetic markers that could be used to select for improved quality in pork. This work represents a paradigm shift about gene expression in postmortem muscle and will lead to greater understanding of meat quality development. Moreover, this work will increase the effectiveness of genetic marker discovery for meat quality traits and postmortem management to further improve meat quality. (NP 101, C3, PS3A, Project No. 3040-31430-007-000D)</w:t>
      </w:r>
    </w:p>
    <w:p w14:paraId="675BFFC2"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Complete ruminant genome assemblies enhancing genetic discovery.</w:t>
      </w:r>
      <w:r w:rsidRPr="00107C19">
        <w:rPr>
          <w:rStyle w:val="title-text"/>
          <w:rFonts w:asciiTheme="minorHAnsi" w:hAnsiTheme="minorHAnsi" w:cstheme="minorHAnsi"/>
          <w:color w:val="000000" w:themeColor="text1"/>
        </w:rPr>
        <w:t xml:space="preserve"> Genetic variations, whether from natural evolutionary processes or human selection to develop livestock breeds, are essential to match an animal and its environment. In modern livestock production, information is needed on effectively using genetic resources for the efficient and sustainable conversion of natural resources into human food. Advanced genomic tools now allow more than 99 percent of genes to be identified, providing scientists and the livestock producers they serve with unmatched resources to match genetics more effectively to production environments and management. ARS scientists in Beltsville, Maryland, and Clay Center, Nebraska, lead global </w:t>
      </w:r>
      <w:r w:rsidRPr="00107C19">
        <w:rPr>
          <w:rStyle w:val="title-text"/>
          <w:rFonts w:asciiTheme="minorHAnsi" w:hAnsiTheme="minorHAnsi" w:cstheme="minorHAnsi"/>
          <w:b/>
          <w:bCs/>
          <w:color w:val="000000" w:themeColor="text1"/>
        </w:rPr>
        <w:t>Telomere</w:t>
      </w:r>
      <w:r w:rsidRPr="00107C19">
        <w:rPr>
          <w:rStyle w:val="title-text"/>
          <w:rFonts w:asciiTheme="minorHAnsi" w:hAnsiTheme="minorHAnsi" w:cstheme="minorHAnsi"/>
          <w:color w:val="000000" w:themeColor="text1"/>
        </w:rPr>
        <w:t>-to-Telomere (T2T) genome assembly and Bovine Pangenome research consortia, which include more than 90 cutting-edge researchers at 58 institutions in 27 countries, in efforts to fully characterize genomic variation within and across species. To date, ARS researchers completed T2T whole genome assemblies for 32 of 50 prioritized bovine beef- and dairy-type breeds, including Bos taurus and Bos indicus species, as well as rare, native, and modern breeds from across the globe. In addition, ARS scientists lead T2T assembly efforts in poultry, sheep, goats, and swine. These ARS-led comparative research efforts will greatly expand the scientific understanding of functional biology, identify causative genes and gene interactions, and expand research in both animal and human species, ultimately improving access to and the affordability of animal food products. (NP 101, C2, PS2A, Project No. 8042-31000-112-000D and 3040-31000-104-000D)</w:t>
      </w:r>
    </w:p>
    <w:p w14:paraId="0727591A"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Clover compound reduces bacterial resistance in cattle.</w:t>
      </w:r>
      <w:r w:rsidRPr="00107C19">
        <w:rPr>
          <w:rStyle w:val="title-text"/>
          <w:rFonts w:asciiTheme="minorHAnsi" w:hAnsiTheme="minorHAnsi" w:cstheme="minorHAnsi"/>
          <w:color w:val="000000" w:themeColor="text1"/>
        </w:rPr>
        <w:t xml:space="preserve"> In the cattle industry, where grain-based diets are commonly fed prior to harvest, studies show increased dietary concentrations of cracked corn, in the absence of antibiotics, are normally associated with an increased number of antibiotic resistant bacteria in the rumen (first “stomach”). Bacterial strains with capability of releasing antibiotic compounds from their intracellular space are thought to contribute to this form of antibiotic resistance. This can have detrimental effects on the animal and potentially on the contamination of animal food products. ARS researchers in Lexington, Kentucky, fed cattle diets with increasing concentrations of cracked corn to mimic the expected increase in antibiotic-resistant bacteria, and added Biochanin A, a naturally occurring red clover compound that blocks the bacterial resistance mechanism, to see if it affected bacterial resistance to the antibiotic tetracycline. The Biochanin A additive reversed tetracycline resistance in rumen bacteria, with up to 99.9 percent fewer rumen bacteria identified as resistant to tetracycline when compared to rumen bacteria in cattle fed the control diet. These results indicate that Biochanin A derived from clover, a common forage plant, can reduce the number of antimicrobial-resistant (AMR) bacteria in the gastrointestinal tracts of cattle, a finding that will increase the number of treatment options and improve treatment efficacy in production settings. The addition of Biochanin A as a feed additive offers great promise for improving animal health in production systems. (NP 101, C1, PS1A, Project No. 5042-32630-004-000D)</w:t>
      </w:r>
    </w:p>
    <w:p w14:paraId="75A9A7B3" w14:textId="0FAE302F"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A resource for pig genotype-tissue expression.</w:t>
      </w:r>
      <w:r w:rsidRPr="00107C19">
        <w:rPr>
          <w:rStyle w:val="title-text"/>
          <w:rFonts w:asciiTheme="minorHAnsi" w:hAnsiTheme="minorHAnsi" w:cstheme="minorHAnsi"/>
          <w:color w:val="000000" w:themeColor="text1"/>
        </w:rPr>
        <w:t xml:space="preserve"> Animal performance results in part from genetic makeup and how genes are regulated and expressed. Characterizing when, how, and to what extent genes are expressed in different body tissues enables scientists to better understand how genotypes affect the development of desirable phenotypes for animal production settings. The Farm Animal Genotype-Tissue Expression (FarmGTEx) project is an international consortium charged with developing a comprehensive public resource to support the study of tissue-specific gene regulation in domestic animal species. ARS researchers in Clay Center, Nebraska, are primary contributors to the pilot phase of PigGTEx; they have processed and provided repository information for more than 9,000 RNA-sequence and more than 1,600 whole-genome sequence samples encompassing more than 100 pig tissues. They used this information to decipher regulatory mechanisms underlying about 80 percent of the genetic associations for more than 200 complex pig </w:t>
      </w:r>
      <w:r w:rsidR="007A52C6" w:rsidRPr="00107C19">
        <w:rPr>
          <w:rStyle w:val="title-text"/>
          <w:rFonts w:asciiTheme="minorHAnsi" w:hAnsiTheme="minorHAnsi" w:cstheme="minorHAnsi"/>
          <w:color w:val="000000" w:themeColor="text1"/>
        </w:rPr>
        <w:t>phenotypes and</w:t>
      </w:r>
      <w:r w:rsidRPr="00107C19">
        <w:rPr>
          <w:rStyle w:val="title-text"/>
          <w:rFonts w:asciiTheme="minorHAnsi" w:hAnsiTheme="minorHAnsi" w:cstheme="minorHAnsi"/>
          <w:color w:val="000000" w:themeColor="text1"/>
        </w:rPr>
        <w:t xml:space="preserve"> demonstrated similarities between the genetic expression of humans and pigs. The PigGTEx project will serve as a critical genetic/genomic resource for researchers in the swine and human genomics research communities as they address animal production efficiency and human biomedical advances, respectively. (NP 101, C2, PS2B, Project No. 3040-31000-106-000D)</w:t>
      </w:r>
    </w:p>
    <w:p w14:paraId="1D477038"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Porcine cultures as models for genome editing.</w:t>
      </w:r>
      <w:r w:rsidRPr="00107C19">
        <w:rPr>
          <w:rStyle w:val="title-text"/>
          <w:rFonts w:asciiTheme="minorHAnsi" w:hAnsiTheme="minorHAnsi" w:cstheme="minorHAnsi"/>
          <w:color w:val="000000" w:themeColor="text1"/>
        </w:rPr>
        <w:t xml:space="preserve"> Infectious diseases in pigs cause billions of dollars in economic losses, are detrimental to animal welfare, and threaten the human food supply. Developing countermeasures to combat viral and bacterial disease require the development and use of research animals that can be challenged with a pathogen, which is expensive and time consuming. ARS researchers in Columbia, Missouri, successfully established 3-dimensional cell cultures, called organoid cultures, for intestine and liver. These organoid systems mimic live animal tissue more closely than individual or combined cell cultures and provide an in vitro model for testing viral and bacterial infectivity in the presence of genomic edits prior to conducting research with live animals. As a result, these organoids provide a less expensive screening tool to identify important genes involved in pathogen resistance or infectivity and align with universal efforts to reduce the number of live animals required for research. This innovation will accelerate the development of countermeasures that improve disease resistance in livestock. (NP 101, C2, PS2E, Project No. 5070-31320-001-000D</w:t>
      </w:r>
    </w:p>
    <w:p w14:paraId="5E31B305" w14:textId="11F5AD94"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Turkey germplasm cryopreservation using vitrification.</w:t>
      </w:r>
      <w:r w:rsidRPr="00107C19">
        <w:rPr>
          <w:rStyle w:val="title-text"/>
          <w:rFonts w:asciiTheme="minorHAnsi" w:hAnsiTheme="minorHAnsi" w:cstheme="minorHAnsi"/>
          <w:color w:val="000000" w:themeColor="text1"/>
        </w:rPr>
        <w:t xml:space="preserve"> </w:t>
      </w:r>
      <w:r w:rsidR="0083692C" w:rsidRPr="00107C19">
        <w:rPr>
          <w:rStyle w:val="title-text"/>
          <w:rFonts w:asciiTheme="minorHAnsi" w:hAnsiTheme="minorHAnsi" w:cstheme="minorHAnsi"/>
          <w:color w:val="000000" w:themeColor="text1"/>
        </w:rPr>
        <w:t>Vitrification</w:t>
      </w:r>
      <w:r w:rsidRPr="00107C19">
        <w:rPr>
          <w:rStyle w:val="title-text"/>
          <w:rFonts w:asciiTheme="minorHAnsi" w:hAnsiTheme="minorHAnsi" w:cstheme="minorHAnsi"/>
          <w:color w:val="000000" w:themeColor="text1"/>
        </w:rPr>
        <w:t xml:space="preserve"> is a freezing process used to preserve reproductive tissue and for germplasm conservation. Preserving both the female and male sex chromosomes in poultry requires the collection, preservation, and transplant of ovarian tissue to recipient birds. The success rate for ovarian tissue preservation requires optimal freeze-thaw protocols and the ability to screen for low-quality donor samples before tissue is transplanted in the recipient. ARS scientists in Beltsville, Maryland, utilized an in ovo culture system to compare fresh, </w:t>
      </w:r>
      <w:r w:rsidR="007A52C6" w:rsidRPr="00107C19">
        <w:rPr>
          <w:rStyle w:val="title-text"/>
          <w:rFonts w:asciiTheme="minorHAnsi" w:hAnsiTheme="minorHAnsi" w:cstheme="minorHAnsi"/>
          <w:color w:val="000000" w:themeColor="text1"/>
        </w:rPr>
        <w:t>poorly frozen</w:t>
      </w:r>
      <w:r w:rsidRPr="00107C19">
        <w:rPr>
          <w:rStyle w:val="title-text"/>
          <w:rFonts w:asciiTheme="minorHAnsi" w:hAnsiTheme="minorHAnsi" w:cstheme="minorHAnsi"/>
          <w:color w:val="000000" w:themeColor="text1"/>
        </w:rPr>
        <w:t xml:space="preserve">, and </w:t>
      </w:r>
      <w:r w:rsidR="009E073D" w:rsidRPr="00107C19">
        <w:rPr>
          <w:rStyle w:val="title-text"/>
          <w:rFonts w:asciiTheme="minorHAnsi" w:hAnsiTheme="minorHAnsi" w:cstheme="minorHAnsi"/>
          <w:color w:val="000000" w:themeColor="text1"/>
        </w:rPr>
        <w:t>optimally frozen</w:t>
      </w:r>
      <w:r w:rsidRPr="00107C19">
        <w:rPr>
          <w:rStyle w:val="title-text"/>
          <w:rFonts w:asciiTheme="minorHAnsi" w:hAnsiTheme="minorHAnsi" w:cstheme="minorHAnsi"/>
          <w:color w:val="000000" w:themeColor="text1"/>
        </w:rPr>
        <w:t xml:space="preserve"> immature turkey ovaries and identified three novel gene biomarkers for improved ovarian development after transplantation. These three gene biomarkers provide a broad assessment of ovarian tissue viability, function, and damage post-freezing. This breakthrough in turkey ovarian cryoconservation is the first report of a screening method to identify poor-quality donor ovarian samples in turkeys. The new technology will ensure transplantation of ovarian samples with high development potential, which will greatly reduce breeder costs, vastly improve turkey cryopreservation success rates, and help conserve genetic variation within a small population base. (NP 101, C1, PS1B, Project No. 8042-31000-111-000D)</w:t>
      </w:r>
    </w:p>
    <w:p w14:paraId="2923E5BF"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Discovery of a major mutation causing dairy calf death.</w:t>
      </w:r>
      <w:r w:rsidRPr="00107C19">
        <w:rPr>
          <w:rStyle w:val="title-text"/>
          <w:rFonts w:asciiTheme="minorHAnsi" w:hAnsiTheme="minorHAnsi" w:cstheme="minorHAnsi"/>
          <w:color w:val="000000" w:themeColor="text1"/>
        </w:rPr>
        <w:t xml:space="preserve"> U.S. dairy producers recently identified an inherited condition in newborn calves termed “recumbency’” that makes young calves unable to stand and results in higher death rates. Enhanced genome sequencing, extensive genomic sampling, and complete pedigree relationships allowed scientists to rapidly identify the causative mutation and respond to industry with approaches to eliminate the gene(s) from the cattle population. ARS scientists in Beltsville, Maryland, and Pennsylvania State University collaborators investigated and identified “recumbency” as a homozygous recessive genetic condition in a gene affecting muscle movement. Researchers traced the source of this defect back many generations, identifying multiple, high genetic merit sires that carry the mutation and which have produced many daughters in many herds through Artificial Insemination. This finding indicated the recessive mutation was likely distributed across a high percentage of the Holstein population. Holstein breeders and producers now routinely utilize the direct DNA test to select animals free of this mutation and utilize pedigree tracing to identify older animals that warrant testing to eliminate the mutation from the population. (NP 101, C2, PS2B, Project No. 8042-31000-113-000D)</w:t>
      </w:r>
      <w:r w:rsidRPr="00107C19">
        <w:rPr>
          <w:rStyle w:val="title-text"/>
          <w:rFonts w:asciiTheme="minorHAnsi" w:hAnsiTheme="minorHAnsi" w:cstheme="minorHAnsi"/>
          <w:color w:val="000000" w:themeColor="text1"/>
        </w:rPr>
        <w:tab/>
      </w:r>
    </w:p>
    <w:p w14:paraId="45151604"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Genome editing to develop castration-free pigs.</w:t>
      </w:r>
      <w:r w:rsidRPr="00107C19">
        <w:rPr>
          <w:rStyle w:val="title-text"/>
          <w:rFonts w:asciiTheme="minorHAnsi" w:hAnsiTheme="minorHAnsi" w:cstheme="minorHAnsi"/>
          <w:color w:val="000000" w:themeColor="text1"/>
        </w:rPr>
        <w:t xml:space="preserve"> Male pigs develop aggressive behavior, and their meat takes on “boar taint” during sexual development, so male piglets destined for pork production are castrated to prevent these outcomes. ARS scientists in Clay Center, Nebraska, partnered with industry and university collaborators and identified KISS1 as a key gene responsible for reproductive development. They found that a genomic edit of the KISS1 gene prevented the development of testes in male pigs but did not affect any other male pig development. These results demonstrate the potential to use genome editing for genomic-based alternatives to castration that will lead to improved animal welfare for market pigs and maintain a high level of consumer acceptance for pork products. (NP 101, C1, PS1B, and C2, PS2B, Project No. 3040-31000-106-000D)</w:t>
      </w:r>
    </w:p>
    <w:p w14:paraId="6C3D1676"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First gene-edited calf with resistance to common cattle virus.</w:t>
      </w:r>
      <w:r w:rsidRPr="00107C19">
        <w:rPr>
          <w:rStyle w:val="title-text"/>
          <w:rFonts w:asciiTheme="minorHAnsi" w:hAnsiTheme="minorHAnsi" w:cstheme="minorHAnsi"/>
          <w:color w:val="000000" w:themeColor="text1"/>
        </w:rPr>
        <w:t xml:space="preserve"> Bovine viral diarrhea virus (BVDV) is one of the most widespread and economically important viral infections in cattle, with annual losses approaching $1 billion in the United States alone. The BVD virus infects cattle through a receptor on cattle cells. ARS researchers in Clay Center, Nebraska, showed that a small genome edit modifying only six amino acids in the receptor caused a dramatic reduction in BVDV susceptibility in a calf with no adverse effects in the first 2 years of life. This provides the first example of gene editing in cattle to reduce the impact of a major viral disease. This approach could significantly improve animal welfare, increase the long-term sustainability of cattle production, and, because BVDV infection puts calves at risk for secondary bacterial diseases, it provides an opportunity to reduce antibiotic use in agriculture. (NP 103, C2, PSA, Project No. 3040-32000-036-000D)</w:t>
      </w:r>
    </w:p>
    <w:p w14:paraId="7E939158"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novel tuberculosis vaccine delivery system for white-tailed deer.</w:t>
      </w:r>
      <w:r w:rsidRPr="00107C19">
        <w:rPr>
          <w:rStyle w:val="title-text"/>
          <w:rFonts w:asciiTheme="minorHAnsi" w:hAnsiTheme="minorHAnsi" w:cstheme="minorHAnsi"/>
          <w:color w:val="000000" w:themeColor="text1"/>
        </w:rPr>
        <w:t xml:space="preserve"> Tuberculosis is a chronic disease that can be transmitted to humans from animal reservoirs and wildlife tuberculosis reservoirs are a significant obstacle to eradicating this disease in the United States. In Michigan, the prevalence of tuberculosis in wild deer populations has not changed for 2 decades and approximately 2-3 cattle herds are infected annually. Depopulating infected cattle herds causes significant economic costs for producers and new intervention strategies, such as vaccines, are needed to prevent tuberculosis transmission from infected wild deer. Using the “BCG” tuberculosis vaccine, ARS scientists in Ames, Iowa, demonstrated the efficacy of oral delivery of liquid BCG to white-tailed deer and collaborated </w:t>
      </w:r>
      <w:r w:rsidRPr="00107C19">
        <w:rPr>
          <w:rStyle w:val="title-text"/>
          <w:rFonts w:asciiTheme="minorHAnsi" w:hAnsiTheme="minorHAnsi" w:cstheme="minorHAnsi"/>
          <w:color w:val="000000" w:themeColor="text1"/>
        </w:rPr>
        <w:lastRenderedPageBreak/>
        <w:t>with USDA-APHIS scientists to develop small edible alginate spheres containing liquid BCG. Deer that ate alginate sphere vaccines had immune responses that equaled the response of deer receiving liquid BCG. These results show that this oral platform can be used to develop edible baits for vaccinating wild deer and is effective in reducing tuberculosis transmission between deer and from deer to cattle. A tuberculosis vaccine for deer would be of interest to regulatory personnel, livestock producers, and wildlife health officials. (NP 103, C3, PSC, Project No. 5030-32000-232-000D)</w:t>
      </w:r>
    </w:p>
    <w:p w14:paraId="7E3BCD22"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Evolution of Influenza A virus in pigs linked to new influenza viruses with potential to infect humans.</w:t>
      </w:r>
      <w:r w:rsidRPr="00107C19">
        <w:rPr>
          <w:rStyle w:val="title-text"/>
          <w:rFonts w:asciiTheme="minorHAnsi" w:hAnsiTheme="minorHAnsi" w:cstheme="minorHAnsi"/>
          <w:color w:val="000000" w:themeColor="text1"/>
        </w:rPr>
        <w:t xml:space="preserve"> Human-to-swine transmission of the 2009 H1N1 pandemic influenza virus repeatedly occurred in the past decade and increased the genetic diversity of the virus in pigs. ARS scientists in Ames, Iowa, and Iowa State University collaborators measured the frequency of human-to-swine transmissions of the H1N1 pandemic influenza virus between 2009 and 2021 and determined how this affected the genetic diversity of these influenza viruses in swine and their potential risk of transmission to people. The scientists detected 370 separate human-to-swine transmissions when infections were the highest in the human population. Most spillovers were single events without sustained transmission, but a small subset resulted in the emergence, persistence, and co-circulation of new strains of H1N1 pandemic influenza viruses in U.S. pigs. All new strains of H1N1 pandemic influenza viruses that evolved from pigs were genetically different from human seasonal vaccine strains. These results suggest that the swine industry could reduce the transmission of influenza viruses from livestock caretakers into pigs, which would reduce the resulting genetic diversity of influenza viruses in pigs, and proactively reduce the potential for future swine-to-human transmission of new strains with pandemic potential. (NP 103, C1, PSB, Project No. 5030-32000-231-000D)</w:t>
      </w:r>
      <w:r w:rsidRPr="00107C19">
        <w:rPr>
          <w:rStyle w:val="title-text"/>
          <w:rFonts w:asciiTheme="minorHAnsi" w:hAnsiTheme="minorHAnsi" w:cstheme="minorHAnsi"/>
          <w:color w:val="000000" w:themeColor="text1"/>
        </w:rPr>
        <w:tab/>
      </w:r>
    </w:p>
    <w:p w14:paraId="57398E68"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Sodium hypocholorite for inactivating the potential bioweapon Brucella. </w:t>
      </w:r>
      <w:r w:rsidRPr="00107C19">
        <w:rPr>
          <w:rStyle w:val="title-text"/>
          <w:rFonts w:asciiTheme="minorHAnsi" w:hAnsiTheme="minorHAnsi" w:cstheme="minorHAnsi"/>
          <w:i/>
          <w:iCs/>
          <w:color w:val="000000" w:themeColor="text1"/>
        </w:rPr>
        <w:t>Brucella abortus</w:t>
      </w:r>
      <w:r w:rsidRPr="00107C19">
        <w:rPr>
          <w:rStyle w:val="title-text"/>
          <w:rFonts w:asciiTheme="minorHAnsi" w:hAnsiTheme="minorHAnsi" w:cstheme="minorHAnsi"/>
          <w:color w:val="000000" w:themeColor="text1"/>
        </w:rPr>
        <w:t xml:space="preserve"> is a potential bacterial bioweapon that is listed as a Select Agent in the United States. Select Agent regulations require validating procedures or methods for inactivating the agent. To develop safe and cost-effective methods to disinfect the effluent waste system of a Biolevel-3 facility prior to maintenance, ARS scientists in Ames, Iowa, evaluated the inactivation properties of diluted sodium hydroxide and sodium hypochlorite solutions on Brucella abortus viability. Data demonstrated that highly diluted solutions of sodium hypochlorite are highly effective in killing high concentrations of Brucella abortus. Although sodium hydroxide would be effective in removing organic matter from the system, it was not as effective as sodium hypochlorite as an inactivation agent for Brucella. This data demonstrates the disinfectant capabilities of sodium hypochlorite that can be utilized for Biolevel-3 facility procedures. This data will be of interest to managers of high containment facilities, regulatory officials, producers, and scientists working with brucellosis for disinfecting facilities or equipment in a manner that is safe for personnel and the environment. (NP 103, C3, PSA, Project No. 5030-32000-234-000D)</w:t>
      </w:r>
    </w:p>
    <w:p w14:paraId="56190BC3"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Early detection of necrotic enteritis in broiler chickens.</w:t>
      </w:r>
      <w:r w:rsidRPr="00107C19">
        <w:rPr>
          <w:rStyle w:val="title-text"/>
          <w:rFonts w:asciiTheme="minorHAnsi" w:hAnsiTheme="minorHAnsi" w:cstheme="minorHAnsi"/>
          <w:color w:val="000000" w:themeColor="text1"/>
        </w:rPr>
        <w:t xml:space="preserve"> Necrotic enteritis is caused by the bacterium </w:t>
      </w:r>
      <w:r w:rsidRPr="00107C19">
        <w:rPr>
          <w:rStyle w:val="title-text"/>
          <w:rFonts w:asciiTheme="minorHAnsi" w:hAnsiTheme="minorHAnsi" w:cstheme="minorHAnsi"/>
          <w:i/>
          <w:iCs/>
          <w:color w:val="000000" w:themeColor="text1"/>
        </w:rPr>
        <w:t>Clostridium perfringens</w:t>
      </w:r>
      <w:r w:rsidRPr="00107C19">
        <w:rPr>
          <w:rStyle w:val="title-text"/>
          <w:rFonts w:asciiTheme="minorHAnsi" w:hAnsiTheme="minorHAnsi" w:cstheme="minorHAnsi"/>
          <w:color w:val="000000" w:themeColor="text1"/>
        </w:rPr>
        <w:t xml:space="preserve"> and costs the global poultry industry more than $6 billion annually. The antibiotic-free production of commercial poultry has been associated with the increasing incidence of necrotic enteritis, and many commercial poultry production facilities are becoming more dependent on using antibiotic-alternative feed additives. ARS scientists in Beltsville, Maryland, and University of Georgia collaborators developed diagnostic test kits to detect </w:t>
      </w:r>
      <w:r w:rsidRPr="00107C19">
        <w:rPr>
          <w:rStyle w:val="title-text"/>
          <w:rFonts w:asciiTheme="minorHAnsi" w:hAnsiTheme="minorHAnsi" w:cstheme="minorHAnsi"/>
          <w:i/>
          <w:iCs/>
          <w:color w:val="000000" w:themeColor="text1"/>
        </w:rPr>
        <w:t>Clostridium perfringens</w:t>
      </w:r>
      <w:r w:rsidRPr="00107C19">
        <w:rPr>
          <w:rStyle w:val="title-text"/>
          <w:rFonts w:asciiTheme="minorHAnsi" w:hAnsiTheme="minorHAnsi" w:cstheme="minorHAnsi"/>
          <w:color w:val="000000" w:themeColor="text1"/>
        </w:rPr>
        <w:t xml:space="preserve"> proteins, which </w:t>
      </w:r>
      <w:r w:rsidRPr="00107C19">
        <w:rPr>
          <w:rStyle w:val="title-text"/>
          <w:rFonts w:asciiTheme="minorHAnsi" w:hAnsiTheme="minorHAnsi" w:cstheme="minorHAnsi"/>
          <w:color w:val="000000" w:themeColor="text1"/>
        </w:rPr>
        <w:lastRenderedPageBreak/>
        <w:t xml:space="preserve">are major virulence factors involved in necrotic enteritis pathogenesis, for early detection of outbreaks in commercial broiler farms. These test kits showed that pathogenic strains of </w:t>
      </w:r>
      <w:r w:rsidRPr="00107C19">
        <w:rPr>
          <w:rStyle w:val="title-text"/>
          <w:rFonts w:asciiTheme="minorHAnsi" w:hAnsiTheme="minorHAnsi" w:cstheme="minorHAnsi"/>
          <w:i/>
          <w:iCs/>
          <w:color w:val="000000" w:themeColor="text1"/>
        </w:rPr>
        <w:t>Clostridium perfringens</w:t>
      </w:r>
      <w:r w:rsidRPr="00107C19">
        <w:rPr>
          <w:rStyle w:val="title-text"/>
          <w:rFonts w:asciiTheme="minorHAnsi" w:hAnsiTheme="minorHAnsi" w:cstheme="minorHAnsi"/>
          <w:color w:val="000000" w:themeColor="text1"/>
        </w:rPr>
        <w:t xml:space="preserve"> can be identified in fecal samples from commercial farms within 1-2 weeks post-hatch, enabling producers to implement timely interventions to control necrotic enteritis outbreaks. (NP 103, C2, PSA, Project No. 8042-32000-115-000D)</w:t>
      </w:r>
    </w:p>
    <w:p w14:paraId="19E52BD5"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i/>
          <w:iCs/>
          <w:color w:val="000000" w:themeColor="text1"/>
        </w:rPr>
        <w:t>Rhipicephalus microplus</w:t>
      </w:r>
      <w:r w:rsidRPr="00107C19">
        <w:rPr>
          <w:rStyle w:val="title-text"/>
          <w:rFonts w:asciiTheme="minorHAnsi" w:hAnsiTheme="minorHAnsi" w:cstheme="minorHAnsi"/>
          <w:b/>
          <w:bCs/>
          <w:color w:val="000000" w:themeColor="text1"/>
        </w:rPr>
        <w:t xml:space="preserve"> and </w:t>
      </w:r>
      <w:r w:rsidRPr="00107C19">
        <w:rPr>
          <w:rStyle w:val="title-text"/>
          <w:rFonts w:asciiTheme="minorHAnsi" w:hAnsiTheme="minorHAnsi" w:cstheme="minorHAnsi"/>
          <w:b/>
          <w:bCs/>
          <w:i/>
          <w:iCs/>
          <w:color w:val="000000" w:themeColor="text1"/>
        </w:rPr>
        <w:t>Dermacentor variabilis</w:t>
      </w:r>
      <w:r w:rsidRPr="00107C19">
        <w:rPr>
          <w:rStyle w:val="title-text"/>
          <w:rFonts w:asciiTheme="minorHAnsi" w:hAnsiTheme="minorHAnsi" w:cstheme="minorHAnsi"/>
          <w:b/>
          <w:bCs/>
          <w:color w:val="000000" w:themeColor="text1"/>
        </w:rPr>
        <w:t xml:space="preserve"> ticks do not transmit the U.S. isolate of </w:t>
      </w:r>
      <w:r w:rsidRPr="00107C19">
        <w:rPr>
          <w:rStyle w:val="title-text"/>
          <w:rFonts w:asciiTheme="minorHAnsi" w:hAnsiTheme="minorHAnsi" w:cstheme="minorHAnsi"/>
          <w:b/>
          <w:bCs/>
          <w:i/>
          <w:iCs/>
          <w:color w:val="000000" w:themeColor="text1"/>
        </w:rPr>
        <w:t>Theileria orientalis</w:t>
      </w:r>
      <w:r w:rsidRPr="00107C19">
        <w:rPr>
          <w:rStyle w:val="title-text"/>
          <w:rFonts w:asciiTheme="minorHAnsi" w:hAnsiTheme="minorHAnsi" w:cstheme="minorHAnsi"/>
          <w:b/>
          <w:bCs/>
          <w:color w:val="000000" w:themeColor="text1"/>
        </w:rPr>
        <w:t xml:space="preserve"> Ikeda.</w:t>
      </w:r>
      <w:r w:rsidRPr="00107C19">
        <w:rPr>
          <w:rStyle w:val="title-text"/>
          <w:rFonts w:asciiTheme="minorHAnsi" w:hAnsiTheme="minorHAnsi" w:cstheme="minorHAnsi"/>
          <w:color w:val="000000" w:themeColor="text1"/>
        </w:rPr>
        <w:t xml:space="preserve"> The tick-transmitted blood parasite </w:t>
      </w:r>
      <w:r w:rsidRPr="00107C19">
        <w:rPr>
          <w:rStyle w:val="title-text"/>
          <w:rFonts w:asciiTheme="minorHAnsi" w:hAnsiTheme="minorHAnsi" w:cstheme="minorHAnsi"/>
          <w:i/>
          <w:iCs/>
          <w:color w:val="000000" w:themeColor="text1"/>
        </w:rPr>
        <w:t>Theileria orientalis</w:t>
      </w:r>
      <w:r w:rsidRPr="00107C19">
        <w:rPr>
          <w:rStyle w:val="title-text"/>
          <w:rFonts w:asciiTheme="minorHAnsi" w:hAnsiTheme="minorHAnsi" w:cstheme="minorHAnsi"/>
          <w:color w:val="000000" w:themeColor="text1"/>
        </w:rPr>
        <w:t xml:space="preserve"> Ikeda recently emerged as a novel threat to the U.S. cattle industry. Its emergence occurred in concert with the U.S. invasion of its primary tick vector, </w:t>
      </w:r>
      <w:r w:rsidRPr="00107C19">
        <w:rPr>
          <w:rStyle w:val="title-text"/>
          <w:rFonts w:asciiTheme="minorHAnsi" w:hAnsiTheme="minorHAnsi" w:cstheme="minorHAnsi"/>
          <w:i/>
          <w:iCs/>
          <w:color w:val="000000" w:themeColor="text1"/>
        </w:rPr>
        <w:t>Haemaphysalis longicornis</w:t>
      </w:r>
      <w:r w:rsidRPr="00107C19">
        <w:rPr>
          <w:rStyle w:val="title-text"/>
          <w:rFonts w:asciiTheme="minorHAnsi" w:hAnsiTheme="minorHAnsi" w:cstheme="minorHAnsi"/>
          <w:color w:val="000000" w:themeColor="text1"/>
        </w:rPr>
        <w:t xml:space="preserve">, in 2017, and infected cattle herds have since been detected in multiple states. It is not yet known whether other tick species native to the United States and surrounding countries are also capable of transmitting </w:t>
      </w:r>
      <w:r w:rsidRPr="00107C19">
        <w:rPr>
          <w:rStyle w:val="title-text"/>
          <w:rFonts w:asciiTheme="minorHAnsi" w:hAnsiTheme="minorHAnsi" w:cstheme="minorHAnsi"/>
          <w:i/>
          <w:iCs/>
          <w:color w:val="000000" w:themeColor="text1"/>
        </w:rPr>
        <w:t>T. orientalis</w:t>
      </w:r>
      <w:r w:rsidRPr="00107C19">
        <w:rPr>
          <w:rStyle w:val="title-text"/>
          <w:rFonts w:asciiTheme="minorHAnsi" w:hAnsiTheme="minorHAnsi" w:cstheme="minorHAnsi"/>
          <w:color w:val="000000" w:themeColor="text1"/>
        </w:rPr>
        <w:t xml:space="preserve">. Since different tick species live in defined host geographic ranges, determining the tick species capable of transmitting </w:t>
      </w:r>
      <w:r w:rsidRPr="00107C19">
        <w:rPr>
          <w:rStyle w:val="title-text"/>
          <w:rFonts w:asciiTheme="minorHAnsi" w:hAnsiTheme="minorHAnsi" w:cstheme="minorHAnsi"/>
          <w:i/>
          <w:iCs/>
          <w:color w:val="000000" w:themeColor="text1"/>
        </w:rPr>
        <w:t>T. orientalis</w:t>
      </w:r>
      <w:r w:rsidRPr="00107C19">
        <w:rPr>
          <w:rStyle w:val="title-text"/>
          <w:rFonts w:asciiTheme="minorHAnsi" w:hAnsiTheme="minorHAnsi" w:cstheme="minorHAnsi"/>
          <w:color w:val="000000" w:themeColor="text1"/>
        </w:rPr>
        <w:t xml:space="preserve"> will enable predicting where the parasite is most likely to spread in the United States, thereby improving its control. ARS scientists in Pullman, Washington, determined that </w:t>
      </w:r>
      <w:r w:rsidRPr="00107C19">
        <w:rPr>
          <w:rStyle w:val="title-text"/>
          <w:rFonts w:asciiTheme="minorHAnsi" w:hAnsiTheme="minorHAnsi" w:cstheme="minorHAnsi"/>
          <w:i/>
          <w:iCs/>
          <w:color w:val="000000" w:themeColor="text1"/>
        </w:rPr>
        <w:t>Rhipicephalus microplus</w:t>
      </w:r>
      <w:r w:rsidRPr="00107C19">
        <w:rPr>
          <w:rStyle w:val="title-text"/>
          <w:rFonts w:asciiTheme="minorHAnsi" w:hAnsiTheme="minorHAnsi" w:cstheme="minorHAnsi"/>
          <w:color w:val="000000" w:themeColor="text1"/>
        </w:rPr>
        <w:t xml:space="preserve"> and Dermacentor variabilis ticks are unable to transmit </w:t>
      </w:r>
      <w:r w:rsidRPr="00107C19">
        <w:rPr>
          <w:rStyle w:val="title-text"/>
          <w:rFonts w:asciiTheme="minorHAnsi" w:hAnsiTheme="minorHAnsi" w:cstheme="minorHAnsi"/>
          <w:i/>
          <w:iCs/>
          <w:color w:val="000000" w:themeColor="text1"/>
        </w:rPr>
        <w:t>T. orientalis</w:t>
      </w:r>
      <w:r w:rsidRPr="00107C19">
        <w:rPr>
          <w:rStyle w:val="title-text"/>
          <w:rFonts w:asciiTheme="minorHAnsi" w:hAnsiTheme="minorHAnsi" w:cstheme="minorHAnsi"/>
          <w:color w:val="000000" w:themeColor="text1"/>
        </w:rPr>
        <w:t xml:space="preserve"> to cattle, which provides important information for cattle producers, veterinarians, and regulatory personnel. (NP 103, C5, PSB, Project No. 2090-32000-044-000D)</w:t>
      </w:r>
    </w:p>
    <w:p w14:paraId="07CF44C0" w14:textId="14169519"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Identifying protein targets for a </w:t>
      </w:r>
      <w:r w:rsidRPr="00107C19">
        <w:rPr>
          <w:rStyle w:val="title-text"/>
          <w:rFonts w:asciiTheme="minorHAnsi" w:hAnsiTheme="minorHAnsi" w:cstheme="minorHAnsi"/>
          <w:b/>
          <w:bCs/>
          <w:i/>
          <w:iCs/>
          <w:color w:val="000000" w:themeColor="text1"/>
        </w:rPr>
        <w:t>Mycoplasma bovis</w:t>
      </w:r>
      <w:r w:rsidRPr="00107C19">
        <w:rPr>
          <w:rStyle w:val="title-text"/>
          <w:rFonts w:asciiTheme="minorHAnsi" w:hAnsiTheme="minorHAnsi" w:cstheme="minorHAnsi"/>
          <w:b/>
          <w:bCs/>
          <w:color w:val="000000" w:themeColor="text1"/>
        </w:rPr>
        <w:t xml:space="preserve"> vaccine.</w:t>
      </w:r>
      <w:r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i/>
          <w:iCs/>
          <w:color w:val="000000" w:themeColor="text1"/>
        </w:rPr>
        <w:t>M</w:t>
      </w:r>
      <w:r w:rsidR="00D0521A" w:rsidRPr="00107C19">
        <w:rPr>
          <w:rStyle w:val="title-text"/>
          <w:rFonts w:asciiTheme="minorHAnsi" w:hAnsiTheme="minorHAnsi" w:cstheme="minorHAnsi"/>
          <w:i/>
          <w:iCs/>
          <w:color w:val="000000" w:themeColor="text1"/>
        </w:rPr>
        <w:t>ycoplasma</w:t>
      </w:r>
      <w:r w:rsidRPr="00107C19">
        <w:rPr>
          <w:rStyle w:val="title-text"/>
          <w:rFonts w:asciiTheme="minorHAnsi" w:hAnsiTheme="minorHAnsi" w:cstheme="minorHAnsi"/>
          <w:i/>
          <w:iCs/>
          <w:color w:val="000000" w:themeColor="text1"/>
        </w:rPr>
        <w:t xml:space="preserve"> bovis</w:t>
      </w:r>
      <w:r w:rsidRPr="00107C19">
        <w:rPr>
          <w:rStyle w:val="title-text"/>
          <w:rFonts w:asciiTheme="minorHAnsi" w:hAnsiTheme="minorHAnsi" w:cstheme="minorHAnsi"/>
          <w:color w:val="000000" w:themeColor="text1"/>
        </w:rPr>
        <w:t xml:space="preserve"> causes respiratory disease in cattle and bison. In cattle, </w:t>
      </w:r>
      <w:r w:rsidRPr="00107C19">
        <w:rPr>
          <w:rStyle w:val="title-text"/>
          <w:rFonts w:asciiTheme="minorHAnsi" w:hAnsiTheme="minorHAnsi" w:cstheme="minorHAnsi"/>
          <w:i/>
          <w:iCs/>
          <w:color w:val="000000" w:themeColor="text1"/>
        </w:rPr>
        <w:t>M. bovis</w:t>
      </w:r>
      <w:r w:rsidRPr="00107C19">
        <w:rPr>
          <w:rStyle w:val="title-text"/>
          <w:rFonts w:asciiTheme="minorHAnsi" w:hAnsiTheme="minorHAnsi" w:cstheme="minorHAnsi"/>
          <w:color w:val="000000" w:themeColor="text1"/>
        </w:rPr>
        <w:t xml:space="preserve"> interacts with other pathogens as part of a polymicrobial complex involved with disease, while in bison, </w:t>
      </w:r>
      <w:r w:rsidRPr="00107C19">
        <w:rPr>
          <w:rStyle w:val="title-text"/>
          <w:rFonts w:asciiTheme="minorHAnsi" w:hAnsiTheme="minorHAnsi" w:cstheme="minorHAnsi"/>
          <w:i/>
          <w:iCs/>
          <w:color w:val="000000" w:themeColor="text1"/>
        </w:rPr>
        <w:t>M. bovis</w:t>
      </w:r>
      <w:r w:rsidRPr="00107C19">
        <w:rPr>
          <w:rStyle w:val="title-text"/>
          <w:rFonts w:asciiTheme="minorHAnsi" w:hAnsiTheme="minorHAnsi" w:cstheme="minorHAnsi"/>
          <w:color w:val="000000" w:themeColor="text1"/>
        </w:rPr>
        <w:t xml:space="preserve"> is a primary pathogen that causes pneumonia with high fatality rates. Bison infections are so problematic to treat successfully that treatments are not recommended, so vaccines are needed to control </w:t>
      </w:r>
      <w:r w:rsidRPr="00107C19">
        <w:rPr>
          <w:rStyle w:val="title-text"/>
          <w:rFonts w:asciiTheme="minorHAnsi" w:hAnsiTheme="minorHAnsi" w:cstheme="minorHAnsi"/>
          <w:i/>
          <w:iCs/>
          <w:color w:val="000000" w:themeColor="text1"/>
        </w:rPr>
        <w:t>M. bovis</w:t>
      </w:r>
      <w:r w:rsidRPr="00107C19">
        <w:rPr>
          <w:rStyle w:val="title-text"/>
          <w:rFonts w:asciiTheme="minorHAnsi" w:hAnsiTheme="minorHAnsi" w:cstheme="minorHAnsi"/>
          <w:color w:val="000000" w:themeColor="text1"/>
        </w:rPr>
        <w:t xml:space="preserve"> in both cattle and bison. ARS researchers in Clay Center, Nebraska, analyzed the genomes of 240 </w:t>
      </w:r>
      <w:r w:rsidRPr="00107C19">
        <w:rPr>
          <w:rStyle w:val="title-text"/>
          <w:rFonts w:asciiTheme="minorHAnsi" w:hAnsiTheme="minorHAnsi" w:cstheme="minorHAnsi"/>
          <w:i/>
          <w:iCs/>
          <w:color w:val="000000" w:themeColor="text1"/>
        </w:rPr>
        <w:t>M. bovis</w:t>
      </w:r>
      <w:r w:rsidRPr="00107C19">
        <w:rPr>
          <w:rStyle w:val="title-text"/>
          <w:rFonts w:asciiTheme="minorHAnsi" w:hAnsiTheme="minorHAnsi" w:cstheme="minorHAnsi"/>
          <w:color w:val="000000" w:themeColor="text1"/>
        </w:rPr>
        <w:t xml:space="preserve"> strains isolated from either cattle or bison and analyzed the vaccine potential of their proteins. They focused on proteins that either reside on the outer membrane of </w:t>
      </w:r>
      <w:r w:rsidRPr="00107C19">
        <w:rPr>
          <w:rStyle w:val="title-text"/>
          <w:rFonts w:asciiTheme="minorHAnsi" w:hAnsiTheme="minorHAnsi" w:cstheme="minorHAnsi"/>
          <w:i/>
          <w:iCs/>
          <w:color w:val="000000" w:themeColor="text1"/>
        </w:rPr>
        <w:t>M. bovis</w:t>
      </w:r>
      <w:r w:rsidRPr="00107C19">
        <w:rPr>
          <w:rStyle w:val="title-text"/>
          <w:rFonts w:asciiTheme="minorHAnsi" w:hAnsiTheme="minorHAnsi" w:cstheme="minorHAnsi"/>
          <w:color w:val="000000" w:themeColor="text1"/>
        </w:rPr>
        <w:t xml:space="preserve"> or are secreted, as both types can work effectively in a vaccine, and mapped regions of genetic diversity and immunological potentials for each. This work provides a novel reference for the research community to use in designing vaccines that could protect both cattle and bison from </w:t>
      </w:r>
      <w:r w:rsidRPr="00107C19">
        <w:rPr>
          <w:rStyle w:val="title-text"/>
          <w:rFonts w:asciiTheme="minorHAnsi" w:hAnsiTheme="minorHAnsi" w:cstheme="minorHAnsi"/>
          <w:i/>
          <w:iCs/>
          <w:color w:val="000000" w:themeColor="text1"/>
        </w:rPr>
        <w:t>M. bovis</w:t>
      </w:r>
      <w:r w:rsidRPr="00107C19">
        <w:rPr>
          <w:rStyle w:val="title-text"/>
          <w:rFonts w:asciiTheme="minorHAnsi" w:hAnsiTheme="minorHAnsi" w:cstheme="minorHAnsi"/>
          <w:color w:val="000000" w:themeColor="text1"/>
        </w:rPr>
        <w:t xml:space="preserve"> and reduce devasting losses of bison to this pathogen. (NP 103, C2, PSA, Project No. 3040-32000-036-000D)</w:t>
      </w:r>
    </w:p>
    <w:p w14:paraId="358D4055" w14:textId="4162A17F"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FlagT4G vaccine protection against classical swine fever. </w:t>
      </w:r>
      <w:r w:rsidRPr="00107C19">
        <w:rPr>
          <w:rStyle w:val="title-text"/>
          <w:rFonts w:asciiTheme="minorHAnsi" w:hAnsiTheme="minorHAnsi" w:cstheme="minorHAnsi"/>
          <w:color w:val="000000" w:themeColor="text1"/>
        </w:rPr>
        <w:t xml:space="preserve">Controlling classical swine fever virus (CSFV) in endemic countries relies on rapid interventions to prevent the spread of the virus on infected farms, so CSFV vaccines need to quickly induce a protective immune response to protect pigs. ARS scientists in Orient Point, New York, previously showed that the FlagT4G vaccine they developed could protect pigs within a few days, but the mechanism that conferred this rapid protection was unknown. In the present study, ARS scientists assessed the immune response elicited by the FlagT4G vaccine to understand its ability to protect pigs quickly. Animals given a single dose of the FlagT4G vaccine generated significant protein levels associated with early immune responses such as interferons, but they exhibited no antibody response. But after being challenged with a virulent strain of CSFV, the vaccinated pigs rapidly generated interferon-γ producing cells as well as CSFV neutralizing antibodies, while unvaccinated pigs were unable to generate neutralizing antibodies or an interferon-γ responses. These results show that the fast and efficient protection provided by the FlagT4G vaccine is associated </w:t>
      </w:r>
      <w:r w:rsidRPr="00107C19">
        <w:rPr>
          <w:rStyle w:val="title-text"/>
          <w:rFonts w:asciiTheme="minorHAnsi" w:hAnsiTheme="minorHAnsi" w:cstheme="minorHAnsi"/>
          <w:color w:val="000000" w:themeColor="text1"/>
        </w:rPr>
        <w:lastRenderedPageBreak/>
        <w:t>with innate immunity and not antibody response and highlights a potentially new promising tool for CSFV control worldwide. (NP 103, C1, PSA, Project No. 3022-32000-063-000D)</w:t>
      </w:r>
    </w:p>
    <w:p w14:paraId="06E9DAC5"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Sheep scrapie agent can infect white-tailed deer</w:t>
      </w:r>
      <w:r w:rsidRPr="00107C19">
        <w:rPr>
          <w:rStyle w:val="title-text"/>
          <w:rFonts w:asciiTheme="minorHAnsi" w:hAnsiTheme="minorHAnsi" w:cstheme="minorHAnsi"/>
          <w:color w:val="000000" w:themeColor="text1"/>
        </w:rPr>
        <w:t>. The origin of chronic wasting disease (CWD) is not known, but it has many similarities to the prion disease of sheep called scrapie. It has long been hypothesized that CWD could have arisen through transmission of sheep scrapie to deer. ARS researchers in Ames, Iowa, conducted a study to determine if scrapie derived from sheep could be transmitted to white-tailed deer. The deer inoculated with sheep scrapie developed clinical signs and the abnormal prion protein could be detected in a wide range of tissues. These results indicate that deer may be susceptible to sheep scrapie if exposed to the disease in natural or agricultural settings. In addition, several strong similarities between CWD in white-tailed deer and the experimental cases of scrapie in white-tailed deer in these studies suggest that it would be difficult to identify scrapie in deer were a case to occur. This information should be considered by deer farmers for keeping their herds free from prion diseases. (NP 103, C6, PSA, Project No. 5030-32000-228-000D)</w:t>
      </w:r>
      <w:r w:rsidRPr="00107C19">
        <w:rPr>
          <w:rStyle w:val="title-text"/>
          <w:rFonts w:asciiTheme="minorHAnsi" w:hAnsiTheme="minorHAnsi" w:cstheme="minorHAnsi"/>
          <w:color w:val="000000" w:themeColor="text1"/>
        </w:rPr>
        <w:tab/>
      </w:r>
    </w:p>
    <w:p w14:paraId="547A5B88"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Tick microbiome inhibits </w:t>
      </w:r>
      <w:r w:rsidRPr="00107C19">
        <w:rPr>
          <w:rStyle w:val="title-text"/>
          <w:rFonts w:asciiTheme="minorHAnsi" w:hAnsiTheme="minorHAnsi" w:cstheme="minorHAnsi"/>
          <w:b/>
          <w:bCs/>
          <w:i/>
          <w:iCs/>
          <w:color w:val="000000" w:themeColor="text1"/>
        </w:rPr>
        <w:t>Anaplasma marginale</w:t>
      </w:r>
      <w:r w:rsidRPr="00107C19">
        <w:rPr>
          <w:rStyle w:val="title-text"/>
          <w:rFonts w:asciiTheme="minorHAnsi" w:hAnsiTheme="minorHAnsi" w:cstheme="minorHAnsi"/>
          <w:b/>
          <w:bCs/>
          <w:color w:val="000000" w:themeColor="text1"/>
        </w:rPr>
        <w:t xml:space="preserve"> infectivity</w:t>
      </w:r>
      <w:r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i/>
          <w:iCs/>
          <w:color w:val="000000" w:themeColor="text1"/>
        </w:rPr>
        <w:t xml:space="preserve">Anaplasma marginale </w:t>
      </w:r>
      <w:r w:rsidRPr="00107C19">
        <w:rPr>
          <w:rStyle w:val="title-text"/>
          <w:rFonts w:asciiTheme="minorHAnsi" w:hAnsiTheme="minorHAnsi" w:cstheme="minorHAnsi"/>
          <w:color w:val="000000" w:themeColor="text1"/>
        </w:rPr>
        <w:t xml:space="preserve">is a tick-borne, bacterial pathogen that causes bovine anaplasmosis, a high impact cattle disease that limits production. Few tools are available for preventing this disease, in part due to large knowledge gaps in our understanding of interactions between the tick, its microbiome, and the pathogen. </w:t>
      </w:r>
      <w:r w:rsidRPr="00107C19">
        <w:rPr>
          <w:rStyle w:val="title-text"/>
          <w:rFonts w:asciiTheme="minorHAnsi" w:hAnsiTheme="minorHAnsi" w:cstheme="minorHAnsi"/>
          <w:i/>
          <w:iCs/>
          <w:color w:val="000000" w:themeColor="text1"/>
        </w:rPr>
        <w:t>Rickettsia bellii</w:t>
      </w:r>
      <w:r w:rsidRPr="00107C19">
        <w:rPr>
          <w:rStyle w:val="title-text"/>
          <w:rFonts w:asciiTheme="minorHAnsi" w:hAnsiTheme="minorHAnsi" w:cstheme="minorHAnsi"/>
          <w:color w:val="000000" w:themeColor="text1"/>
        </w:rPr>
        <w:t xml:space="preserve">, a component of the tick microbiome, resides in more than 25 species of ticks. ARS researchers in Pullman, Washington, and Washington State University collaborators determined that </w:t>
      </w:r>
      <w:r w:rsidRPr="00107C19">
        <w:rPr>
          <w:rStyle w:val="title-text"/>
          <w:rFonts w:asciiTheme="minorHAnsi" w:hAnsiTheme="minorHAnsi" w:cstheme="minorHAnsi"/>
          <w:i/>
          <w:iCs/>
          <w:color w:val="000000" w:themeColor="text1"/>
        </w:rPr>
        <w:t>A. marginale</w:t>
      </w:r>
      <w:r w:rsidRPr="00107C19">
        <w:rPr>
          <w:rStyle w:val="title-text"/>
          <w:rFonts w:asciiTheme="minorHAnsi" w:hAnsiTheme="minorHAnsi" w:cstheme="minorHAnsi"/>
          <w:color w:val="000000" w:themeColor="text1"/>
        </w:rPr>
        <w:t xml:space="preserve"> is less able to establish an infection in tick cells in the presence of </w:t>
      </w:r>
      <w:r w:rsidRPr="00107C19">
        <w:rPr>
          <w:rStyle w:val="title-text"/>
          <w:rFonts w:asciiTheme="minorHAnsi" w:hAnsiTheme="minorHAnsi" w:cstheme="minorHAnsi"/>
          <w:i/>
          <w:iCs/>
          <w:color w:val="000000" w:themeColor="text1"/>
        </w:rPr>
        <w:t>R. bellii</w:t>
      </w:r>
      <w:r w:rsidRPr="00107C19">
        <w:rPr>
          <w:rStyle w:val="title-text"/>
          <w:rFonts w:asciiTheme="minorHAnsi" w:hAnsiTheme="minorHAnsi" w:cstheme="minorHAnsi"/>
          <w:color w:val="000000" w:themeColor="text1"/>
        </w:rPr>
        <w:t xml:space="preserve"> and that an established </w:t>
      </w:r>
      <w:r w:rsidRPr="00107C19">
        <w:rPr>
          <w:rStyle w:val="title-text"/>
          <w:rFonts w:asciiTheme="minorHAnsi" w:hAnsiTheme="minorHAnsi" w:cstheme="minorHAnsi"/>
          <w:i/>
          <w:iCs/>
          <w:color w:val="000000" w:themeColor="text1"/>
        </w:rPr>
        <w:t>R. bellii</w:t>
      </w:r>
      <w:r w:rsidRPr="00107C19">
        <w:rPr>
          <w:rStyle w:val="title-text"/>
          <w:rFonts w:asciiTheme="minorHAnsi" w:hAnsiTheme="minorHAnsi" w:cstheme="minorHAnsi"/>
          <w:color w:val="000000" w:themeColor="text1"/>
        </w:rPr>
        <w:t xml:space="preserve"> infection inhibits </w:t>
      </w:r>
      <w:r w:rsidRPr="00107C19">
        <w:rPr>
          <w:rStyle w:val="title-text"/>
          <w:rFonts w:asciiTheme="minorHAnsi" w:hAnsiTheme="minorHAnsi" w:cstheme="minorHAnsi"/>
          <w:i/>
          <w:iCs/>
          <w:color w:val="000000" w:themeColor="text1"/>
        </w:rPr>
        <w:t>A. marginale</w:t>
      </w:r>
      <w:r w:rsidRPr="00107C19">
        <w:rPr>
          <w:rStyle w:val="title-text"/>
          <w:rFonts w:asciiTheme="minorHAnsi" w:hAnsiTheme="minorHAnsi" w:cstheme="minorHAnsi"/>
          <w:color w:val="000000" w:themeColor="text1"/>
        </w:rPr>
        <w:t xml:space="preserve"> growth. This interaction highlights the importance of the microbiome in pathogen establishment and transmission. This foundational knowledge may lead to the development of new methods to control bovine anaplasmosis by preventing tick transmission, which will directly support cattle producers worldwide. (NP 103, C3, PSC, Project No. 2022 2090-32000-043-000D)</w:t>
      </w:r>
    </w:p>
    <w:p w14:paraId="7516516F"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Determining </w:t>
      </w:r>
      <w:r w:rsidRPr="00107C19">
        <w:rPr>
          <w:rStyle w:val="title-text"/>
          <w:rFonts w:asciiTheme="minorHAnsi" w:hAnsiTheme="minorHAnsi" w:cstheme="minorHAnsi"/>
          <w:b/>
          <w:bCs/>
          <w:i/>
          <w:iCs/>
          <w:color w:val="000000" w:themeColor="text1"/>
        </w:rPr>
        <w:t>Leptospira</w:t>
      </w:r>
      <w:r w:rsidRPr="00107C19">
        <w:rPr>
          <w:rStyle w:val="title-text"/>
          <w:rFonts w:asciiTheme="minorHAnsi" w:hAnsiTheme="minorHAnsi" w:cstheme="minorHAnsi"/>
          <w:b/>
          <w:bCs/>
          <w:color w:val="000000" w:themeColor="text1"/>
        </w:rPr>
        <w:t xml:space="preserve"> genomes directly from field samples.</w:t>
      </w:r>
      <w:r w:rsidRPr="00107C19">
        <w:rPr>
          <w:rStyle w:val="title-text"/>
          <w:rFonts w:asciiTheme="minorHAnsi" w:hAnsiTheme="minorHAnsi" w:cstheme="minorHAnsi"/>
          <w:color w:val="000000" w:themeColor="text1"/>
        </w:rPr>
        <w:t xml:space="preserve"> Leptospirosis is a zoonotic disease that is estimated to cause 1M human infections and 60,000 deaths per year. This disease is extremely difficult to study since the bacteria are difficult to culture and detect. ARS scientists in Ames, Iowa, and academic collaborators validated a culture-independent DNA capture and enrichment system for characterizing </w:t>
      </w:r>
      <w:r w:rsidRPr="00107C19">
        <w:rPr>
          <w:rStyle w:val="title-text"/>
          <w:rFonts w:asciiTheme="minorHAnsi" w:hAnsiTheme="minorHAnsi" w:cstheme="minorHAnsi"/>
          <w:i/>
          <w:iCs/>
          <w:color w:val="000000" w:themeColor="text1"/>
        </w:rPr>
        <w:t>Leptospira</w:t>
      </w:r>
      <w:r w:rsidRPr="00107C19">
        <w:rPr>
          <w:rStyle w:val="title-text"/>
          <w:rFonts w:asciiTheme="minorHAnsi" w:hAnsiTheme="minorHAnsi" w:cstheme="minorHAnsi"/>
          <w:color w:val="000000" w:themeColor="text1"/>
        </w:rPr>
        <w:t xml:space="preserve"> genomic data from field samples. The assay greatly increases recovery of Leptospira DNA from field samples and facilitates robust species identification and high-resolution genotyping. Sequence data of recovered DNA is similar in quality to data from in vitro cultured isolates. Implementing this DNA capture and enrichment assay improves identifying </w:t>
      </w:r>
      <w:r w:rsidRPr="00107C19">
        <w:rPr>
          <w:rStyle w:val="title-text"/>
          <w:rFonts w:asciiTheme="minorHAnsi" w:hAnsiTheme="minorHAnsi" w:cstheme="minorHAnsi"/>
          <w:i/>
          <w:iCs/>
          <w:color w:val="000000" w:themeColor="text1"/>
        </w:rPr>
        <w:t>Leptospira</w:t>
      </w:r>
      <w:r w:rsidRPr="00107C19">
        <w:rPr>
          <w:rStyle w:val="title-text"/>
          <w:rFonts w:asciiTheme="minorHAnsi" w:hAnsiTheme="minorHAnsi" w:cstheme="minorHAnsi"/>
          <w:color w:val="000000" w:themeColor="text1"/>
        </w:rPr>
        <w:t xml:space="preserve"> in unculturable samples and expands understanding of </w:t>
      </w:r>
      <w:r w:rsidRPr="00107C19">
        <w:rPr>
          <w:rStyle w:val="title-text"/>
          <w:rFonts w:asciiTheme="minorHAnsi" w:hAnsiTheme="minorHAnsi" w:cstheme="minorHAnsi"/>
          <w:i/>
          <w:iCs/>
          <w:color w:val="000000" w:themeColor="text1"/>
        </w:rPr>
        <w:t>Leptospira</w:t>
      </w:r>
      <w:r w:rsidRPr="00107C19">
        <w:rPr>
          <w:rStyle w:val="title-text"/>
          <w:rFonts w:asciiTheme="minorHAnsi" w:hAnsiTheme="minorHAnsi" w:cstheme="minorHAnsi"/>
          <w:color w:val="000000" w:themeColor="text1"/>
        </w:rPr>
        <w:t xml:space="preserve"> populations and genomic diversity. The assay will improve epidemiologic knowledge of </w:t>
      </w:r>
      <w:r w:rsidRPr="00107C19">
        <w:rPr>
          <w:rStyle w:val="title-text"/>
          <w:rFonts w:asciiTheme="minorHAnsi" w:hAnsiTheme="minorHAnsi" w:cstheme="minorHAnsi"/>
          <w:i/>
          <w:iCs/>
          <w:color w:val="000000" w:themeColor="text1"/>
        </w:rPr>
        <w:t>Leptospira</w:t>
      </w:r>
      <w:r w:rsidRPr="00107C19">
        <w:rPr>
          <w:rStyle w:val="title-text"/>
          <w:rFonts w:asciiTheme="minorHAnsi" w:hAnsiTheme="minorHAnsi" w:cstheme="minorHAnsi"/>
          <w:color w:val="000000" w:themeColor="text1"/>
        </w:rPr>
        <w:t xml:space="preserve"> distribution, facilitate developing improved diagnostics and vaccines, and will be of interest to diagnostic personnel, scientists, and livestock producers. The assay has already been used to demonstrate that U.S. cattle can be infected with more than one species of Leptospira concurrently. (NP103, C3, PSA, Project No. 5030-32000-233-000D)</w:t>
      </w:r>
    </w:p>
    <w:p w14:paraId="743F1824"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Recombinant foot-and-mouth disease viruses arise quickly in persistently infected carrier cattle</w:t>
      </w:r>
      <w:r w:rsidRPr="00107C19">
        <w:rPr>
          <w:rStyle w:val="title-text"/>
          <w:rFonts w:asciiTheme="minorHAnsi" w:hAnsiTheme="minorHAnsi" w:cstheme="minorHAnsi"/>
          <w:color w:val="000000" w:themeColor="text1"/>
        </w:rPr>
        <w:t xml:space="preserve">. ARS researchers in Orient Point, New York, have previously documented that foot-and-mouth disease viruses (FMDV) can cause a prolonged subclinical infection in the upper respiratory tract of infected cattle. ARS scientists have further demonstrated that exposing these FMDV carriers to a different </w:t>
      </w:r>
      <w:r w:rsidRPr="00107C19">
        <w:rPr>
          <w:rStyle w:val="title-text"/>
          <w:rFonts w:asciiTheme="minorHAnsi" w:hAnsiTheme="minorHAnsi" w:cstheme="minorHAnsi"/>
          <w:color w:val="000000" w:themeColor="text1"/>
        </w:rPr>
        <w:lastRenderedPageBreak/>
        <w:t>variant of the virus gives rise to novel recombinant virus variants with distinct components derived from each of the two infecting viruses. Recent studies demonstrated that these recombinant viruses arise in specialized cells of the upper respiratory mucosa within the first 48 hours of infection. This finding is critical as it confirms that the recombinant viruses are present in the respiratory tract during the very early stages of infection, when infected animals are known to shed the greatest amounts of virus. This discovery highlights the importance of detection and appropriate management of persistently infected FMDV carriers following disease outbreaks, especially in regions where multiple FMDV variants are in circulation. (NP 103, C1, PSA, Project No. 2022 3022-32000-064-000D)</w:t>
      </w:r>
    </w:p>
    <w:p w14:paraId="338E10FE"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U.S. </w:t>
      </w:r>
      <w:r w:rsidRPr="00107C19">
        <w:rPr>
          <w:rStyle w:val="title-text"/>
          <w:rFonts w:asciiTheme="minorHAnsi" w:hAnsiTheme="minorHAnsi" w:cstheme="minorHAnsi"/>
          <w:b/>
          <w:bCs/>
          <w:i/>
          <w:iCs/>
          <w:color w:val="000000" w:themeColor="text1"/>
        </w:rPr>
        <w:t>Streptococcus suis</w:t>
      </w:r>
      <w:r w:rsidRPr="00107C19">
        <w:rPr>
          <w:rStyle w:val="title-text"/>
          <w:rFonts w:asciiTheme="minorHAnsi" w:hAnsiTheme="minorHAnsi" w:cstheme="minorHAnsi"/>
          <w:b/>
          <w:bCs/>
          <w:color w:val="000000" w:themeColor="text1"/>
        </w:rPr>
        <w:t xml:space="preserve"> isolates do not harbor genes with capacity to cause human disease</w:t>
      </w:r>
      <w:r w:rsidRPr="00107C19">
        <w:rPr>
          <w:rStyle w:val="title-text"/>
          <w:rFonts w:asciiTheme="minorHAnsi" w:hAnsiTheme="minorHAnsi" w:cstheme="minorHAnsi"/>
          <w:color w:val="000000" w:themeColor="text1"/>
        </w:rPr>
        <w:t xml:space="preserve">. Most genomic sequence data needed to evaluate any potential risks attributed to </w:t>
      </w:r>
      <w:r w:rsidRPr="00107C19">
        <w:rPr>
          <w:rStyle w:val="title-text"/>
          <w:rFonts w:asciiTheme="minorHAnsi" w:hAnsiTheme="minorHAnsi" w:cstheme="minorHAnsi"/>
          <w:i/>
          <w:iCs/>
          <w:color w:val="000000" w:themeColor="text1"/>
        </w:rPr>
        <w:t>S. suis</w:t>
      </w:r>
      <w:r w:rsidRPr="00107C19">
        <w:rPr>
          <w:rStyle w:val="title-text"/>
          <w:rFonts w:asciiTheme="minorHAnsi" w:hAnsiTheme="minorHAnsi" w:cstheme="minorHAnsi"/>
          <w:color w:val="000000" w:themeColor="text1"/>
        </w:rPr>
        <w:t xml:space="preserve"> are derived from bacterial isolates obtained outside the United States. ARS researchers in Ames, Iowa applied genome sequencing methods to examine the genetic makeup of </w:t>
      </w:r>
      <w:r w:rsidRPr="00107C19">
        <w:rPr>
          <w:rStyle w:val="title-text"/>
          <w:rFonts w:asciiTheme="minorHAnsi" w:hAnsiTheme="minorHAnsi" w:cstheme="minorHAnsi"/>
          <w:i/>
          <w:iCs/>
          <w:color w:val="000000" w:themeColor="text1"/>
        </w:rPr>
        <w:t>S. suis</w:t>
      </w:r>
      <w:r w:rsidRPr="00107C19">
        <w:rPr>
          <w:rStyle w:val="title-text"/>
          <w:rFonts w:asciiTheme="minorHAnsi" w:hAnsiTheme="minorHAnsi" w:cstheme="minorHAnsi"/>
          <w:color w:val="000000" w:themeColor="text1"/>
        </w:rPr>
        <w:t xml:space="preserve"> isolates obtained in the United States and found they were genetically different from each other, indicating that they can give and receive genetic material from other bacteria. These isolates were also found to contain a high number of antimicrobial resistance genes, but no genes encoding the capacity to cause disease in humans were found in these isolates. Collectively, these data provide a blueprint that can be used by producers, veterinarians, and public health officials for addressing public and animal health concerns relating to the severity of disease caused by </w:t>
      </w:r>
      <w:r w:rsidRPr="00107C19">
        <w:rPr>
          <w:rStyle w:val="title-text"/>
          <w:rFonts w:asciiTheme="minorHAnsi" w:hAnsiTheme="minorHAnsi" w:cstheme="minorHAnsi"/>
          <w:i/>
          <w:iCs/>
          <w:color w:val="000000" w:themeColor="text1"/>
        </w:rPr>
        <w:t>S. suis</w:t>
      </w:r>
      <w:r w:rsidRPr="00107C19">
        <w:rPr>
          <w:rStyle w:val="title-text"/>
          <w:rFonts w:asciiTheme="minorHAnsi" w:hAnsiTheme="minorHAnsi" w:cstheme="minorHAnsi"/>
          <w:color w:val="000000" w:themeColor="text1"/>
        </w:rPr>
        <w:t>. (NP 103, C2, PSA, Project No. 5030-32000-237-000D)</w:t>
      </w:r>
    </w:p>
    <w:p w14:paraId="6C2EBA1C"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A transmission model for </w:t>
      </w:r>
      <w:r w:rsidRPr="00107C19">
        <w:rPr>
          <w:rStyle w:val="title-text"/>
          <w:rFonts w:asciiTheme="minorHAnsi" w:hAnsiTheme="minorHAnsi" w:cstheme="minorHAnsi"/>
          <w:b/>
          <w:bCs/>
          <w:i/>
          <w:iCs/>
          <w:color w:val="000000" w:themeColor="text1"/>
        </w:rPr>
        <w:t>Histomonas meleagridis</w:t>
      </w:r>
      <w:r w:rsidRPr="00107C19">
        <w:rPr>
          <w:rStyle w:val="title-text"/>
          <w:rFonts w:asciiTheme="minorHAnsi" w:hAnsiTheme="minorHAnsi" w:cstheme="minorHAnsi"/>
          <w:color w:val="000000" w:themeColor="text1"/>
        </w:rPr>
        <w:t xml:space="preserve">. Blackhead disease caused by the parasitic pathogen </w:t>
      </w:r>
      <w:r w:rsidRPr="00107C19">
        <w:rPr>
          <w:rStyle w:val="title-text"/>
          <w:rFonts w:asciiTheme="minorHAnsi" w:hAnsiTheme="minorHAnsi" w:cstheme="minorHAnsi"/>
          <w:i/>
          <w:iCs/>
          <w:color w:val="000000" w:themeColor="text1"/>
        </w:rPr>
        <w:t>Histomonas meleagridis</w:t>
      </w:r>
      <w:r w:rsidRPr="00107C19">
        <w:rPr>
          <w:rStyle w:val="title-text"/>
          <w:rFonts w:asciiTheme="minorHAnsi" w:hAnsiTheme="minorHAnsi" w:cstheme="minorHAnsi"/>
          <w:color w:val="000000" w:themeColor="text1"/>
        </w:rPr>
        <w:t xml:space="preserve"> is an economically significant disease for turkeys worldwide due to the lack of effective therapeutics. To develop and test effective therapeutics, a reproducible model of histomonosis is needed. ARS scientists in Beltsville, Maryland, and University of Arkansas researchers studied different feed formulations and </w:t>
      </w:r>
      <w:r w:rsidRPr="00107C19">
        <w:rPr>
          <w:rStyle w:val="title-text"/>
          <w:rFonts w:asciiTheme="minorHAnsi" w:hAnsiTheme="minorHAnsi" w:cstheme="minorHAnsi"/>
          <w:i/>
          <w:iCs/>
          <w:color w:val="000000" w:themeColor="text1"/>
        </w:rPr>
        <w:t>H. meleagridis</w:t>
      </w:r>
      <w:r w:rsidRPr="00107C19">
        <w:rPr>
          <w:rStyle w:val="title-text"/>
          <w:rFonts w:asciiTheme="minorHAnsi" w:hAnsiTheme="minorHAnsi" w:cstheme="minorHAnsi"/>
          <w:color w:val="000000" w:themeColor="text1"/>
        </w:rPr>
        <w:t xml:space="preserve"> strains to achieve consistent transmission of the parasite. This research found that one </w:t>
      </w:r>
      <w:r w:rsidRPr="00107C19">
        <w:rPr>
          <w:rStyle w:val="title-text"/>
          <w:rFonts w:asciiTheme="minorHAnsi" w:hAnsiTheme="minorHAnsi" w:cstheme="minorHAnsi"/>
          <w:i/>
          <w:iCs/>
          <w:color w:val="000000" w:themeColor="text1"/>
        </w:rPr>
        <w:t>H. meleagridis</w:t>
      </w:r>
      <w:r w:rsidRPr="00107C19">
        <w:rPr>
          <w:rStyle w:val="title-text"/>
          <w:rFonts w:asciiTheme="minorHAnsi" w:hAnsiTheme="minorHAnsi" w:cstheme="minorHAnsi"/>
          <w:color w:val="000000" w:themeColor="text1"/>
        </w:rPr>
        <w:t xml:space="preserve"> isolate used in conjunction with a low nutrient density diet gave rise to reproducible horizontal transmission of the parasite among young turkeys. This finding should provide a model for evaluating anti-histomonal compounds against horizontal transmission of </w:t>
      </w:r>
      <w:r w:rsidRPr="00107C19">
        <w:rPr>
          <w:rStyle w:val="title-text"/>
          <w:rFonts w:asciiTheme="minorHAnsi" w:hAnsiTheme="minorHAnsi" w:cstheme="minorHAnsi"/>
          <w:i/>
          <w:iCs/>
          <w:color w:val="000000" w:themeColor="text1"/>
        </w:rPr>
        <w:t>H. meleagridis</w:t>
      </w:r>
      <w:r w:rsidRPr="00107C19">
        <w:rPr>
          <w:rStyle w:val="title-text"/>
          <w:rFonts w:asciiTheme="minorHAnsi" w:hAnsiTheme="minorHAnsi" w:cstheme="minorHAnsi"/>
          <w:color w:val="000000" w:themeColor="text1"/>
        </w:rPr>
        <w:t xml:space="preserve"> and possibly a therapy against histomonosis.  (NP103, C5, PSA, Project No. 8042-32000-118-000D)</w:t>
      </w:r>
    </w:p>
    <w:p w14:paraId="366A45E9"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Interfering with critical receptors to control fire ant colonies</w:t>
      </w:r>
      <w:r w:rsidRPr="00107C19">
        <w:rPr>
          <w:rStyle w:val="title-text"/>
          <w:rFonts w:asciiTheme="minorHAnsi" w:hAnsiTheme="minorHAnsi" w:cstheme="minorHAnsi"/>
          <w:color w:val="000000" w:themeColor="text1"/>
        </w:rPr>
        <w:t>. Controlling and mitigating fire ants and their damage costs $8.75 billion per year. G-Protein Coupled Receptors (GPCRs) are cell receptors essential to ant health and GPCR interference has been the subject of research for decades. ARS scientists in Gainesville, Florida, finally developed “Receptor-i” technology producing small peptides that block GPCR receptors. This technological breakthrough, which has the potential to provide biodegradable control products to a wide range of insect pests, used fire ants as a model system. Studies found that receptor-i isolated peptides can control field-collected fire ant colonies, workers, and queens. This species-specific and organic technology can be applied to other pest ants and pest insects, which will benefit a broad range of USDA customers. There has been considerable commercial interest in this technology. (NP 104, C3, PSA, Project NO. 6036-32000-051-000D)</w:t>
      </w:r>
    </w:p>
    <w:p w14:paraId="389A2E42"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Assays for Asian longhorned tick identification</w:t>
      </w:r>
      <w:r w:rsidRPr="00107C19">
        <w:rPr>
          <w:rStyle w:val="title-text"/>
          <w:rFonts w:asciiTheme="minorHAnsi" w:hAnsiTheme="minorHAnsi" w:cstheme="minorHAnsi"/>
          <w:color w:val="000000" w:themeColor="text1"/>
        </w:rPr>
        <w:t>. The Asian longhorned tick (</w:t>
      </w:r>
      <w:r w:rsidRPr="00107C19">
        <w:rPr>
          <w:rStyle w:val="title-text"/>
          <w:rFonts w:asciiTheme="minorHAnsi" w:hAnsiTheme="minorHAnsi" w:cstheme="minorHAnsi"/>
          <w:i/>
          <w:iCs/>
          <w:color w:val="000000" w:themeColor="text1"/>
        </w:rPr>
        <w:t>Haemaphysalis longicornis</w:t>
      </w:r>
      <w:r w:rsidRPr="00107C19">
        <w:rPr>
          <w:rStyle w:val="title-text"/>
          <w:rFonts w:asciiTheme="minorHAnsi" w:hAnsiTheme="minorHAnsi" w:cstheme="minorHAnsi"/>
          <w:color w:val="000000" w:themeColor="text1"/>
        </w:rPr>
        <w:t xml:space="preserve">) is a recent invasive species in the United States that has killed livestock through blood feeding and disease transmission, and in other countries has reduced dairy production by up to 25 percent. Tick </w:t>
      </w:r>
      <w:r w:rsidRPr="00107C19">
        <w:rPr>
          <w:rStyle w:val="title-text"/>
          <w:rFonts w:asciiTheme="minorHAnsi" w:hAnsiTheme="minorHAnsi" w:cstheme="minorHAnsi"/>
          <w:color w:val="000000" w:themeColor="text1"/>
        </w:rPr>
        <w:lastRenderedPageBreak/>
        <w:t>species identification is critical for further tick surveillance, population management, and control of tick-borne diseases. ARS scientists in Beltsville, Maryland, and University of Massachusetts colleagues developed a molecular diagnostic assay for identifying this invasive tick using extracted DNA. The technique can be applied to screen archived tick DNA samples, speed identification from large-scale survey efforts, and help non-specialists identify ticks accurately. (NP 104, C2, PSD, Project No. 8042-32000-012-000D)</w:t>
      </w:r>
    </w:p>
    <w:p w14:paraId="6980EA98" w14:textId="420F202E"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Global strategy for addressing Rift Valley fever virus globalization</w:t>
      </w:r>
      <w:r w:rsidRPr="00107C19">
        <w:rPr>
          <w:rStyle w:val="title-text"/>
          <w:rFonts w:asciiTheme="minorHAnsi" w:hAnsiTheme="minorHAnsi" w:cstheme="minorHAnsi"/>
          <w:color w:val="000000" w:themeColor="text1"/>
        </w:rPr>
        <w:t>. Rift Valley fever virus (RVFV) is primarily a mosquito and blood borne virus that causes Rift Valley fever (RVF), an acute fever and blood disease with liver, vision, and other complications. It primarily affects domestic hoofed livestock and humans. RVFV has not been found in the United States, but there are dozens of mosquito species and 31 other U.S. insect species that can transmit this virus to domestic livestock, wildlife, and humans. RVF outbreaks in its endemic range of continental Africa, the western Indian Ocean, and the Arabian Peninsula result in pronounced health and economic impacts, and are increasing in frequency and locations, increasing the odds that RVFV will be transported to new regions. ARS researchers in Gainesville, Florida, in collaboration with researchers at the NASA-Goddard Space Flight Center, Oak Ridge National Laboratories, and the EcoHealth Alliance, developed a global strategy for protecting non-endemic regions from the emergence of RVFV. This strategy is based on and includes the most current technology in vaccines, diagnostics, predictive modeling, and vector control. It has resulted in international programs, interagency partnerships, and collaborations with operational public health and mosquito and vector control units addressing potential RVF emergence and spread. The strategy includes a series of scenarios of RVFV encroachment into non-endemic regions and hypothesized gaps or vulnerabilities in response infrastructure. The publication generated from the development of this strategic guidance provided detailed, tractable processes to develop monitoring systems to protect public health and livestock economies in regions where RVFV is emerging. (NP 104, C2, PSA, Project No. 6036-32000-052-000D)</w:t>
      </w:r>
    </w:p>
    <w:p w14:paraId="5F8EC6AE" w14:textId="4A85FBED"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Game fencing limits wildlife movement reducing the spread of cattle fever ticks.</w:t>
      </w:r>
      <w:r w:rsidRPr="00107C19">
        <w:rPr>
          <w:rStyle w:val="title-text"/>
          <w:rFonts w:asciiTheme="minorHAnsi" w:hAnsiTheme="minorHAnsi" w:cstheme="minorHAnsi"/>
          <w:color w:val="000000" w:themeColor="text1"/>
        </w:rPr>
        <w:t xml:space="preserve"> Wildlife such as nilgai antelope are forced by geography and human activity into predicable corridors for traveling north from Mexico into Texas. As they traverse these corridors, these animals disperse cattle fever ticks and the pathogens they carry into the transboundary region between the United States and Mexico. ARS researchers in Edinburg, Texas, studied the movement of nilgai by attaching satellite radio collars on individual animals and used satellite imagery to determine the location of the movement corridors. They then worked with collaborators from USDA-Animal and Plant Health Inspection Service (APHIS), U.S. Fish and Wildlife Services, and the Texas Animal Health Commission to build game fencing in Cameron County to block northward movement of nilgai and associated ticks/pathogens, completely preventing nilgai from entering the United States from Mexico. This fencing also redirects endangered ocelots to existing U.S. Fish and Wildlife tunnels for safe passage across major highways.</w:t>
      </w:r>
      <w:r w:rsidR="00C910EB"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color w:val="000000" w:themeColor="text1"/>
        </w:rPr>
        <w:t>(NP 104, C1, PSA, Project No. 3094-3200-042-000D)</w:t>
      </w:r>
    </w:p>
    <w:p w14:paraId="0368F355"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new screwworm fly attractant formulation</w:t>
      </w:r>
      <w:r w:rsidRPr="00107C19">
        <w:rPr>
          <w:rStyle w:val="title-text"/>
          <w:rFonts w:asciiTheme="minorHAnsi" w:hAnsiTheme="minorHAnsi" w:cstheme="minorHAnsi"/>
          <w:color w:val="000000" w:themeColor="text1"/>
        </w:rPr>
        <w:t>. The New World screwworm fly (NWS) is a parasitic organism that cannot complete its lifecycle without exploiting a suitable host of warm-blooded animals. NWS was eradicated from North America during the mid- to late-20th century using the sterile insect technique. To maintain this eradication, sterile flies are released regularly along the Panama-</w:t>
      </w:r>
      <w:r w:rsidRPr="00107C19">
        <w:rPr>
          <w:rStyle w:val="title-text"/>
          <w:rFonts w:asciiTheme="minorHAnsi" w:hAnsiTheme="minorHAnsi" w:cstheme="minorHAnsi"/>
          <w:color w:val="000000" w:themeColor="text1"/>
        </w:rPr>
        <w:lastRenderedPageBreak/>
        <w:t>Colombia border to prevent the introduction of flies from South America. Lures are an important component of the screwworm eradication program and are used for field surveillance, sample collection, and strain evaluation. The first chemical lure, swormlure, was developed based on NWS’ attraction to volatile organic compounds produced from decomposing animal tissues. The formulation has changed little over the years and presently contains 10 chemicals, one of which is dimethyl disulfide (DMDS). Restrictions on the transport of DMDS have recently impeded its use in swormlure-4 (SL-4). However, dimethyl trisulfide (DMTS) is not as highly restricted and can be shipped via air transportation. Both chemicals are produced by microbial decomposition of animal tissues. Field trials using sterile NWS showed that swormlure containing DMTS (SL-5) was as effective as swormlure containing DMDS (SL-4). This will allow transporting this lure for use in the eradication program without restrictions. (NP 104, C1, PSE, Project No. 3094-32000-041-000D)</w:t>
      </w:r>
    </w:p>
    <w:p w14:paraId="6C4BA97E"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Novel fire ant control.</w:t>
      </w:r>
      <w:r w:rsidRPr="00107C19">
        <w:rPr>
          <w:rStyle w:val="title-text"/>
          <w:rFonts w:asciiTheme="minorHAnsi" w:hAnsiTheme="minorHAnsi" w:cstheme="minorHAnsi"/>
          <w:color w:val="000000" w:themeColor="text1"/>
        </w:rPr>
        <w:t xml:space="preserve"> A new fire ant control method was discovered and patented. It is based on research by an ARS scientist in Gainesville, Florida, and a collaborator, and the active ingredient is considered “natural” and inexpensive, which increases its potential commercial appeal. The main active ingredient was discovered through basic research on female reproductive development after mating. When fed to fire ant laboratory colonies the chemical resulted in worker and queen death; however, the ingestion of the chemical was very low, especially with field colonies. Ant acceptability of the chemical was significantly increased and resulted in excellent control of fully functional field collected colonies. This research is expected to result in the first new active ingredient for fire ant control in more than 20 years. There have also been spinoff applications to other insect pests that resulted in a patent application. (NP 104, C3, PSA, Project No. 6036-32000-051-000D)</w:t>
      </w:r>
    </w:p>
    <w:p w14:paraId="2DB227A8"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Mustard seed meals are effective mosquito control biopesticides</w:t>
      </w:r>
      <w:r w:rsidRPr="00107C19">
        <w:rPr>
          <w:rStyle w:val="title-text"/>
          <w:rFonts w:asciiTheme="minorHAnsi" w:hAnsiTheme="minorHAnsi" w:cstheme="minorHAnsi"/>
          <w:color w:val="000000" w:themeColor="text1"/>
        </w:rPr>
        <w:t>. Plant-derived biopesticides are attractive alternatives to synthetic pesticides because they are biodegradable and categorized as low-risk pesticides to non-target organisms such as mammals, fish, and amphibians. Recently, plants from the mustard family Brassicaceae were identified as sources of bioactive compounds that have potential for controlling pest insects. ARS researchers in Peoria, Illinois, found that Brassica seed meals were more toxic to mosquito larvae than individual chemical compounds derived from Brassicaceae seeds. Specifically, widely available garden cress (Lepidium sativum) seed meal was the most lethal to mosquito larvae after a 24-hour exposure period. This is the first study documenting brassica seed meal as control against mosquito larvae and results indicate that brassica seed meal may serve as a potential new ecofriendly larvicide for mosquito control. (NP 104, C1, PSA, Project No. 5010-22410-022-000D) and (NP 104, C2, PSD, Project No. 5010-22410-022-000D)</w:t>
      </w:r>
    </w:p>
    <w:p w14:paraId="26A82CA1"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Native cattle fever ticks and “exotic” </w:t>
      </w:r>
      <w:r w:rsidRPr="00107C19">
        <w:rPr>
          <w:rStyle w:val="title-text"/>
          <w:rFonts w:asciiTheme="minorHAnsi" w:hAnsiTheme="minorHAnsi" w:cstheme="minorHAnsi"/>
          <w:b/>
          <w:bCs/>
          <w:i/>
          <w:iCs/>
          <w:color w:val="000000" w:themeColor="text1"/>
        </w:rPr>
        <w:t>Theileria orientalis</w:t>
      </w:r>
      <w:r w:rsidRPr="00107C19">
        <w:rPr>
          <w:rStyle w:val="title-text"/>
          <w:rFonts w:asciiTheme="minorHAnsi" w:hAnsiTheme="minorHAnsi" w:cstheme="minorHAnsi"/>
          <w:color w:val="000000" w:themeColor="text1"/>
        </w:rPr>
        <w:t xml:space="preserve">. ARS scientists in Beltsville, Maryland, previously showed that the introduced invasive Asian longhorned tick (ALT) is able to transmit the exotic pathogen </w:t>
      </w:r>
      <w:r w:rsidRPr="00107C19">
        <w:rPr>
          <w:rStyle w:val="title-text"/>
          <w:rFonts w:asciiTheme="minorHAnsi" w:hAnsiTheme="minorHAnsi" w:cstheme="minorHAnsi"/>
          <w:i/>
          <w:iCs/>
          <w:color w:val="000000" w:themeColor="text1"/>
        </w:rPr>
        <w:t>T. orientalis</w:t>
      </w:r>
      <w:r w:rsidRPr="00107C19">
        <w:rPr>
          <w:rStyle w:val="title-text"/>
          <w:rFonts w:asciiTheme="minorHAnsi" w:hAnsiTheme="minorHAnsi" w:cstheme="minorHAnsi"/>
          <w:color w:val="000000" w:themeColor="text1"/>
        </w:rPr>
        <w:t xml:space="preserve">. They have now shown that </w:t>
      </w:r>
      <w:r w:rsidRPr="00107C19">
        <w:rPr>
          <w:rStyle w:val="title-text"/>
          <w:rFonts w:asciiTheme="minorHAnsi" w:hAnsiTheme="minorHAnsi" w:cstheme="minorHAnsi"/>
          <w:i/>
          <w:iCs/>
          <w:color w:val="000000" w:themeColor="text1"/>
        </w:rPr>
        <w:t>Rhipicephalus microplus</w:t>
      </w:r>
      <w:r w:rsidRPr="00107C19">
        <w:rPr>
          <w:rStyle w:val="title-text"/>
          <w:rFonts w:asciiTheme="minorHAnsi" w:hAnsiTheme="minorHAnsi" w:cstheme="minorHAnsi"/>
          <w:color w:val="000000" w:themeColor="text1"/>
        </w:rPr>
        <w:t xml:space="preserve">, the cattle fever tick (CFT), does not transmit </w:t>
      </w:r>
      <w:r w:rsidRPr="00107C19">
        <w:rPr>
          <w:rStyle w:val="title-text"/>
          <w:rFonts w:asciiTheme="minorHAnsi" w:hAnsiTheme="minorHAnsi" w:cstheme="minorHAnsi"/>
          <w:i/>
          <w:iCs/>
          <w:color w:val="000000" w:themeColor="text1"/>
        </w:rPr>
        <w:t>T. orientalis</w:t>
      </w:r>
      <w:r w:rsidRPr="00107C19">
        <w:rPr>
          <w:rStyle w:val="title-text"/>
          <w:rFonts w:asciiTheme="minorHAnsi" w:hAnsiTheme="minorHAnsi" w:cstheme="minorHAnsi"/>
          <w:color w:val="000000" w:themeColor="text1"/>
        </w:rPr>
        <w:t xml:space="preserve"> from parent to offspring via infection of the developing egg. CFT is a one host tick, so it will not be a factor in the spread of </w:t>
      </w:r>
      <w:r w:rsidRPr="00107C19">
        <w:rPr>
          <w:rStyle w:val="title-text"/>
          <w:rFonts w:asciiTheme="minorHAnsi" w:hAnsiTheme="minorHAnsi" w:cstheme="minorHAnsi"/>
          <w:i/>
          <w:iCs/>
          <w:color w:val="000000" w:themeColor="text1"/>
        </w:rPr>
        <w:t>T. orientalis</w:t>
      </w:r>
      <w:r w:rsidRPr="00107C19">
        <w:rPr>
          <w:rStyle w:val="title-text"/>
          <w:rFonts w:asciiTheme="minorHAnsi" w:hAnsiTheme="minorHAnsi" w:cstheme="minorHAnsi"/>
          <w:color w:val="000000" w:themeColor="text1"/>
        </w:rPr>
        <w:t xml:space="preserve">. Although it is not known how this pathogen was first introduced into the United States, its association with the expanding distribution of ALT resulted in the spread of </w:t>
      </w:r>
      <w:r w:rsidRPr="00107C19">
        <w:rPr>
          <w:rStyle w:val="title-text"/>
          <w:rFonts w:asciiTheme="minorHAnsi" w:hAnsiTheme="minorHAnsi" w:cstheme="minorHAnsi"/>
          <w:i/>
          <w:iCs/>
          <w:color w:val="000000" w:themeColor="text1"/>
        </w:rPr>
        <w:t>T. orientalis</w:t>
      </w:r>
      <w:r w:rsidRPr="00107C19">
        <w:rPr>
          <w:rStyle w:val="title-text"/>
          <w:rFonts w:asciiTheme="minorHAnsi" w:hAnsiTheme="minorHAnsi" w:cstheme="minorHAnsi"/>
          <w:color w:val="000000" w:themeColor="text1"/>
        </w:rPr>
        <w:t xml:space="preserve"> into areas where it may come into contact with the highly invasive cattle fever tick. This work is part of ongoing studies to establish the relationships that will develop because of the introduction and spread of the invasive ALT and its associated exotic pathogen </w:t>
      </w:r>
      <w:r w:rsidRPr="00107C19">
        <w:rPr>
          <w:rStyle w:val="title-text"/>
          <w:rFonts w:asciiTheme="minorHAnsi" w:hAnsiTheme="minorHAnsi" w:cstheme="minorHAnsi"/>
          <w:color w:val="000000" w:themeColor="text1"/>
        </w:rPr>
        <w:lastRenderedPageBreak/>
        <w:t>T. orientalis.  ( NP 104, C1, PSA, Project No. 8042-32000-012-000D) and (NP 104, C2, PSD, Project No. 8042-32000-012-000D)</w:t>
      </w:r>
    </w:p>
    <w:p w14:paraId="1CC4D2BD"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i/>
          <w:iCs/>
          <w:color w:val="000000" w:themeColor="text1"/>
        </w:rPr>
        <w:t>Streptomyces orinoci</w:t>
      </w:r>
      <w:r w:rsidRPr="00107C19">
        <w:rPr>
          <w:rStyle w:val="title-text"/>
          <w:rFonts w:asciiTheme="minorHAnsi" w:hAnsiTheme="minorHAnsi" w:cstheme="minorHAnsi"/>
          <w:b/>
          <w:bCs/>
          <w:color w:val="000000" w:themeColor="text1"/>
        </w:rPr>
        <w:t xml:space="preserve"> microbial formulations as a bioinsecticide</w:t>
      </w:r>
      <w:r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i/>
          <w:iCs/>
          <w:color w:val="000000" w:themeColor="text1"/>
        </w:rPr>
        <w:t>Streptomyces</w:t>
      </w:r>
      <w:r w:rsidRPr="00107C19">
        <w:rPr>
          <w:rStyle w:val="title-text"/>
          <w:rFonts w:asciiTheme="minorHAnsi" w:hAnsiTheme="minorHAnsi" w:cstheme="minorHAnsi"/>
          <w:color w:val="000000" w:themeColor="text1"/>
        </w:rPr>
        <w:t xml:space="preserve"> is a type of bacteria commonly found in soil and is known to produce various secondary metabolites, some of which have larvicidal (larva-killing) properties. Metabolites serve as a defense mechanism against other microorganisms and predators in their natural habitat. Microbial larvicides derived from Streptomyces have been shown to be effective against many species of mosquitoes, including major vectors of human diseases such as malaria, dengue fever, and Zika virus. They are also considered to have little impact on non-target organisms and the environment, making them a promising candidate for sustainable mosquito control methods. ARS researchers in Oxford, Mississippi discovered that neoantimycin, a metabolite of Streptomyces, is highly effective against pesticide resistant mosquito larvae. An invention disclosure has been filed.  (NP 104, C2, PSA, Project No. 6060-32000-003-000D)</w:t>
      </w:r>
    </w:p>
    <w:p w14:paraId="1F1ADAEE" w14:textId="6F7D0F50"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i/>
          <w:iCs/>
          <w:color w:val="000000" w:themeColor="text1"/>
        </w:rPr>
        <w:t xml:space="preserve">Poncirus trifolia </w:t>
      </w:r>
      <w:r w:rsidRPr="00107C19">
        <w:rPr>
          <w:rStyle w:val="title-text"/>
          <w:rFonts w:asciiTheme="minorHAnsi" w:hAnsiTheme="minorHAnsi" w:cstheme="minorHAnsi"/>
          <w:b/>
          <w:bCs/>
          <w:color w:val="000000" w:themeColor="text1"/>
        </w:rPr>
        <w:t xml:space="preserve">root extract against </w:t>
      </w:r>
      <w:r w:rsidRPr="00107C19">
        <w:rPr>
          <w:rStyle w:val="title-text"/>
          <w:rFonts w:asciiTheme="minorHAnsi" w:hAnsiTheme="minorHAnsi" w:cstheme="minorHAnsi"/>
          <w:b/>
          <w:bCs/>
          <w:i/>
          <w:iCs/>
          <w:color w:val="000000" w:themeColor="text1"/>
        </w:rPr>
        <w:t>Aedes aegypti</w:t>
      </w:r>
      <w:r w:rsidRPr="00107C19">
        <w:rPr>
          <w:rStyle w:val="title-text"/>
          <w:rFonts w:asciiTheme="minorHAnsi" w:hAnsiTheme="minorHAnsi" w:cstheme="minorHAnsi"/>
          <w:b/>
          <w:bCs/>
          <w:color w:val="000000" w:themeColor="text1"/>
        </w:rPr>
        <w:t xml:space="preserve"> larvae</w:t>
      </w:r>
      <w:r w:rsidRPr="00107C19">
        <w:rPr>
          <w:rStyle w:val="title-text"/>
          <w:rFonts w:asciiTheme="minorHAnsi" w:hAnsiTheme="minorHAnsi" w:cstheme="minorHAnsi"/>
          <w:color w:val="000000" w:themeColor="text1"/>
        </w:rPr>
        <w:t xml:space="preserve">. Some plants and microbes have bioactive compounds against insects and previous research has been very successful in isolating, modifying, and completely synthesizing bioactive constituents from natural sources. Plants in the </w:t>
      </w:r>
      <w:r w:rsidRPr="00107C19">
        <w:rPr>
          <w:rStyle w:val="title-text"/>
          <w:rFonts w:asciiTheme="minorHAnsi" w:hAnsiTheme="minorHAnsi" w:cstheme="minorHAnsi"/>
          <w:i/>
          <w:iCs/>
          <w:color w:val="000000" w:themeColor="text1"/>
        </w:rPr>
        <w:t>Rutaceae</w:t>
      </w:r>
      <w:r w:rsidRPr="00107C19">
        <w:rPr>
          <w:rStyle w:val="title-text"/>
          <w:rFonts w:asciiTheme="minorHAnsi" w:hAnsiTheme="minorHAnsi" w:cstheme="minorHAnsi"/>
          <w:color w:val="000000" w:themeColor="text1"/>
        </w:rPr>
        <w:t xml:space="preserve"> (citrus) family are known to possess bioactive compounds with insecticidal activities. ARS researchers in Oxford, Mississippi, were successful in isolating larvicidal agent from </w:t>
      </w:r>
      <w:r w:rsidRPr="00107C19">
        <w:rPr>
          <w:rStyle w:val="title-text"/>
          <w:rFonts w:asciiTheme="minorHAnsi" w:hAnsiTheme="minorHAnsi" w:cstheme="minorHAnsi"/>
          <w:i/>
          <w:iCs/>
          <w:color w:val="000000" w:themeColor="text1"/>
        </w:rPr>
        <w:t>Poncirus trifoliata</w:t>
      </w:r>
      <w:r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i/>
          <w:iCs/>
          <w:color w:val="000000" w:themeColor="text1"/>
        </w:rPr>
        <w:t>Rutaceae</w:t>
      </w:r>
      <w:r w:rsidRPr="00107C19">
        <w:rPr>
          <w:rStyle w:val="title-text"/>
          <w:rFonts w:asciiTheme="minorHAnsi" w:hAnsiTheme="minorHAnsi" w:cstheme="minorHAnsi"/>
          <w:color w:val="000000" w:themeColor="text1"/>
        </w:rPr>
        <w:t xml:space="preserve">) root extract. Among the </w:t>
      </w:r>
      <w:r w:rsidR="000958DE" w:rsidRPr="00107C19">
        <w:rPr>
          <w:rStyle w:val="title-text"/>
          <w:rFonts w:asciiTheme="minorHAnsi" w:hAnsiTheme="minorHAnsi" w:cstheme="minorHAnsi"/>
          <w:color w:val="000000" w:themeColor="text1"/>
        </w:rPr>
        <w:t>five-agent</w:t>
      </w:r>
      <w:r w:rsidRPr="00107C19">
        <w:rPr>
          <w:rStyle w:val="title-text"/>
          <w:rFonts w:asciiTheme="minorHAnsi" w:hAnsiTheme="minorHAnsi" w:cstheme="minorHAnsi"/>
          <w:color w:val="000000" w:themeColor="text1"/>
        </w:rPr>
        <w:t xml:space="preserve"> isolated, xanthoxyletin and demetylsuberosin exhibited significantly high larvicide activity against mosquito larvae of a species known to transmit several diseases to humans.</w:t>
      </w:r>
      <w:r w:rsidR="00C910EB"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color w:val="000000" w:themeColor="text1"/>
        </w:rPr>
        <w:t>(NP 104, C2, PSA, Project No. 6060-32000-003)  2019</w:t>
      </w:r>
    </w:p>
    <w:p w14:paraId="644D9900"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Compatibility of </w:t>
      </w:r>
      <w:r w:rsidRPr="00107C19">
        <w:rPr>
          <w:rStyle w:val="title-text"/>
          <w:rFonts w:asciiTheme="minorHAnsi" w:hAnsiTheme="minorHAnsi" w:cstheme="minorHAnsi"/>
          <w:b/>
          <w:bCs/>
          <w:i/>
          <w:iCs/>
          <w:color w:val="000000" w:themeColor="text1"/>
        </w:rPr>
        <w:t>Beauveria bassiana</w:t>
      </w:r>
      <w:r w:rsidRPr="00107C19">
        <w:rPr>
          <w:rStyle w:val="title-text"/>
          <w:rFonts w:asciiTheme="minorHAnsi" w:hAnsiTheme="minorHAnsi" w:cstheme="minorHAnsi"/>
          <w:b/>
          <w:bCs/>
          <w:color w:val="000000" w:themeColor="text1"/>
        </w:rPr>
        <w:t xml:space="preserve"> with fly parasitoids</w:t>
      </w:r>
      <w:r w:rsidRPr="00107C19">
        <w:rPr>
          <w:rStyle w:val="title-text"/>
          <w:rFonts w:asciiTheme="minorHAnsi" w:hAnsiTheme="minorHAnsi" w:cstheme="minorHAnsi"/>
          <w:color w:val="000000" w:themeColor="text1"/>
        </w:rPr>
        <w:t>. House fly (</w:t>
      </w:r>
      <w:r w:rsidRPr="00107C19">
        <w:rPr>
          <w:rStyle w:val="title-text"/>
          <w:rFonts w:asciiTheme="minorHAnsi" w:hAnsiTheme="minorHAnsi" w:cstheme="minorHAnsi"/>
          <w:i/>
          <w:iCs/>
          <w:color w:val="000000" w:themeColor="text1"/>
        </w:rPr>
        <w:t>Musca domestica</w:t>
      </w:r>
      <w:r w:rsidRPr="00107C19">
        <w:rPr>
          <w:rStyle w:val="title-text"/>
          <w:rFonts w:asciiTheme="minorHAnsi" w:hAnsiTheme="minorHAnsi" w:cstheme="minorHAnsi"/>
          <w:color w:val="000000" w:themeColor="text1"/>
        </w:rPr>
        <w:t xml:space="preserve">) populations have a detrimental impact on livestock and poultry and pose a risk to human and animal health. Biological control methods currently used include augmentative releases of pteromalid wasp pupal parasitoids and the application of </w:t>
      </w:r>
      <w:r w:rsidRPr="00107C19">
        <w:rPr>
          <w:rStyle w:val="title-text"/>
          <w:rFonts w:asciiTheme="minorHAnsi" w:hAnsiTheme="minorHAnsi" w:cstheme="minorHAnsi"/>
          <w:i/>
          <w:iCs/>
          <w:color w:val="000000" w:themeColor="text1"/>
        </w:rPr>
        <w:t>Beauveria bassiana</w:t>
      </w:r>
      <w:r w:rsidRPr="00107C19">
        <w:rPr>
          <w:rStyle w:val="title-text"/>
          <w:rFonts w:asciiTheme="minorHAnsi" w:hAnsiTheme="minorHAnsi" w:cstheme="minorHAnsi"/>
          <w:color w:val="000000" w:themeColor="text1"/>
        </w:rPr>
        <w:t xml:space="preserve">, a fungal pathogen that causes diseases in insects. ARS researchers in Gainesville, Florida, and Pennsylvania State University compared the effectiveness of </w:t>
      </w:r>
      <w:r w:rsidRPr="00107C19">
        <w:rPr>
          <w:rStyle w:val="title-text"/>
          <w:rFonts w:asciiTheme="minorHAnsi" w:hAnsiTheme="minorHAnsi" w:cstheme="minorHAnsi"/>
          <w:i/>
          <w:iCs/>
          <w:color w:val="000000" w:themeColor="text1"/>
        </w:rPr>
        <w:t>B. bassiana</w:t>
      </w:r>
      <w:r w:rsidRPr="00107C19">
        <w:rPr>
          <w:rStyle w:val="title-text"/>
          <w:rFonts w:asciiTheme="minorHAnsi" w:hAnsiTheme="minorHAnsi" w:cstheme="minorHAnsi"/>
          <w:color w:val="000000" w:themeColor="text1"/>
        </w:rPr>
        <w:t xml:space="preserve"> strains from field-collected flies when applied to house flies and three species of filth fly parasitoids. One strain of </w:t>
      </w:r>
      <w:r w:rsidRPr="00107C19">
        <w:rPr>
          <w:rStyle w:val="title-text"/>
          <w:rFonts w:asciiTheme="minorHAnsi" w:hAnsiTheme="minorHAnsi" w:cstheme="minorHAnsi"/>
          <w:i/>
          <w:iCs/>
          <w:color w:val="000000" w:themeColor="text1"/>
        </w:rPr>
        <w:t>B. bassiana</w:t>
      </w:r>
      <w:r w:rsidRPr="00107C19">
        <w:rPr>
          <w:rStyle w:val="title-text"/>
          <w:rFonts w:asciiTheme="minorHAnsi" w:hAnsiTheme="minorHAnsi" w:cstheme="minorHAnsi"/>
          <w:color w:val="000000" w:themeColor="text1"/>
        </w:rPr>
        <w:t xml:space="preserve"> called the GHA strain is commercially available for use as a pesticide and was also tested for comparative purposes. All strains isolated from muscid flies were more effective than GHA against house flies. Parasitoids were less sensitive to </w:t>
      </w:r>
      <w:r w:rsidRPr="00107C19">
        <w:rPr>
          <w:rStyle w:val="title-text"/>
          <w:rFonts w:asciiTheme="minorHAnsi" w:hAnsiTheme="minorHAnsi" w:cstheme="minorHAnsi"/>
          <w:i/>
          <w:iCs/>
          <w:color w:val="000000" w:themeColor="text1"/>
        </w:rPr>
        <w:t>B. bassiana</w:t>
      </w:r>
      <w:r w:rsidRPr="00107C19">
        <w:rPr>
          <w:rStyle w:val="title-text"/>
          <w:rFonts w:asciiTheme="minorHAnsi" w:hAnsiTheme="minorHAnsi" w:cstheme="minorHAnsi"/>
          <w:color w:val="000000" w:themeColor="text1"/>
        </w:rPr>
        <w:t xml:space="preserve"> than the target flies. This research demonstrated that these two important biological agents (parasitoids and </w:t>
      </w:r>
      <w:r w:rsidRPr="00107C19">
        <w:rPr>
          <w:rStyle w:val="title-text"/>
          <w:rFonts w:asciiTheme="minorHAnsi" w:hAnsiTheme="minorHAnsi" w:cstheme="minorHAnsi"/>
          <w:i/>
          <w:iCs/>
          <w:color w:val="000000" w:themeColor="text1"/>
        </w:rPr>
        <w:t>B. bassiana</w:t>
      </w:r>
      <w:r w:rsidRPr="00107C19">
        <w:rPr>
          <w:rStyle w:val="title-text"/>
          <w:rFonts w:asciiTheme="minorHAnsi" w:hAnsiTheme="minorHAnsi" w:cstheme="minorHAnsi"/>
          <w:color w:val="000000" w:themeColor="text1"/>
        </w:rPr>
        <w:t>) are compatible as part of an integrated pest management (IPM) plan for fly management. (NP 104, C1, PSB, Project No. 6036-32000-053-000D) and (NP 104, C2, PSBm, Project NO. 6036-32000-053-000D)</w:t>
      </w:r>
    </w:p>
    <w:p w14:paraId="560673D2" w14:textId="022C12F4"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Genome of </w:t>
      </w:r>
      <w:r w:rsidRPr="00107C19">
        <w:rPr>
          <w:rStyle w:val="title-text"/>
          <w:rFonts w:asciiTheme="minorHAnsi" w:hAnsiTheme="minorHAnsi" w:cstheme="minorHAnsi"/>
          <w:b/>
          <w:bCs/>
          <w:i/>
          <w:iCs/>
          <w:color w:val="000000" w:themeColor="text1"/>
        </w:rPr>
        <w:t>Nosema muscidifuracis</w:t>
      </w:r>
      <w:r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i/>
          <w:iCs/>
          <w:color w:val="000000" w:themeColor="text1"/>
        </w:rPr>
        <w:t>Nosema</w:t>
      </w:r>
      <w:r w:rsidRPr="00107C19">
        <w:rPr>
          <w:rStyle w:val="title-text"/>
          <w:rFonts w:asciiTheme="minorHAnsi" w:hAnsiTheme="minorHAnsi" w:cstheme="minorHAnsi"/>
          <w:color w:val="000000" w:themeColor="text1"/>
        </w:rPr>
        <w:t xml:space="preserve"> is a genus of intracellular microsporidian parasites of both pest and beneficial insects. Beneficial insects affected include honeybees, silkworms, and parasitic wasps of filth flies such as house flies and stable flies. </w:t>
      </w:r>
      <w:r w:rsidRPr="00107C19">
        <w:rPr>
          <w:rStyle w:val="title-text"/>
          <w:rFonts w:asciiTheme="minorHAnsi" w:hAnsiTheme="minorHAnsi" w:cstheme="minorHAnsi"/>
          <w:i/>
          <w:iCs/>
          <w:color w:val="000000" w:themeColor="text1"/>
        </w:rPr>
        <w:t>Nosema</w:t>
      </w:r>
      <w:r w:rsidRPr="00107C19">
        <w:rPr>
          <w:rStyle w:val="title-text"/>
          <w:rFonts w:asciiTheme="minorHAnsi" w:hAnsiTheme="minorHAnsi" w:cstheme="minorHAnsi"/>
          <w:color w:val="000000" w:themeColor="text1"/>
        </w:rPr>
        <w:t xml:space="preserve"> disease results in an overall weakening of its host, shorter lifespans, and reduced fecundity. Scientists at Auburn University, the University of Rochester, St. Louis University, and ARS scientists in Gainesville, Florida, examined the relatedness of several important species in this genus. In particular, the genome of </w:t>
      </w:r>
      <w:r w:rsidRPr="00107C19">
        <w:rPr>
          <w:rStyle w:val="title-text"/>
          <w:rFonts w:asciiTheme="minorHAnsi" w:hAnsiTheme="minorHAnsi" w:cstheme="minorHAnsi"/>
          <w:i/>
          <w:iCs/>
          <w:color w:val="000000" w:themeColor="text1"/>
        </w:rPr>
        <w:t>N. muscidifuracis</w:t>
      </w:r>
      <w:r w:rsidRPr="00107C19">
        <w:rPr>
          <w:rStyle w:val="title-text"/>
          <w:rFonts w:asciiTheme="minorHAnsi" w:hAnsiTheme="minorHAnsi" w:cstheme="minorHAnsi"/>
          <w:color w:val="000000" w:themeColor="text1"/>
        </w:rPr>
        <w:t xml:space="preserve">, a pathogen of filth fly parasitoids, was compared with other known </w:t>
      </w:r>
      <w:r w:rsidRPr="00107C19">
        <w:rPr>
          <w:rStyle w:val="title-text"/>
          <w:rFonts w:asciiTheme="minorHAnsi" w:hAnsiTheme="minorHAnsi" w:cstheme="minorHAnsi"/>
          <w:i/>
          <w:iCs/>
          <w:color w:val="000000" w:themeColor="text1"/>
        </w:rPr>
        <w:t>Nosema</w:t>
      </w:r>
      <w:r w:rsidRPr="00107C19">
        <w:rPr>
          <w:rStyle w:val="title-text"/>
          <w:rFonts w:asciiTheme="minorHAnsi" w:hAnsiTheme="minorHAnsi" w:cstheme="minorHAnsi"/>
          <w:color w:val="000000" w:themeColor="text1"/>
        </w:rPr>
        <w:t xml:space="preserve"> species. </w:t>
      </w:r>
      <w:r w:rsidRPr="00107C19">
        <w:rPr>
          <w:rStyle w:val="title-text"/>
          <w:rFonts w:asciiTheme="minorHAnsi" w:hAnsiTheme="minorHAnsi" w:cstheme="minorHAnsi"/>
          <w:i/>
          <w:iCs/>
          <w:color w:val="000000" w:themeColor="text1"/>
        </w:rPr>
        <w:t>N. muscidifuracis</w:t>
      </w:r>
      <w:r w:rsidRPr="00107C19">
        <w:rPr>
          <w:rStyle w:val="title-text"/>
          <w:rFonts w:asciiTheme="minorHAnsi" w:hAnsiTheme="minorHAnsi" w:cstheme="minorHAnsi"/>
          <w:color w:val="000000" w:themeColor="text1"/>
        </w:rPr>
        <w:t xml:space="preserve"> was found to be most closely related to </w:t>
      </w:r>
      <w:r w:rsidRPr="00107C19">
        <w:rPr>
          <w:rStyle w:val="title-text"/>
          <w:rFonts w:asciiTheme="minorHAnsi" w:hAnsiTheme="minorHAnsi" w:cstheme="minorHAnsi"/>
          <w:i/>
          <w:iCs/>
          <w:color w:val="000000" w:themeColor="text1"/>
        </w:rPr>
        <w:t>Nosema</w:t>
      </w:r>
      <w:r w:rsidRPr="00107C19">
        <w:rPr>
          <w:rStyle w:val="title-text"/>
          <w:rFonts w:asciiTheme="minorHAnsi" w:hAnsiTheme="minorHAnsi" w:cstheme="minorHAnsi"/>
          <w:color w:val="000000" w:themeColor="text1"/>
        </w:rPr>
        <w:t xml:space="preserve"> species that infect honeybees. This phylogenetic and comparative </w:t>
      </w:r>
      <w:r w:rsidRPr="00107C19">
        <w:rPr>
          <w:rStyle w:val="title-text"/>
          <w:rFonts w:asciiTheme="minorHAnsi" w:hAnsiTheme="minorHAnsi" w:cstheme="minorHAnsi"/>
          <w:color w:val="000000" w:themeColor="text1"/>
        </w:rPr>
        <w:lastRenderedPageBreak/>
        <w:t xml:space="preserve">analysis of </w:t>
      </w:r>
      <w:r w:rsidRPr="00107C19">
        <w:rPr>
          <w:rStyle w:val="title-text"/>
          <w:rFonts w:asciiTheme="minorHAnsi" w:hAnsiTheme="minorHAnsi" w:cstheme="minorHAnsi"/>
          <w:i/>
          <w:iCs/>
          <w:color w:val="000000" w:themeColor="text1"/>
        </w:rPr>
        <w:t>Nosema</w:t>
      </w:r>
      <w:r w:rsidRPr="00107C19">
        <w:rPr>
          <w:rStyle w:val="title-text"/>
          <w:rFonts w:asciiTheme="minorHAnsi" w:hAnsiTheme="minorHAnsi" w:cstheme="minorHAnsi"/>
          <w:color w:val="000000" w:themeColor="text1"/>
        </w:rPr>
        <w:t xml:space="preserve"> provided novel insights into host-parasite interactions, enhanced the understanding of parasite evolution, and may enable genetic manipulation to improve disease management.</w:t>
      </w:r>
      <w:r w:rsidR="00AF7181"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color w:val="000000" w:themeColor="text1"/>
        </w:rPr>
        <w:t>(NP 104, C1, PSB, Project No. 6036-32000-053-000D)</w:t>
      </w:r>
    </w:p>
    <w:p w14:paraId="2C5415DF"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Using artificial intelligence to detect fish mortalities.</w:t>
      </w:r>
      <w:r w:rsidRPr="00107C19">
        <w:rPr>
          <w:rStyle w:val="title-text"/>
          <w:rFonts w:asciiTheme="minorHAnsi" w:hAnsiTheme="minorHAnsi" w:cstheme="minorHAnsi"/>
          <w:color w:val="000000" w:themeColor="text1"/>
        </w:rPr>
        <w:t xml:space="preserve"> Early detection of elevated mortalities in aquaculture systems is crucial for timely management to prevent mortality escalation. Conventional mortality detection approaches rely on human observation and tracking that is sometimes augmented with underwater cameras. However, this approach can delay responding, especially when personnel are mostly or entirely off-site and might not provide the timely monitoring needed to prevent a significant mortality event. In addition, higher stocking densities and cloudy water can obscure visual observation of mortalities. Extramural ARS scientists in Shepherdstown, West Virginia, developed MortCam, an Artificial Intelligence- and Internet of Things (IoT)-enabled fish mortality detection and alert system that provides 24-hour surveillance for recirculating aquaculture system (RAS) conditions and reliably sends email and text alerts to fish production staff about mortality events. This technology will provide RAS farmers with a critical tool for reliable early-mortality detection and notification, which will support effective and timely treatments to prevent mortality escalation, improve fish welfare, and prevent economic losses. (NP106, C2, PSA, Project No. 8082-31320-003-000D)</w:t>
      </w:r>
    </w:p>
    <w:p w14:paraId="30D7E960" w14:textId="7949DF1C"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Evaluating insect meal in fish feeds.</w:t>
      </w:r>
      <w:r w:rsidRPr="00107C19">
        <w:rPr>
          <w:rStyle w:val="title-text"/>
          <w:rFonts w:asciiTheme="minorHAnsi" w:hAnsiTheme="minorHAnsi" w:cstheme="minorHAnsi"/>
          <w:color w:val="000000" w:themeColor="text1"/>
        </w:rPr>
        <w:t xml:space="preserve"> The increased demand and reduced supply of fishmeal and fish oil have prompted the search for sustainable alternatives for aquaculture feeds. Insects are part of the natural diet of fish and have a small ecological footprint because they have a limited need for space. ARS researchers in Bozeman, Montana, collaborated with university scientists, trout producers, and insect growers to determine the nutritional value of insects for salmonids. Their study data indicate insects are promising candidates for fish feeds and results provide feed companies with the information necessary to incorporate insect meal into commercial feed formulations. The global insect feed market is valued at $1.2 million and is expected to reach $3 million by 2030. A 2020 report indicated that using insect meal as feed resources in commercial salmonid feeds between 2016 and 2020 grew to low but reportable levels (0.4 percent of the total feed volume) for the first time. These levels are projected to </w:t>
      </w:r>
      <w:r w:rsidR="00540F03" w:rsidRPr="00107C19">
        <w:rPr>
          <w:rStyle w:val="title-text"/>
          <w:rFonts w:asciiTheme="minorHAnsi" w:hAnsiTheme="minorHAnsi" w:cstheme="minorHAnsi"/>
          <w:color w:val="000000" w:themeColor="text1"/>
        </w:rPr>
        <w:t>increase,</w:t>
      </w:r>
      <w:r w:rsidRPr="00107C19">
        <w:rPr>
          <w:rStyle w:val="title-text"/>
          <w:rFonts w:asciiTheme="minorHAnsi" w:hAnsiTheme="minorHAnsi" w:cstheme="minorHAnsi"/>
          <w:color w:val="000000" w:themeColor="text1"/>
        </w:rPr>
        <w:t xml:space="preserve"> and aquaculture feed markets are projected to become the main market for insect meals by 2030. (NP106, C2, PSA, Project No. 2050-21310-006-000D)</w:t>
      </w:r>
    </w:p>
    <w:p w14:paraId="6620C7C9"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The role of dietary geosmin in creating 'muddy' off-flavors in fish</w:t>
      </w:r>
      <w:r w:rsidRPr="00107C19">
        <w:rPr>
          <w:rStyle w:val="title-text"/>
          <w:rFonts w:asciiTheme="minorHAnsi" w:hAnsiTheme="minorHAnsi" w:cstheme="minorHAnsi"/>
          <w:color w:val="000000" w:themeColor="text1"/>
        </w:rPr>
        <w:t>. The naturally occurring chemical geosmin is responsible for “muddy” or “earthy” off-flavors in fish and is a major quality issue for fish producers across the aquaculture industry. To date, nearly all off-flavor mitigation research has focused on geosmin accumulation in the water. ARS researchers in New Orleans, Louisiana, demonstrated that geosmin from feed can accumulate in fish fillets. By spiking feed with geosmin, researchers established a new method to impart the off-flavor compound into the edible portions of fish for research purposes. Now ARS scientists can use dietary exposure to study off-flavor prevention and correction in catfish and other species, as well studying the effects of geosmin on sensory quality. (NP106, C1, PSA, Project No. 6054-43440-050-000D)</w:t>
      </w:r>
    </w:p>
    <w:p w14:paraId="129D67E7"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Improved salmon pathogen detection.</w:t>
      </w:r>
      <w:r w:rsidRPr="00107C19">
        <w:rPr>
          <w:rStyle w:val="title-text"/>
          <w:rFonts w:asciiTheme="minorHAnsi" w:hAnsiTheme="minorHAnsi" w:cstheme="minorHAnsi"/>
          <w:color w:val="000000" w:themeColor="text1"/>
        </w:rPr>
        <w:t xml:space="preserve"> Infectious salmon anemia virus (ISAV) is a serious viral pathogen of salmon and is internationally regulated based on virus phenotype. Standard phenotypic detection methods require using a molecular assay that takes days to generate results. ARS researchers in Orono, Maine, and University of Maine colleagues developed an improved molecular method that </w:t>
      </w:r>
      <w:r w:rsidRPr="00107C19">
        <w:rPr>
          <w:rStyle w:val="title-text"/>
          <w:rFonts w:asciiTheme="minorHAnsi" w:hAnsiTheme="minorHAnsi" w:cstheme="minorHAnsi"/>
          <w:color w:val="000000" w:themeColor="text1"/>
        </w:rPr>
        <w:lastRenderedPageBreak/>
        <w:t>has increased testing speeds five- to ten-fold while maintaining equal if not better accuracy for ISAV detection. This improved assay has been transferred and used by industry stakeholders in a high-pressure, high-volume situation to quickly screen 1,600 broodstock for the presence of the virus and prevented losses of hundreds of thousands of dollars. (NP106, C2, PSA, Project No. 8030-31000-005-000D)</w:t>
      </w:r>
    </w:p>
    <w:p w14:paraId="3BA7C263"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Optimizing carbon dioxide removal in recirculating aquaculture systems.</w:t>
      </w:r>
      <w:r w:rsidRPr="00107C19">
        <w:rPr>
          <w:rStyle w:val="title-text"/>
          <w:rFonts w:asciiTheme="minorHAnsi" w:hAnsiTheme="minorHAnsi" w:cstheme="minorHAnsi"/>
          <w:color w:val="000000" w:themeColor="text1"/>
        </w:rPr>
        <w:t xml:space="preserve"> Fish release dissolved carbon dioxide (CO2), so CO2 levels must be managed in culture tanks to ensure levels are safe for fish. Recirculating aquaculture systems commonly bubble air through the water to remove CO2 but management protocols for optimal performance have yet to be defined. Extramural ARS scientists in Shepherdstown, West Virginia, optimized protocols for removing CO2 in RAS using diffused air as the stripping gas in a relatively shallow water column and characterized how water flow, CO2 water levels, diffused airflow rates, and water depths affected CO2 removal efficiencies. These findings provide RAS farmers with management protocols for effectively removing dissolved CO2 using aeration basins in freshwater RAS, improving water quality, fish health, and production efficiency. (NP106, C2, PSA, Project No. 8082-31320-003-000D)</w:t>
      </w:r>
    </w:p>
    <w:p w14:paraId="2DD93605"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Water quality and waste production during Atlantic salmon depuration.</w:t>
      </w:r>
      <w:r w:rsidRPr="00107C19">
        <w:rPr>
          <w:rStyle w:val="title-text"/>
          <w:rFonts w:asciiTheme="minorHAnsi" w:hAnsiTheme="minorHAnsi" w:cstheme="minorHAnsi"/>
          <w:color w:val="000000" w:themeColor="text1"/>
        </w:rPr>
        <w:t xml:space="preserve"> Microbial biofilms can accumulate over surfaces within a recirculating aquaculture system (RAS). The bacteria within these biofilms can produce and release off-flavor compounds that can be taken up by fish and impart objectionable flavors to fillets, thus requiring fish depuration. This is done by holding fish in a separate, biofilm-free system before harvest to eliminate off-flavor compounds from flesh. Although feed is typically withheld while fish are in depuration systems, the fish still add waste (feces and urine) into the system. Best management practices for depurating fish are still being developed in the RAS industry, as water quality and waste production during the depuration process have not been investigated. Extramural ARS scientists in Shepherdstown, West Virginia, performed the first comprehensive analysis of water quality and waste production in an Atlantic salmon depuration system and determined that waste control in depuration systems fully stocked with Atlantic salmon is required for good product quality. A range of practical recommendations and procedural refinements were determined to optimize depuration system performance. These include 1) extending the depuration period, 2) identifying the optimal location for adding depuration system water to RAS to mitigate solids and ammonia contribution, 3) integrating an internal solids removal process within the depuration system design, and 4) managing dissolved oxygen in depuration systems. These novel management strategies are central to optimizing the removal of off-flavor compounds and improving product quality of fish produced in RAS, thus contributing to industry sustainability through better tasting fish. (NP106, C2, PSA, Project No. 8082-31320-003-000D)</w:t>
      </w:r>
    </w:p>
    <w:p w14:paraId="00FA206F"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Thermal protocol developed to create triploid hybrid striped bass. </w:t>
      </w:r>
      <w:r w:rsidRPr="00107C19">
        <w:rPr>
          <w:rStyle w:val="title-text"/>
          <w:rFonts w:asciiTheme="minorHAnsi" w:hAnsiTheme="minorHAnsi" w:cstheme="minorHAnsi"/>
          <w:color w:val="000000" w:themeColor="text1"/>
        </w:rPr>
        <w:t xml:space="preserve">ARS researchers in Stuttgart, Arkansas, and Auburn, Alabama, collaborated with an industry partner on developing a protocol to produce triploid hybrid striped bass. Triploidly typically induces sterility, which producers regard as desirable because mature hybrid striped bass will otherwise divert energy from growth to fertility in the production cycle. In small-scale pilot trials, the researchers applied temperature shocks on freshly fertilized eggs and identified the best cold and warm combination to create triploid hybrid striped bass. They used these protocols in the full-scale, commercial production of larvae grown in fish in ponds for </w:t>
      </w:r>
      <w:r w:rsidRPr="00107C19">
        <w:rPr>
          <w:rStyle w:val="title-text"/>
          <w:rFonts w:asciiTheme="minorHAnsi" w:hAnsiTheme="minorHAnsi" w:cstheme="minorHAnsi"/>
          <w:color w:val="000000" w:themeColor="text1"/>
        </w:rPr>
        <w:lastRenderedPageBreak/>
        <w:t>30 days. Results demonstrated that warm temperature shock was better than cold shock to induce a greater percentage of triploid hybrid striped bass and these pond trials demonstrate the potential for producing triploid hybrid striped bass in aquaculture. (NP106, C3, PSA, Project No. 6010-32000-027-000D)</w:t>
      </w:r>
    </w:p>
    <w:p w14:paraId="16BAE1CC"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Using black soldier fly larvae frass in aquaponics</w:t>
      </w:r>
      <w:r w:rsidRPr="00107C19">
        <w:rPr>
          <w:rStyle w:val="title-text"/>
          <w:rFonts w:asciiTheme="minorHAnsi" w:hAnsiTheme="minorHAnsi" w:cstheme="minorHAnsi"/>
          <w:color w:val="000000" w:themeColor="text1"/>
        </w:rPr>
        <w:t>. Aquaponics integrates aquaculture with hydroponics by using fish waste as plant nutrients, but adding supplemental nutrients to enhance plant production is also common. Frass (insect manure and the substrate used to culture insects) can be used to enhance fish and plant production and, depending upon the culture substrate used to grow the insects, it may be possible to enhance both plant and fish growth in an aquaponic system using diet. ARS researchers in Auburn, Alabama, and Stuttgart, Arkansas, collaborated with University of Arkansas at Pine Bluff researchers on evaluating channel catfish juveniles raised in an aquaponic system that were fed diets with black soldier fly larvae (BSFL) frass. Each system had floating raft and media beds used to grow stevia and lavender. Catfish grew significantly better when fed a diet with BSFL frass and their intestinal histology exhibited reduced inflammation. Stevia and lavender had significantly more biomass when frass was added to the system, while plants grown in media beds were larger than plants grown in a floating raft subsystem. These results indicate that feeding catfish with BSFL frass and culturing stevia and lavender in media beds can improve overall productivity. (NP106, C6, PSA, Project No. 6010-32000-028-000D)</w:t>
      </w:r>
    </w:p>
    <w:p w14:paraId="1A750DAE"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Whole wheat grain as carbohydrate source for Florida pompano.</w:t>
      </w:r>
      <w:r w:rsidRPr="00107C19">
        <w:rPr>
          <w:rStyle w:val="title-text"/>
          <w:rFonts w:asciiTheme="minorHAnsi" w:hAnsiTheme="minorHAnsi" w:cstheme="minorHAnsi"/>
          <w:color w:val="000000" w:themeColor="text1"/>
        </w:rPr>
        <w:t xml:space="preserve"> ARS-funded faculty at Florida Atlantic University's Harbor Branch Oceanographic Institute tested several carbohydrate sources in Florida pompano feeds and found whole wheat grain was the best carbohydrate option for feed formulation. It resulted in better juvenile growth performance and better feed intake and feed efficiency than other sources of carbohydrates. Using whole wheat grain to supplement diets ultimately reduces feed cost and waste ammonia release to the environment without affecting the nutritional balance of feed, which will contribute to the economic sustainability of aquaculture operations. (NP106, C5, PSA, Project No. 6034-22000-044-000D)</w:t>
      </w:r>
    </w:p>
    <w:p w14:paraId="179A7E87" w14:textId="6FDFC80B"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Black soldier fly byproducts in tilapia diets harmful to liver.</w:t>
      </w:r>
      <w:r w:rsidRPr="00107C19">
        <w:rPr>
          <w:rStyle w:val="title-text"/>
          <w:rFonts w:asciiTheme="minorHAnsi" w:hAnsiTheme="minorHAnsi" w:cstheme="minorHAnsi"/>
          <w:color w:val="000000" w:themeColor="text1"/>
        </w:rPr>
        <w:t xml:space="preserve"> Black soldier fly farming offers a sustainable opportunity to provide ingredients for livestock feeds, including fish species.  One of the byproducts for black soldier fly larvae (BSFL) farming is the exuviae (exoskeleton) that remains after larvae metamorphose to adults. Exuviae is rich in chitin, which might act as a prebiotic in some species of fish. ARS researchers in Stuttgart, Arkansas, and University of Arkansas at Pine Bluff collaborators evaluated how adding various amounts of ground exuviae to tilapia feed affected fish growth, biochemical composition, hepatic expression, and liver/intestinal histomorphology. Dietary BSFL did not affect growth, feeding efficiency, or fatty acid composition, but histological examinations found mild to severe liver changes ranging from localized inflammation to necrosis and hemorrhaging. Results appear to indicate that BSFL exuviae may be harmful to liver health in tilapia, which could limit its use in fish feed.  (NP106, C6, PSC, Project No. 6028-31630-009-000D)</w:t>
      </w:r>
    </w:p>
    <w:p w14:paraId="1CF4C69E"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Effect of rotenone on catfish ponds</w:t>
      </w:r>
      <w:r w:rsidRPr="00107C19">
        <w:rPr>
          <w:rStyle w:val="title-text"/>
          <w:rFonts w:asciiTheme="minorHAnsi" w:hAnsiTheme="minorHAnsi" w:cstheme="minorHAnsi"/>
          <w:color w:val="000000" w:themeColor="text1"/>
        </w:rPr>
        <w:t xml:space="preserve">. Rotenone is a common chemical therapeutic used to rid ponds of undesirable and/or hold-over fish in catfish ponds before restocking, but previous research in natural water systems showed the recovery of phytoplankton and zooplankton communities could take months, or even years, following rotenone treatment. ARS researchers in Stoneville, Mississippi, and </w:t>
      </w:r>
      <w:r w:rsidRPr="00107C19">
        <w:rPr>
          <w:rStyle w:val="title-text"/>
          <w:rFonts w:asciiTheme="minorHAnsi" w:hAnsiTheme="minorHAnsi" w:cstheme="minorHAnsi"/>
          <w:color w:val="000000" w:themeColor="text1"/>
        </w:rPr>
        <w:lastRenderedPageBreak/>
        <w:t>Mississippi State University collaborators evaluated how rotenone use affected various aspects of catfish pond environments. Rotenone treatment did not affect water quality or macroinvertebrate communities, and phytoplankton and zooplankton populations recovered within 14 days after application, nearly the same timeframe as the typical wait time for normal management operations. These findings demonstrate that rotenone is an effective therapeutic with no significant long-term effects on key catfish pond ecology. The research was highlighted in the Fish Culture Section of the American Fisheries Society Winter/Spring 2023 newsletter. (NP106, C1, PSA, Project No. 6066-31000-016-000D)</w:t>
      </w:r>
    </w:p>
    <w:p w14:paraId="757454C1" w14:textId="77777777"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Snail trap prototype</w:t>
      </w:r>
      <w:r w:rsidRPr="00107C19">
        <w:rPr>
          <w:rStyle w:val="title-text"/>
          <w:rFonts w:asciiTheme="minorHAnsi" w:hAnsiTheme="minorHAnsi" w:cstheme="minorHAnsi"/>
          <w:color w:val="000000" w:themeColor="text1"/>
        </w:rPr>
        <w:t xml:space="preserve">. Two species of aquatic snails serve as intermediate hosts for the trematode parasite </w:t>
      </w:r>
      <w:r w:rsidRPr="00107C19">
        <w:rPr>
          <w:rStyle w:val="title-text"/>
          <w:rFonts w:asciiTheme="minorHAnsi" w:hAnsiTheme="minorHAnsi" w:cstheme="minorHAnsi"/>
          <w:i/>
          <w:iCs/>
          <w:color w:val="000000" w:themeColor="text1"/>
        </w:rPr>
        <w:t>Bolbophorus damnificus</w:t>
      </w:r>
      <w:r w:rsidRPr="00107C19">
        <w:rPr>
          <w:rStyle w:val="title-text"/>
          <w:rFonts w:asciiTheme="minorHAnsi" w:hAnsiTheme="minorHAnsi" w:cstheme="minorHAnsi"/>
          <w:color w:val="000000" w:themeColor="text1"/>
        </w:rPr>
        <w:t xml:space="preserve">, which can infect pond-cultured catfish. Management strategies for the parasite are severely limited, and snail control is the best option for catfish farmers. However, copper sulfate pond treatments to control snails are largely arbitrary because they rely on the farmer’s estimate of snail density in each pond. ARS researchers in Stoneville, Mississippi, and Mississippi State University collaborators developed a simple, low-cost snail trap prototype. The prototype used readily available materials, including a cricket cage, PVC pipe, and zip ties. The trap can be deployed into individual ponds to rapidly assess snail populations, enabling farmers to make more informed management decisions in their efforts to control </w:t>
      </w:r>
      <w:r w:rsidRPr="00107C19">
        <w:rPr>
          <w:rStyle w:val="title-text"/>
          <w:rFonts w:asciiTheme="minorHAnsi" w:hAnsiTheme="minorHAnsi" w:cstheme="minorHAnsi"/>
          <w:i/>
          <w:iCs/>
          <w:color w:val="000000" w:themeColor="text1"/>
        </w:rPr>
        <w:t>B. damnificus</w:t>
      </w:r>
      <w:r w:rsidRPr="00107C19">
        <w:rPr>
          <w:rStyle w:val="title-text"/>
          <w:rFonts w:asciiTheme="minorHAnsi" w:hAnsiTheme="minorHAnsi" w:cstheme="minorHAnsi"/>
          <w:color w:val="000000" w:themeColor="text1"/>
        </w:rPr>
        <w:t xml:space="preserve"> host snails. (NP106, C1, PSA, Project No. 6066-3100-016-000D)</w:t>
      </w:r>
    </w:p>
    <w:p w14:paraId="55E8E87F" w14:textId="0AE45EE6" w:rsidR="004C0CD7" w:rsidRPr="00107C19" w:rsidRDefault="004C0CD7" w:rsidP="004C0CD7">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Proliferative gill disease risk assessment model. </w:t>
      </w:r>
      <w:r w:rsidRPr="00107C19">
        <w:rPr>
          <w:rStyle w:val="title-text"/>
          <w:rFonts w:asciiTheme="minorHAnsi" w:hAnsiTheme="minorHAnsi" w:cstheme="minorHAnsi"/>
          <w:color w:val="000000" w:themeColor="text1"/>
        </w:rPr>
        <w:t>Proliferative gill disease (PGD) is caused by a ubiquitous myxozoan parasite and causes substantial losses in commercially raised catfish. Most losses occur when catfish fingerlings are moved to grow-out ponds for food fish production. ARS researchers in Stoneville, Mississippi, developed a PGD risk assessment model to determine the likelihood of fish losses in newly stocked production ponds or when fish are understocked for food fish production. The risk assessment model relies on comprehensive water analysis and uses eDNA methodologies and a quantitative polymerase chain reaction (PCR) assay specifically developed and validated through this project. By determining the parasite’s infectious life stage levels in the pond water, they established correlations between parasite levels and mortality events observed in experimental pond trials, which enabled them to accurately assess the probability of fish losses upon stocking. This program has been implemented as a demonstration project on farms where water samples are collected concurrently with sentinel fish exposures to identify ponds that can be safely stocked with minimal risk to fish health. (NP106, C1, PSB, Project No. 6066-31320-006-000D)</w:t>
      </w:r>
    </w:p>
    <w:p w14:paraId="102CF20A" w14:textId="77777777" w:rsidR="00144EDD" w:rsidRPr="00107C19" w:rsidRDefault="00144EDD" w:rsidP="006F3955">
      <w:pPr>
        <w:pStyle w:val="Heading3"/>
        <w:rPr>
          <w:b/>
          <w:bCs w:val="0"/>
        </w:rPr>
      </w:pPr>
      <w:bookmarkStart w:id="478" w:name="_Toc160186041"/>
      <w:r w:rsidRPr="00107C19">
        <w:rPr>
          <w:b/>
          <w:bCs w:val="0"/>
        </w:rPr>
        <w:t>Natural Resources and Sustainable Agricultural Systems</w:t>
      </w:r>
      <w:bookmarkEnd w:id="478"/>
    </w:p>
    <w:p w14:paraId="274E1A30" w14:textId="77777777" w:rsidR="00144EDD" w:rsidRPr="00107C19" w:rsidRDefault="00144EDD" w:rsidP="00014A0C">
      <w:pPr>
        <w:pStyle w:val="text"/>
        <w:rPr>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Snowmelt modeling technology to predict water availability in California. </w:t>
      </w:r>
      <w:r w:rsidRPr="00107C19">
        <w:rPr>
          <w:rFonts w:asciiTheme="minorHAnsi" w:hAnsiTheme="minorHAnsi" w:cstheme="minorHAnsi"/>
          <w:color w:val="000000" w:themeColor="text1"/>
        </w:rPr>
        <w:t xml:space="preserve">Drought and ongoing climate warming have greatly altered snow water supply in the mountainous Western United States, requiring new approaches to water supply forecasting that explicitly account for variations in snow accumulation and melt. California receives most of its precipitation during the winter, and mountain snowmelt typically accounts for about one-third of the annual water used by California farms and cities. The California Department of Water Resources (CADWR) initiated a pilot program for incorporating the Automated Water Supply Model (AWSM)/iSnobal snow model developed by ARS researchers in Boise, Idaho, into their operational snow water supply forecasting infrastructure, and </w:t>
      </w:r>
      <w:r w:rsidRPr="00107C19">
        <w:rPr>
          <w:rFonts w:asciiTheme="minorHAnsi" w:hAnsiTheme="minorHAnsi" w:cstheme="minorHAnsi"/>
          <w:color w:val="000000" w:themeColor="text1"/>
        </w:rPr>
        <w:lastRenderedPageBreak/>
        <w:t>ARS researchers provided technical support and software troubleshooting to CADWR engineers. The physically based modeling framework was successfully implemented in real time on CADWR computing resources, and the spatial snowmelt information was integrated into the CADWR operational forecast used to allocate limited water resources. This valuable tool has allowed water supply forecasters with CADWR to readily incorporate complex physically based modeling to forecast reliable estimates of the amount and timing of available snowmelt, which is critical for ensuring sustained production across California. This improved ability to monitor snow depth and predict the volume and timing of spring and summer snowmelt and river flow can greatly aid in early warning of drought or flooding and help optimize planning for agricultural and urban water use. (NP211, C1, PS1E, Project No. 2052-13610-015-000D)</w:t>
      </w:r>
    </w:p>
    <w:p w14:paraId="69B4EBC2"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Advancements in the SWAT+ (Soil and Water Assessment Tool) model</w:t>
      </w:r>
      <w:r w:rsidRPr="00107C19">
        <w:rPr>
          <w:rStyle w:val="title-text"/>
          <w:rFonts w:asciiTheme="minorHAnsi" w:hAnsiTheme="minorHAnsi" w:cstheme="minorHAnsi"/>
          <w:color w:val="000000" w:themeColor="text1"/>
        </w:rPr>
        <w:t xml:space="preserve">. A spatially detailed groundwater model was integrated into the SWAT+ code, which improved groundwater resource assessments and simulating how irrigation affects streamflow and aquifer levels. The model was also enhanced to provide a more realistic depiction of nitrate transport in aquifers. ARS scientists in Temple, Texas, tested the model using locations with differing characteristics, including the Mississippi Delta, Chesapeake Bay watershed, and Oregon. The also focused efforts on creating modules for rice paddy management and an energy-based stream temperature algorithm, as well as integrating a comprehensive salt fate and transport model into SWAT+. These efforts result in a more robust and versatile tool for environmental assessment and policymaking. (NP211, C4, PSB, Project No: 3098-13610-009-000D) </w:t>
      </w:r>
    </w:p>
    <w:p w14:paraId="5CC559ED"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ARS dam spillway design criteria provides Los Angeles flood control</w:t>
      </w:r>
      <w:r w:rsidRPr="00107C19">
        <w:rPr>
          <w:rStyle w:val="title-text"/>
          <w:rFonts w:asciiTheme="minorHAnsi" w:hAnsiTheme="minorHAnsi" w:cstheme="minorHAnsi"/>
          <w:color w:val="000000" w:themeColor="text1"/>
        </w:rPr>
        <w:t>. ARS researchers in Stillwater, Oklahoma, developed a stepped chute design criteria that was adopted by the U.S. Army Corps of Engineers (USACE) for the congressionally funded Whittier Narrows Modification Project in Los Angeles County, California. Originally constructed by the USACE in 1957, the Whittier Narrows Dam was a flood-risk management project and became central to the Los Angeles County Drainage Area flood control system. Located 11 miles east of downtown Los Angeles, California, the dam provides flood-risk reduction for more than 1.2 million people and provides an average of $169 million in annual benefits. In addition, a diverse array of recreational facilities provided by the dam and reservoir are estimated to draw 2.1 million people annually. Adopting the ARS stepped chute design criteria for the dam modification will allow these benefits to continue. (NP211, C1, PSA, Project No: 3070-13000-014-000D)</w:t>
      </w:r>
    </w:p>
    <w:p w14:paraId="1A17BAE2"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Multi-spatial, multi-temporal standards for assessing water use efficiency. </w:t>
      </w:r>
      <w:r w:rsidRPr="00107C19">
        <w:rPr>
          <w:rStyle w:val="title-text"/>
          <w:rFonts w:asciiTheme="minorHAnsi" w:hAnsiTheme="minorHAnsi" w:cstheme="minorHAnsi"/>
          <w:color w:val="000000" w:themeColor="text1"/>
        </w:rPr>
        <w:t xml:space="preserve">Water use efficiency (WUE), or drop-per-crop, is a common way of assessing irrigation water inputs and crop water needs. WUE can be applied across spatial scales from the leaf to the farm to the dinner table, and on temporal scales from seconds to months to years. However, WUE measurements and interpretations vary across these scales and among disciplines, making cross-regional or cross-crop comparisons difficult. ARS researchers in Columbia, Missouri, collaborated with researchers across the Long-Term Agroecosystem Research (LTAR) network to develop and establish a standardized framework for measuring and assessing WUE indicators across scales and agricultural systems. For instance, the standardized framework will facilitate integrating data from small-scale specific measurements with large-scale remote sensing data. Making WUE data consistent across management practices, geographic scales, and assessment techniques is critical to advancing the LTAR network science on sustainable water use </w:t>
      </w:r>
      <w:r w:rsidRPr="00107C19">
        <w:rPr>
          <w:rStyle w:val="title-text"/>
          <w:rFonts w:asciiTheme="minorHAnsi" w:hAnsiTheme="minorHAnsi" w:cstheme="minorHAnsi"/>
          <w:color w:val="000000" w:themeColor="text1"/>
        </w:rPr>
        <w:lastRenderedPageBreak/>
        <w:t>and production systems. This represents a significant advancement in network science, data integration and providing reliable, interpretable open-access data. (NP211, C1, PSE, Project No: 5070-12000-001-000D)</w:t>
      </w:r>
    </w:p>
    <w:p w14:paraId="1B692527"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Saturated buffers reduce nitrate at the edge-of-field and reduce runoff.</w:t>
      </w:r>
      <w:r w:rsidRPr="00107C19">
        <w:rPr>
          <w:rStyle w:val="title-text"/>
          <w:rFonts w:asciiTheme="minorHAnsi" w:hAnsiTheme="minorHAnsi" w:cstheme="minorHAnsi"/>
          <w:color w:val="000000" w:themeColor="text1"/>
        </w:rPr>
        <w:t xml:space="preserve"> The Federal Laboratory Consortium presented an Impact Award to a long-term collaboration between ARS and Iowa State University scientists in Ames, Iowa, for their development of a new edge-of-field conservation practice. A novel approach for reducing nitrate loss is to intercept a field tile where it crosses a riparian buffer and divert some of the surface water flow to shallow groundwater within the buffer. This practice, called a saturated buffer, is effectively reduces edge-of-field nitrate loss. The research results have contributed to the Central Iowa Water Quality Infrastructure Project to establish more than 50 saturated buffers and bioreactors in 2021 via a new framework to streamline and scale up adoption by farmers. In addition, the Iowa Department of Agriculture and Land Stewardship, City of Ames, and the Story County Soil and Water Conservation District installed about 25 edge-of-field conservation practices in 2022, including bioreactors and saturated buffers. This technology is quickly becoming accepted across Midwest tile-drained areas and benefits farmers, policymakers, and the public looking for cost-effective ways to improve water quality. (NP211, C3, PSB, Project No: 5030-13000-012-000D)</w:t>
      </w:r>
    </w:p>
    <w:p w14:paraId="2BC313B9"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Water Erosion Prediction Project (WEPP) Water Quality (WQ) Model completed and validated</w:t>
      </w:r>
      <w:r w:rsidRPr="00107C19">
        <w:rPr>
          <w:rStyle w:val="title-text"/>
          <w:rFonts w:asciiTheme="minorHAnsi" w:hAnsiTheme="minorHAnsi" w:cstheme="minorHAnsi"/>
          <w:color w:val="000000" w:themeColor="text1"/>
        </w:rPr>
        <w:t>. ARS researchers in West Lafayette, Indiana, completed development of the WEPP-Water Quality (WEPP-WQ) model, which is available in the Github repository (https://github.com/ryanpmcg/WEPP-WQ). The WEPP model has been improved with new functions and capacities that enable predictions about the transport and loss of agricultural nutrients and chemicals. The water quality routines were based upon those in the ARS Soil and Water Assessment Tool (SWAT) model and validation was conducted using field rainfall simulator data from studies in Indiana and Nebraska. The WEPP-WQ model can be applied to single and multiple strips down a hillslope, as well as to small field-scale watersheds with multiple hillslope profiles, channels, and impoundments. It provides additional functionality to WEPP users for assessing how conservation practices affect nutrient and pesticide losses. These improvements in determining N and P losses from fields under different management systems may ultimately assist conservation agencies develop plans to reduce off-site water quality issues, such as harmful algal blooms. (NP211, C2, PSA, B, C, &amp; D, Project No: 5020-12130-004-000D)</w:t>
      </w:r>
    </w:p>
    <w:p w14:paraId="0B4521C1"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Irrigation management in rice production dramatically reduces methane emissions.</w:t>
      </w:r>
      <w:r w:rsidRPr="00107C19">
        <w:rPr>
          <w:rStyle w:val="title-text"/>
          <w:rFonts w:asciiTheme="minorHAnsi" w:hAnsiTheme="minorHAnsi" w:cstheme="minorHAnsi"/>
          <w:color w:val="000000" w:themeColor="text1"/>
        </w:rPr>
        <w:t xml:space="preserve"> Flooded rice cultivation accounts for 7-11 percent of total anthropogenic methane and nitrous oxide emissions and more information is needed about the impact of gas flux dynamics and emission estimates to develop options for mitigating emissions in rice production. ARS researchers in Jonesboro, Arkansas, conducted a 5-year field study on a commercial farm to assess how rice rotation and intermittent irrigation (Alternate Wetting &amp; Drying: AWD) affect methane and nitrous oxide emissions and grain yields. They found methane emissions dropped 66 percent without increasing nitrous oxide emissions when fields were shifted from flooded to AWD irrigation, and that the switch did not affect grain production. The study also showed apparent seasonal variation in methane emissions resulted from weather and irrigation. Results from this study can be used by researchers, extension workers, and farmers in predicting accurate estimates of GHG emission factor and improves GHG model validation. (NP211, C1, PSA, Project No: 6024-13000-004-000D)</w:t>
      </w:r>
    </w:p>
    <w:p w14:paraId="762C9159"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Improving groundwater sustainability through managed aquifer recharge</w:t>
      </w:r>
      <w:r w:rsidRPr="00107C19">
        <w:rPr>
          <w:rStyle w:val="title-text"/>
          <w:rFonts w:asciiTheme="minorHAnsi" w:hAnsiTheme="minorHAnsi" w:cstheme="minorHAnsi"/>
          <w:color w:val="000000" w:themeColor="text1"/>
        </w:rPr>
        <w:t>. Groundwater pumping from the Mississippi River Valley alluvial aquifer, mainly for irrigation, has resulted in several cones of depression in eastern Arkansas. ARS researchers in Jonesboro, Arkansas, conducted a study to investigate whether infiltration basins could be used to enhance local groundwater recharge. They found that removing the surface soil, which had a higher clay content, allowed surface water to infiltrate the unsaturated zone more quickly. This subsurface zone of unsaturated sand above the water table, which has expanded due to declining groundwater levels, provided a natural filter as well as a potential underground storage area. These findings support using infiltration basins to increase aquifer recharge within northeast Arkansas, which could help promote groundwater sustainability within a primarily agricultural area dependent on reliable irrigation. (NP211, C1, PSD, Project No: 6024-13000-004-000D)</w:t>
      </w:r>
    </w:p>
    <w:p w14:paraId="26D0F1EE"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Using cotton gin and walnut byproducts to create biochar for removing pharmaceuticals.</w:t>
      </w:r>
      <w:r w:rsidRPr="00107C19">
        <w:rPr>
          <w:rStyle w:val="title-text"/>
          <w:rFonts w:asciiTheme="minorHAnsi" w:hAnsiTheme="minorHAnsi" w:cstheme="minorHAnsi"/>
          <w:color w:val="000000" w:themeColor="text1"/>
        </w:rPr>
        <w:t xml:space="preserve"> ARS researchers in Maricopa, Arizona, found that biochar produced from cotton gin waste and walnut shells can remove four pharmaceuticals—acetaminophen (ACT), sulfapyridine (SPY), ibuprofen (IBP), and docusate (DCT)—from aqueous solution. They found that cotton gin biochar produced at 700 C removed 99 percent of DCT and 50 percent of IBP, while walnut shell biochar produced at 800 C removed 72 percent of SPY and 68 percent of ACT. Overall, the results demonstrate that biochar from cotton gin waste and walnut shells could be used as cost-effective, environmentally friendly alternatives to make activated carbon for removing pharmaceuticals from aqueous solutions. (NP211, C1, PSD, Project No: 2020-13000-005-000D.</w:t>
      </w:r>
    </w:p>
    <w:p w14:paraId="38DDEED5"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An open-source standardized evapotranspiration and water balance model</w:t>
      </w:r>
      <w:r w:rsidRPr="00107C19">
        <w:rPr>
          <w:rStyle w:val="title-text"/>
          <w:rFonts w:asciiTheme="minorHAnsi" w:hAnsiTheme="minorHAnsi" w:cstheme="minorHAnsi"/>
          <w:color w:val="000000" w:themeColor="text1"/>
        </w:rPr>
        <w:t>. ARS scientists in Fort Collins, Colorado, and Maricopa, Arizona, created an updated Python-based software package called “pyfao56” Version 1.1.0 to calculate standardized crop and reference evapotranspiration (ET) and water balance. This state-of-the-art tool more accurately represents how soil variability affects ET, which is a critical indicator of irrigation water needs. This tool will benefit ET researchers, hydrologists, agronomists, irrigation manufacturers, and software developers by creating an open-source platform to estimate crop water use and inform irrigation requirements and can be scaled for variable rate irrigation management. This tool can be integral in model scaling for use in real-time variable rate irrigation management, which will apply the right amount of water exactly where it is needed based on real-time feedback. (NP211, C1, PSA &amp; E, Project No: 3012-13210-001-000D)</w:t>
      </w:r>
    </w:p>
    <w:p w14:paraId="31E2B5A1" w14:textId="2E0646F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Soil redistribution estimation using Cs-137</w:t>
      </w:r>
      <w:r w:rsidRPr="00107C19">
        <w:rPr>
          <w:rStyle w:val="title-text"/>
          <w:rFonts w:asciiTheme="minorHAnsi" w:hAnsiTheme="minorHAnsi" w:cstheme="minorHAnsi"/>
          <w:color w:val="000000" w:themeColor="text1"/>
        </w:rPr>
        <w:t xml:space="preserve">. Process-based erosion prediction models were developed to predict spatial and temporal changes in soil erosion. However, most soil loss data measured with traditional methods at the outlets of runoff plots and watersheds are spatially </w:t>
      </w:r>
      <w:r w:rsidR="003C0A9D" w:rsidRPr="00107C19">
        <w:rPr>
          <w:rStyle w:val="title-text"/>
          <w:rFonts w:asciiTheme="minorHAnsi" w:hAnsiTheme="minorHAnsi" w:cstheme="minorHAnsi"/>
          <w:color w:val="000000" w:themeColor="text1"/>
        </w:rPr>
        <w:t>lumped and</w:t>
      </w:r>
      <w:r w:rsidRPr="00107C19">
        <w:rPr>
          <w:rStyle w:val="title-text"/>
          <w:rFonts w:asciiTheme="minorHAnsi" w:hAnsiTheme="minorHAnsi" w:cstheme="minorHAnsi"/>
          <w:color w:val="000000" w:themeColor="text1"/>
        </w:rPr>
        <w:t xml:space="preserve"> cannot be used to validate erosion models. Sediment tracers like radionuclide Cs-137 have been used to develop spatially distributed erosion data, but this technique has not been rigorously tested because there is limited long-term data for soil loss. ARS researchers in El Reno, Oklahoma, thoroughly evaluated the Cs-137 technique using the soil loss data measured during 1954-2015 in two small watersheds at Coshocton, Ohio. The results showed that all theoretical conversion models significantly overestimated the mean soil erosion rates. A new model improved soil redistribution estimation considerably and a spatially distributed soil erosion dataset was then developed with the new model. The new model would be useful to soil conservationists and erosion scientists for estimating spatial variation in soil </w:t>
      </w:r>
      <w:r w:rsidRPr="00107C19">
        <w:rPr>
          <w:rStyle w:val="title-text"/>
          <w:rFonts w:asciiTheme="minorHAnsi" w:hAnsiTheme="minorHAnsi" w:cstheme="minorHAnsi"/>
          <w:color w:val="000000" w:themeColor="text1"/>
        </w:rPr>
        <w:lastRenderedPageBreak/>
        <w:t>erosion using the Cs-137 technique and for further validating erosion models. The derived spatial erosion data is critical for implementing precision soil conservation practices. (NP211, C2, PSA, Project No: 3070-11130-007-000D)</w:t>
      </w:r>
    </w:p>
    <w:p w14:paraId="615E9CD4"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World’s first scale-up of bioreactor technology to treat watersheds and increase nitrate removal. </w:t>
      </w:r>
      <w:r w:rsidRPr="00107C19">
        <w:rPr>
          <w:rStyle w:val="title-text"/>
          <w:rFonts w:asciiTheme="minorHAnsi" w:hAnsiTheme="minorHAnsi" w:cstheme="minorHAnsi"/>
          <w:color w:val="000000" w:themeColor="text1"/>
        </w:rPr>
        <w:t>Mississippi River Basin states struggle to reduce agricultural nonpoint source nitrates that contribute to Gulf of Mexico hypoxia, which alters ecosystem services and is detrimental to fisheries. ARS researchers in St. Paul, Minnesota, confirmed the performance of the world’s first three-bed bioreactor designed to remove nitrate in tile drainage from large areas—around 1 square mile—rather than single fields. The system provides another tool in the toolbox for state and local conservation professionals tasked to reduce agricultural nonpoint nitrate loads. (NP211, C2 &amp; 3, PSB &amp; C, Project No: 5062-12130-008-000D)</w:t>
      </w:r>
    </w:p>
    <w:p w14:paraId="05B36BD4"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USDA Long-Term Agroecosystem Research network is representative of U.S. agriculture regions</w:t>
      </w:r>
      <w:r w:rsidRPr="00107C19">
        <w:rPr>
          <w:rStyle w:val="title-text"/>
          <w:rFonts w:asciiTheme="minorHAnsi" w:hAnsiTheme="minorHAnsi" w:cstheme="minorHAnsi"/>
          <w:color w:val="000000" w:themeColor="text1"/>
        </w:rPr>
        <w:t>. USDA Long-Term Agroecosystem Research (LTAR) network scientists in Tifton, Georgia; Columbia, Missouri; and Oxford, Mississippi, in collaboration with Oak Ridge National Laboratory; the University of Arizona; and the U.S. Forest Service, defined and mapped representativeness and constituency of the current LTAR network based on an analysis of 15 global environmental variables. Representativeness shows how well environmental conditions are represented by an LTAR site, while constituency shows which LTAR site is the closest match for each location. LTAR representativeness was good across most of the country, but some representation was not equal for all regions. While this analysis considered environmental characteristics related to production on working lands, a similar process could be applied to variables that describe the primary agronomic systems or the socio-economic context. These are important aspects of socio-agroecosystems that, if considered in future analyses, could lead to a deeper understanding of how well the LTAR network represents U.S. working lands and help identify future LTAR site locations. (211, C4, PSA, Project No: 6048-13000-028-000D; Project No: 5070-12000-001-000D; Project No: 6060-13660-009-000D)</w:t>
      </w:r>
    </w:p>
    <w:p w14:paraId="4F3C4C54"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SWAT-Carbon model released</w:t>
      </w:r>
      <w:r w:rsidRPr="00107C19">
        <w:rPr>
          <w:rStyle w:val="title-text"/>
          <w:rFonts w:asciiTheme="minorHAnsi" w:hAnsiTheme="minorHAnsi" w:cstheme="minorHAnsi"/>
          <w:color w:val="000000" w:themeColor="text1"/>
        </w:rPr>
        <w:t>. Agricultural practices such as conservation tillage, nutrient management, and cover crops hold great potential to sequester and store carbon in agricultural soils to mitigate greenhouse gas emissions and improve soil health. These agricultural practices also have significant implications for water quality and quantity. ARS researchers in Beltsville, Maryland, made modifications to the soil organic carbon (SOC) algorithms in the Soil and Water Assessment Tool - Carbon (SWAT-Carbon) model and applied the model to simulate SOC dynamics across diverse cropping systems in the U.S. Corn Belt. These sites include locations supported by USDA GRACEnet (Greenhouse gas Reduction through Agricultural Carbon Enhancement network) and REAP (Renewable Energy Assessment Project). Their results demonstrated that the modified SWAT-Carbon model effectively captured SOC dynamics at various sites and soil depths and under different tillage intensities. Such capabilities allow SWAT-Carbon to be a first-of-its-kind watershed model that can simultaneously assess multidimensional indicators of agroecosystem sustainability, such as soil carbon sequestration, agricultural water use, and water quality. SWAT-Carbon is an open-source model that can contribute to future carbon assessment and management in climate-smart agroecosystems. (NP211, C1, 3, &amp;4, PS D, B &amp; C, Project No: 8042-13610-030-000D)</w:t>
      </w:r>
    </w:p>
    <w:p w14:paraId="574901B7"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Conservation practices to control phosphorus in Ohio tile-drained landscapes</w:t>
      </w:r>
      <w:r w:rsidRPr="00107C19">
        <w:rPr>
          <w:rStyle w:val="title-text"/>
          <w:rFonts w:asciiTheme="minorHAnsi" w:hAnsiTheme="minorHAnsi" w:cstheme="minorHAnsi"/>
          <w:color w:val="000000" w:themeColor="text1"/>
        </w:rPr>
        <w:t>. Meeting U.S. and Canadian goals of reducing phosphorus runoff by 40 percent in the tile drained regions of the Lake Erie watershed will require understanding phosphorus source and transport mechanisms for addressing re-eutrophication concerns within the lake. ARS scientists in Columbus, Ohio, and university collaborators determined the importance of preferential flow pathways in phosphorus movement into and through tile drainage as well as how nutrient source and crop rotation can reduce phosphorus delivery through the tile drainage network. Using perennial crops in crops rotation reduced phosphorus transport but phosphorus loss was unaffected by the use of either liquid dairy manure or commercial synthetic fertilizers. The findings have been shared and delivered to the USDA Natural Resource Conservation Service, the Ohio Department of Agriculture, and Lake Erie stakeholders (e.g., The Nature Conservancy, Ohio Farm Bureau Federation, university extension, and producers) and will be used to inform conservation policy. Furthermore, these findings are critical to the USDA Conservation Effects Assessment Project (CEAP) and the Long-Term Agroecosystem Research (LTAR) network sustainable intensification objectives. (NP211, C2 &amp; 3, PSA, B, &amp; D, Project No: 5080-13210-003-000D)</w:t>
      </w:r>
    </w:p>
    <w:p w14:paraId="26D3A319"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portable soil profiler for near-surface soil exploration.</w:t>
      </w:r>
      <w:r w:rsidRPr="00107C19">
        <w:rPr>
          <w:rStyle w:val="title-text"/>
          <w:rFonts w:asciiTheme="minorHAnsi" w:hAnsiTheme="minorHAnsi" w:cstheme="minorHAnsi"/>
          <w:color w:val="000000" w:themeColor="text1"/>
        </w:rPr>
        <w:t xml:space="preserve"> Agricultural applications and farmland soil management need non-invasive tools to measure soil mechanical and hydrologic properties and to map and monitor temporal and spatial variations. ARS researchers in Oxford, Mississippi, developed an acoustic surface wave technique based on well-established relationships among acoustic velocities and soil mechanical and hydrologic properties to noninvasively measure soil profiles up to 2 meters below the surface. It has been used for near-surface soil profiling, studying weather and seasonal effects, monitoring rainfall events, detecting fragipan layers, studying surface sealing/crusting, a farmland compaction study, and evaluating irrigation performance. Recently this technique was further improved by building a portable device that can be employed for rapid field surveys. Potential users include soil scientists, famers, environment/civil engineering researchers, and military personnel. (NP211, C2 &amp; 3, PSA, D &amp; B, Project No: 6060-13000-031-000D)</w:t>
      </w:r>
    </w:p>
    <w:p w14:paraId="2024B2DA"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new remote tool for improved water resource forecasting</w:t>
      </w:r>
      <w:r w:rsidRPr="00107C19">
        <w:rPr>
          <w:rStyle w:val="title-text"/>
          <w:rFonts w:asciiTheme="minorHAnsi" w:hAnsiTheme="minorHAnsi" w:cstheme="minorHAnsi"/>
          <w:color w:val="000000" w:themeColor="text1"/>
        </w:rPr>
        <w:t>. Hydrologic models track the flow of water through agricultural landscapes and are critical for forecasting changes in agricultural water-resource availability and understanding how climate change affects the hydrologic cycle. Hydrologic models generally require access to long-term streamflow data that is adequately calibrated, which is often not available for agricultural basins. ARS scientists in Beltsville, Maryland, developed a new calibration strategy for hydrologic models that uses satellite-based soil moisture estimates in place of ground-based streamflow observations. By substituting widely available remote sensing retrievals for sparse ground-based streamflow observations, this approach greatly increases the number and size of agricultural basins where hydrologic models can be adequately calibrated. Having access to improved hydrologic models will enhance predicting and tracking future extremes in water resource availability. (NP211, C1, PSE, Project No: 8042-13610-030-000D)</w:t>
      </w:r>
    </w:p>
    <w:p w14:paraId="3AEE1496" w14:textId="435D8183"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Using nanoparticles to degrade emerging pharmaceutical contaminants in wastewater</w:t>
      </w:r>
      <w:r w:rsidRPr="00107C19">
        <w:rPr>
          <w:rStyle w:val="title-text"/>
          <w:rFonts w:asciiTheme="minorHAnsi" w:hAnsiTheme="minorHAnsi" w:cstheme="minorHAnsi"/>
          <w:color w:val="000000" w:themeColor="text1"/>
        </w:rPr>
        <w:t xml:space="preserve">. Current sewage treatment processes are not designed to remove low levels of pharmaceuticals. ARS researchers in Maricopa, Arizona, tested a new porous nanomaterial made from magnesium oxide with up to 10 percent copper and found the novel nanomaterial was a good catalyst for removing salicylic acid and tetracycline in the presence of UV light and hydrogen peroxide. The catalyst removed </w:t>
      </w:r>
      <w:r w:rsidRPr="00107C19">
        <w:rPr>
          <w:rStyle w:val="title-text"/>
          <w:rFonts w:asciiTheme="minorHAnsi" w:hAnsiTheme="minorHAnsi" w:cstheme="minorHAnsi"/>
          <w:color w:val="000000" w:themeColor="text1"/>
        </w:rPr>
        <w:lastRenderedPageBreak/>
        <w:t xml:space="preserve">all salicylic acid and tetracycline from solution within 15 and 30 minutes, respectively, and was found to maintain reactivity for more than five reaction cycles. Additionally, its degradation generated no problematic </w:t>
      </w:r>
      <w:r w:rsidR="003C0A9D" w:rsidRPr="00107C19">
        <w:rPr>
          <w:rStyle w:val="title-text"/>
          <w:rFonts w:asciiTheme="minorHAnsi" w:hAnsiTheme="minorHAnsi" w:cstheme="minorHAnsi"/>
          <w:color w:val="000000" w:themeColor="text1"/>
        </w:rPr>
        <w:t>byproducts,</w:t>
      </w:r>
      <w:r w:rsidRPr="00107C19">
        <w:rPr>
          <w:rStyle w:val="title-text"/>
          <w:rFonts w:asciiTheme="minorHAnsi" w:hAnsiTheme="minorHAnsi" w:cstheme="minorHAnsi"/>
          <w:color w:val="000000" w:themeColor="text1"/>
        </w:rPr>
        <w:t xml:space="preserve"> and the catalyst was conserved. The new catalyst has the potential for be used in current wastewater treatment plants to remove trace organics prior to environmental discharge. (NP211, C1, PSD, Project No: 2020-13000-005-000D)</w:t>
      </w:r>
    </w:p>
    <w:p w14:paraId="5A988B98"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Guayule deficit irrigation strategies</w:t>
      </w:r>
      <w:r w:rsidRPr="00107C19">
        <w:rPr>
          <w:rStyle w:val="title-text"/>
          <w:rFonts w:asciiTheme="minorHAnsi" w:hAnsiTheme="minorHAnsi" w:cstheme="minorHAnsi"/>
          <w:color w:val="000000" w:themeColor="text1"/>
        </w:rPr>
        <w:t>. U.S. tire companies want to commercialize guayule to provide domestic supplies for its natural rubber. However, severe regional water shortages require production strategies that can maintain rubber yields while greatly reducing irrigation water use. ARS scientists in Maricopa, Arizona, explored several different deficit irrigation strategies to see if they could attain high rubber yields comparable to a fully irrigated treatment. The researchers found that guayule plant size increased at full irrigation levels, but the rubber content in plants generally increased in deficit irrigation treatments; one deficit irrigation strategy resulted in a rubber yield similar to yields from fully irrigated treatment and reduced irrigation demands 36 percent. These findings indicate deficit irrigation management can sustain guayule rubber yields with significant water savings. The research will be of interest to the U.S. rubber industry, including tire manufacturers, irrigation consultants, water district water managers, and other guayule researchers. (NP211, C1, PSA, Project No: 2020-13660-009-000D)</w:t>
      </w:r>
    </w:p>
    <w:p w14:paraId="29301C8A"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Internet of Things (IoT) hub and Campbell CR1000x data transmission</w:t>
      </w:r>
      <w:r w:rsidRPr="00107C19">
        <w:rPr>
          <w:rStyle w:val="title-text"/>
          <w:rFonts w:asciiTheme="minorHAnsi" w:hAnsiTheme="minorHAnsi" w:cstheme="minorHAnsi"/>
          <w:color w:val="000000" w:themeColor="text1"/>
        </w:rPr>
        <w:t>. ARS researchers in Stillwater, Oklahoma, and collaborators from Oklahoma State University and ARS Partnerships for Data Innovations (PDI) completed a proof of concept (POC) project for using the Azure IoT Hub to ingest data from remote data sensors. They safely and securely transmitted data to the PDI IoT cloud environment hub from the Campbell Scientific CR1000x data logger and streamlined data from the IoT Hub to the GeoEvent Server. This data transmission process saves costs for ARS and the scientific community by reducing the time it takes to manually collect the data from each data logger in the field. With real-time data streaming, scientists will be able to identify data errors caused by instrumentation malfunction more quickly and will be able to start data analysis sooner because of more rapid data downloads. End users like scientists; federal, state, and university partners; farmers; producers; dam owners and managers; irrigation district managers; and policy makers will have access to data more quickly. (NP211, C1, PSA, Project No: 3070-13000-014-000D)</w:t>
      </w:r>
    </w:p>
    <w:p w14:paraId="35C39733"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Irrigation decision support system showcased for Nebraska crop production</w:t>
      </w:r>
      <w:r w:rsidRPr="00107C19">
        <w:rPr>
          <w:rStyle w:val="title-text"/>
          <w:rFonts w:asciiTheme="minorHAnsi" w:hAnsiTheme="minorHAnsi" w:cstheme="minorHAnsi"/>
          <w:color w:val="000000" w:themeColor="text1"/>
        </w:rPr>
        <w:t xml:space="preserve">. Precision irrigation scheduling methods could help sustain the Ogallala Aquifer and rural communities, but some precision irrigation methods are complicated and require a steep learning curve to understand. ARS scientists in Bushland, Texas, and University of Nebraska scientists added the ARS-patented Irrigation Scheduling Supervisory Control and Data Acquisition (ISSCADA) system to a center pivot sprinkler in Nebraska to test its feasibility for corn and soybean production and to compare scheduling results with the Spatial EvapoTranspiration (ET) Modeling Interface (SETMI). The ISSCADA uses canopy temperature sensors and data from a nearby weather station to generate maps that guide the irrigation system. The SETMI system requires satellite information at regular intervals and ET modeling to estimate spatially variable crop water use. Irrigation amounts, grain yields, and crop water productivity were similar between precision irrigation methods in both years and used less water than irrigation methods commonly used by farmers. Providing producers with effective user-friendly technology helps facilitate adoption of </w:t>
      </w:r>
      <w:r w:rsidRPr="00107C19">
        <w:rPr>
          <w:rStyle w:val="title-text"/>
          <w:rFonts w:asciiTheme="minorHAnsi" w:hAnsiTheme="minorHAnsi" w:cstheme="minorHAnsi"/>
          <w:color w:val="000000" w:themeColor="text1"/>
        </w:rPr>
        <w:lastRenderedPageBreak/>
        <w:t>irrigation scheduling technology in other U.S. regions (NP211, C1, PSB, Project No:3090-13000-016-000D)</w:t>
      </w:r>
    </w:p>
    <w:p w14:paraId="575CF99A"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Reducing methane emissions from swine manure</w:t>
      </w:r>
      <w:r w:rsidRPr="00107C19">
        <w:rPr>
          <w:rStyle w:val="title-text"/>
          <w:rFonts w:asciiTheme="minorHAnsi" w:hAnsiTheme="minorHAnsi" w:cstheme="minorHAnsi"/>
          <w:color w:val="000000" w:themeColor="text1"/>
        </w:rPr>
        <w:t>. Typical swine manure management using anaerobic lagoons causes substantial methane emissions and increases agriculture’s GHG footprint. Retrofitting lagoons with solid-liquid separation to remove volatile solids modules could help reduce methane emissions, but quantitative reduction measurements are needed to design best management practices. ARS researchers in Florence, South Carolina, quantified methane emissions using two full-scale swine waste treatment systems, a conventional lagoon-based system and an experimental lagoon-based system retrofitted with a solid-liquid separation module. Methane emissions were 65.9 percent less with the solid-liquid separation treatment, and average annual methane emissions were 20.3 kg in the baseline scenario and 6.9 kg methane per finishing pig in the experimental scenario. This new information will help effectively mitigate methane emissions from regional manure management. (NP212, C3, PS3A, Project No. 6082-12630-002-000D)</w:t>
      </w:r>
    </w:p>
    <w:p w14:paraId="4E8E1273"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Remote sensing technologies improve Maryland cover crop programs</w:t>
      </w:r>
      <w:r w:rsidRPr="00107C19">
        <w:rPr>
          <w:rStyle w:val="title-text"/>
          <w:rFonts w:asciiTheme="minorHAnsi" w:hAnsiTheme="minorHAnsi" w:cstheme="minorHAnsi"/>
          <w:color w:val="000000" w:themeColor="text1"/>
        </w:rPr>
        <w:t>. Winter cover crops are gaining importance as conservation tools in the Chesapeake Bay watershed for outcomes like increasing water infiltration, reducing soil erosion, improving soil nitrogen, and possibly sequestering carbon in soils. The Maryland Department of Agriculture (MDA) created a popular cost-share program with specific planting and termination requirements to encourage cover crop use.   Participants typically report cover crop termination dates that are verified through labor-intensive field visits. Using remote sensing imagery, ARS scientists in Beltsville, Maryland, developed a within-season termination (WIST) algorithm and refined it for the freely available Harmonized Landsat and Sentinel-2 (HLS) data to detect cover crop termination dates. In related research, the Beltsville scientists, along with the U.S. Geological Survey and MDA, evaluated the program’s new delayed termination (after May 1) incentive designed to promote springtime biomass accumulation. They studied cover crop biomass, nitrogen, and carbon accumulation with regular- and delayed-terminated fields using satellite remote sensing and in situ measurements. The delayed-termination fields accumulated additional biomass, nitrogen, and carbon, and were found to be more cost-effective than early-termination base payments. Combined, this remote sensing research offers valuable support for the cover crop program by reducing staff field visits by half and improving the potential for beneficial agroecosystem services. (NP212, C4, PS4B, Project No. 8042-66000-002-000D)</w:t>
      </w:r>
    </w:p>
    <w:p w14:paraId="6D84655C"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Nitrogen management reduces fertilizer inputs for sugar beet</w:t>
      </w:r>
      <w:r w:rsidRPr="00107C19">
        <w:rPr>
          <w:rStyle w:val="title-text"/>
          <w:rFonts w:asciiTheme="minorHAnsi" w:hAnsiTheme="minorHAnsi" w:cstheme="minorHAnsi"/>
          <w:color w:val="000000" w:themeColor="text1"/>
        </w:rPr>
        <w:t xml:space="preserve">. As crop genetics and agricultural practices change, research is needed to make sure fertilizer practices are continuously updated so fertilizer inputs match crop demand. This helps reduce overapplications that can cause unnecessary costs to producers and detrimental environmental impacts such as N2O emissions and nutrients in groundwater or downstream surface waters. ARS researchers in Kimberly, Idaho, developed a new “static-range” nitrogen fertilizer application approach for sugar beet production to replace the widely used “yield-goal” approach. At current sugar beet yield levels and nitrogen fertilizer prices, the “static” approach will reduce fertilizer application rates by 60 to 80 lb/ac, saving growers $42 to $56/acre or upwards of $9 million dollars annually. The approach was adopted by the Amalgamated Sugar Company and the University of Idaho in production guidelines and has been implemented across the </w:t>
      </w:r>
      <w:r w:rsidRPr="00107C19">
        <w:rPr>
          <w:rStyle w:val="title-text"/>
          <w:rFonts w:asciiTheme="minorHAnsi" w:hAnsiTheme="minorHAnsi" w:cstheme="minorHAnsi"/>
          <w:color w:val="000000" w:themeColor="text1"/>
        </w:rPr>
        <w:lastRenderedPageBreak/>
        <w:t>production region where approximately 20 percent of U.S. sugar beet production is concentrated. (NP212, C3, PS3C, Project No. 2054-12000-013-000D)</w:t>
      </w:r>
    </w:p>
    <w:p w14:paraId="7F4956C6"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Matching biochars to soil types can improve carbon and nutrient cycling</w:t>
      </w:r>
      <w:r w:rsidRPr="00107C19">
        <w:rPr>
          <w:rStyle w:val="title-text"/>
          <w:rFonts w:asciiTheme="minorHAnsi" w:hAnsiTheme="minorHAnsi" w:cstheme="minorHAnsi"/>
          <w:color w:val="000000" w:themeColor="text1"/>
        </w:rPr>
        <w:t>. Biochars are made from high temperature, low oxygen combustion of plant or waste materials. They may have environmental and production benefits when applied to agricultural soils, but this depends on the biochar properties, which are a function of how the biochars are made. ARS researchers in Morris, Minnesota, and University of Georgia collaborators conducted short-term laboratory incubations to evaluate how adding poultry litter-based or pine chip-based biochars to two Georgia soils affected carbon sequestration and nutrient delivery. The ability of these biochars to improve soil carbon content and nutrient cycling depended on specific properties. This cost-effective laboratory screening approach can help scientists and eventually land managers design biochars suitable to specific soil types, thus improving the likelihood that biochar land applications can achieve desired, site-specific benefits. (NP212, C1, PS1C, Project No. 5060-11610-004-000D)</w:t>
      </w:r>
    </w:p>
    <w:p w14:paraId="0AEE318D"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Soil additives used to reduce N2O emissions have unintended water quality impacts.</w:t>
      </w:r>
      <w:r w:rsidRPr="00107C19">
        <w:rPr>
          <w:rStyle w:val="title-text"/>
          <w:rFonts w:asciiTheme="minorHAnsi" w:hAnsiTheme="minorHAnsi" w:cstheme="minorHAnsi"/>
          <w:color w:val="000000" w:themeColor="text1"/>
        </w:rPr>
        <w:t xml:space="preserve"> Nitrous oxide (N2O) soil emissions account for more than 50 percent of the total GHG budget of the U.S. agricultural sector. Many approaches are being investigated for reducing N2O emissions, including products that contain nitrogen-fixing microbes (NFM) or chemicals such as urease inhibitors (UI) and nitrification inhibitors (NI) that target specific microbial processes driving emissions. In a 2-year field study of corn production, ARS scientists in St. Paul, Minnesota, found that the benefits of these additives for reducing N2O emissions were counteracted by increased leaching of nitrate out of the root zone, which can negatively affect local and regional water quality. In some cases, the increased nitrate leaching completely offset the reduced N2O emissions after accounting for the potential conversion of nitrate to N2O in receiving waters. These results will help researchers, policy makers, and regulators identify and develop agricultural management practices that can consistently and effectively reduce the footprint of U.S. agriculture. (NP212, C2, PS2B, Project No. 5062-11120-001-000D)</w:t>
      </w:r>
    </w:p>
    <w:p w14:paraId="7C62A771"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Cover crops increase soil organic carbon and corn yields. </w:t>
      </w:r>
      <w:r w:rsidRPr="00107C19">
        <w:rPr>
          <w:rStyle w:val="title-text"/>
          <w:rFonts w:asciiTheme="minorHAnsi" w:hAnsiTheme="minorHAnsi" w:cstheme="minorHAnsi"/>
          <w:color w:val="000000" w:themeColor="text1"/>
        </w:rPr>
        <w:t>The impact of cover crops on soil carbon is often inconsistent, and research is needed to estimate their benefits at regional to national scales to help conservation agencies like the Natural Resource Conservation Service assess the benefits of cover crop incentive programs. ARS researchers in Morris, Minnesota, contributed to a meta-analysis of published literature that assessed how cover crops in corn systems increased soil organic carbon. They estimated that current cover crop/corn production systems are sequestering 5.5 million tons of carbon per year in the United States and have potential to sequester 175 million tons per year globally. In addition to increasing soil organic carbon, adopting cover crops into a production practice increased corn yields by 23 percent. Climate scientists and action agencies can use this integrated analysis to improve carbon inventory estimates and validate the value of cover crops as a climate smart practice. (NP212, C1, PS1A, Project No. 5060-11610-004-000D)</w:t>
      </w:r>
    </w:p>
    <w:p w14:paraId="7F3EB533"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Quantifying how conservation programs reduce GHG emissions. To</w:t>
      </w:r>
      <w:r w:rsidRPr="00107C19">
        <w:rPr>
          <w:rStyle w:val="title-text"/>
          <w:rFonts w:asciiTheme="minorHAnsi" w:hAnsiTheme="minorHAnsi" w:cstheme="minorHAnsi"/>
          <w:color w:val="000000" w:themeColor="text1"/>
        </w:rPr>
        <w:t xml:space="preserve"> provide land managers, producers, and researchers with estimates of how climate-smart conservation might reduce GHG emissions, ARS researchers in Corvallis, Oregon, and Fort Collins, Colorado, developed the web-based, interactive Carbon Reduction Potential Evaluation (CaRPE) Tool (https://carppe.shinyapps.io/CarpeTool/) to visualize and estimate the climate benefits of </w:t>
      </w:r>
      <w:r w:rsidRPr="00107C19">
        <w:rPr>
          <w:rStyle w:val="title-text"/>
          <w:rFonts w:asciiTheme="minorHAnsi" w:hAnsiTheme="minorHAnsi" w:cstheme="minorHAnsi"/>
          <w:color w:val="000000" w:themeColor="text1"/>
        </w:rPr>
        <w:lastRenderedPageBreak/>
        <w:t>implementing conservation practices on croplands and grazing lands. The scientists developed a framework for applying CaRPE-based estimates to croplands under six management practices and the Conservation Reserve Program (CRP) for existing (2017) and projected practice adoption rates. Current estimates suggest that 134.2 M tonnes of carbon dioxide equivalents (CO2e) per year have been or continue to be reduced by these conservation practices on a cumulative total of 133.5 Mha of cropland. Projected estimates, assuming a business-as-usual scenario, predict an additional reduction potential of 48.7 M tonnes CO2e per year over the next 10 years. CaRPE and this new assessment framework provide land managers and conservation planners with tools for optimizing and selecting conservation practices that could maximize the reduction of GHG emissions. (NP212, C1, PS1D, Project No. 3012-12210-001-000D)</w:t>
      </w:r>
    </w:p>
    <w:p w14:paraId="414AC3C4"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Measurements quantify the importance of spring soil nitrous oxide emissions.</w:t>
      </w:r>
      <w:r w:rsidRPr="00107C19">
        <w:rPr>
          <w:rStyle w:val="title-text"/>
          <w:rFonts w:asciiTheme="minorHAnsi" w:hAnsiTheme="minorHAnsi" w:cstheme="minorHAnsi"/>
          <w:color w:val="000000" w:themeColor="text1"/>
        </w:rPr>
        <w:t xml:space="preserve"> Soil emissions of nitrous oxide (N2O) account for more than 50 percent of the total GHG budget of the U.S. agricultural sector. Accurate estimates of N2O emissions from all agricultural sources are needed to identify practices that can reduce emissions and track how management mitigates emissions. ARS researchers in Fort Collins, Colorado, and university partners used bottom-up modeling and atmospheric gas inversions to quantify large, snowmelt/soil thaw-induced N2O pulses in the north-central U.S. region during early spring. They found these pulses increased annual N2O emissions from croplands and grasslands by 6 to 16 percent. These improved estimates are now being incorporated into the Environmental Protection Agency's annual Inventory of U.S. Greenhouse Gas Emissions and Sinks. (NP212, C4, PS4B, Project No. 3012-12210-001-000D)</w:t>
      </w:r>
    </w:p>
    <w:p w14:paraId="3106A1D9"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Tannins in cattle diets reduce GHG emissions from manure</w:t>
      </w:r>
      <w:r w:rsidRPr="00107C19">
        <w:rPr>
          <w:rStyle w:val="title-text"/>
          <w:rFonts w:asciiTheme="minorHAnsi" w:hAnsiTheme="minorHAnsi" w:cstheme="minorHAnsi"/>
          <w:color w:val="000000" w:themeColor="text1"/>
        </w:rPr>
        <w:t xml:space="preserve">. Plant tannins have shown promise in reducing GHGs from various agricultural activities; however, data are lacking on how plant tannins affect methane and nitrous oxide emissions from dairy cattle manure. In one experiment, ARS researchers in Bushland, Texas, and Lincoln University (New Zealand) founds that adding tannins to dairy heifer feed reduced urine nitrogen by 12 percent, which in turn reduces the manure nitrogen that leads to nitrous oxide emissions. In another experiment, the ARS scientists and Texas A&amp;M AgriLife Research collaborators found that adding condensed tannins (CT) directly to dairy cattle manure at two dose levels (4 percent and 8 percent) reduced cumulative nitrous oxide emissions by more than 40 percent. Based on these ‘proof-of-concept’ results, CT appear to be a promising method for reducing GHG emissions from composted dairy cattle manure. Further research is needed to determine the long-term effects of CT treatment and the feasibility of scaling up CT application to dairy cattle manure at dry lots typical of the Southern High Plains. (NP212, C2, PS2A, Project No. 3090-31630-006-000D). </w:t>
      </w:r>
    </w:p>
    <w:p w14:paraId="398D1CD0" w14:textId="2C1A582A"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Fungal inoculation enhances nutritional crop quality</w:t>
      </w:r>
      <w:r w:rsidRPr="00107C19">
        <w:rPr>
          <w:rStyle w:val="title-text"/>
          <w:rFonts w:asciiTheme="minorHAnsi" w:hAnsiTheme="minorHAnsi" w:cstheme="minorHAnsi"/>
          <w:color w:val="000000" w:themeColor="text1"/>
        </w:rPr>
        <w:t xml:space="preserve">. Arbuscular mycorrhizal fungi (AMF) are naturally occurring soil fungi that form symbiotic associations with plant roots and can enhance plant mineral nutrient uptake. However, their development as agricultural products </w:t>
      </w:r>
      <w:r w:rsidR="00D27B32" w:rsidRPr="00107C19">
        <w:rPr>
          <w:rStyle w:val="title-text"/>
          <w:rFonts w:asciiTheme="minorHAnsi" w:hAnsiTheme="minorHAnsi" w:cstheme="minorHAnsi"/>
          <w:color w:val="000000" w:themeColor="text1"/>
        </w:rPr>
        <w:t>have</w:t>
      </w:r>
      <w:r w:rsidRPr="00107C19">
        <w:rPr>
          <w:rStyle w:val="title-text"/>
          <w:rFonts w:asciiTheme="minorHAnsi" w:hAnsiTheme="minorHAnsi" w:cstheme="minorHAnsi"/>
          <w:color w:val="000000" w:themeColor="text1"/>
        </w:rPr>
        <w:t xml:space="preserve"> been limited by their complex genetics and technological challenges to their cultivation. ARS researchers in Wyndmoor, Pennsylvania, used controlled inoculation trials to identify favorable AMF biofertilizer compositions to improve crop yield and crop nutritional content. In addition to enhancing mineral nutrient content, inoculation trials of potatoes, beans, asparagus, wheat, and oats confirmed that AMF are involved in plant bioaccumulation of the antioxidant ergothioneine, an amino acid synthesized by only fungi and certain bacteria. Ergothioneine recently gained significant attention as a vitamin that prevents </w:t>
      </w:r>
      <w:r w:rsidRPr="00107C19">
        <w:rPr>
          <w:rStyle w:val="title-text"/>
          <w:rFonts w:asciiTheme="minorHAnsi" w:hAnsiTheme="minorHAnsi" w:cstheme="minorHAnsi"/>
          <w:color w:val="000000" w:themeColor="text1"/>
        </w:rPr>
        <w:lastRenderedPageBreak/>
        <w:t>neurodegenerative disorders and cardiovascular disease in humans. Inoculating native soil with AMF spores doubled the ergothioneine content of wheat and oats, which are widely consumed cereal grains whose nutritional fortification has potentially far-reaching public health benefits. Inoculation of another staple crop, potatoes, increased tuber ergothioneine content nine-fold and overall antioxidant activity more than two-fold. This research will help develop crop-specific formulations of AMF biofertilizers to improve crop yields and the nutritional quality of food. (NP212, C1, PS1C, Project No. 8072-12000-014-000D)</w:t>
      </w:r>
    </w:p>
    <w:p w14:paraId="40D3F62E"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Measuring in-season soil nitrogen predicts corn yields after legume cover crops</w:t>
      </w:r>
      <w:r w:rsidRPr="00107C19">
        <w:rPr>
          <w:rStyle w:val="title-text"/>
          <w:rFonts w:asciiTheme="minorHAnsi" w:hAnsiTheme="minorHAnsi" w:cstheme="minorHAnsi"/>
          <w:color w:val="000000" w:themeColor="text1"/>
        </w:rPr>
        <w:t>. Winter cover crops are gaining importance as conservation tools for increasing water infiltration, reducing soil erosion, and improving soil nitrogen use for crop production. Producers are especially interested in knowing if growing legume cover crops that fix nitrogen can supply nitrogen to subsequent cash crops and help reduce fertilizer applications. However, nitrogen availability following cover crops is difficult to predict because it depends on seasonal patterns of nitrogen transformations that are site- and year-dependent. ARS researchers in Brookings, South Dakota, implemented crop rotations at two sites to evaluate how fall rye, sweet clover, and vetch cover crops affected nitrogen availability to the following corn crop under no-till conditions. Corn yields were greatest following legume cover crops (sweet clover and vetch), and soils had the most nitrogen availability both seasonally and at times of peak corn nitrogen demand. The researchers compared numerous methods for estimating soil nitrogen availability after cover crops and found that an in-season nitrogen mineralization measurement better estimated corn yields than measurement approaches using pre-season soil nitrogen or cover crop biomass and nitrogen content. These results are critical for developing new soil testing approaches that producers can use to determine fertilizer nitrogen application rates following legume cover crops. (NP212, C4, PS4A, Project No. 3080-12620-006-000D)</w:t>
      </w:r>
    </w:p>
    <w:p w14:paraId="4E358BC1"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Nitrogen loss risks with relay-and double-cropping practices.</w:t>
      </w:r>
      <w:r w:rsidRPr="00107C19">
        <w:rPr>
          <w:rStyle w:val="title-text"/>
          <w:rFonts w:asciiTheme="minorHAnsi" w:hAnsiTheme="minorHAnsi" w:cstheme="minorHAnsi"/>
          <w:color w:val="000000" w:themeColor="text1"/>
        </w:rPr>
        <w:t xml:space="preserve"> Relay cropping soybean with a winter oilseed crop in the Upper Midwest could potentially increase farmer revenue while providing the environmental benefits of a winter cover crop. As part of work conducted in the Upper Mississippi River Basin Long-Term Agroecosystem Research (LTAR) network, ARS researchers in Ames, Iowa, compared the environmental and agronomic performance of a corn-soybean rotation with a relay cropping system of corn-winter camelina-soybean. Despite the inclusion of a winter cover, the winter camelina system did not reduce nitrate leaching, and management changes to accommodate the winter camelina crop increased nitrous emissions three-fold in the camelina-soybean phase of the relay cropping system. Most of this increase occurred following fall fertilizer application to the camelina, whereas later spring sidedress-nitrogen applications resulted in only minor increases in nitrous oxide emissions. This study provides scientists and growers working to develop the winter camelina relay cropping system with new information and tools for optimizing production and reducing nitrogen losses to the environment. (NP212, C4, PS4A, Project No. 5030-11610-006-000D)</w:t>
      </w:r>
    </w:p>
    <w:p w14:paraId="331CDB6C"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Intensive rotational rangeland management affects grazing behavior that reduces weight gain</w:t>
      </w:r>
      <w:r w:rsidRPr="00107C19">
        <w:rPr>
          <w:rStyle w:val="title-text"/>
          <w:rFonts w:asciiTheme="minorHAnsi" w:hAnsiTheme="minorHAnsi" w:cstheme="minorHAnsi"/>
          <w:color w:val="000000" w:themeColor="text1"/>
        </w:rPr>
        <w:t xml:space="preserve">. Adaptive rotational grazing has been suggested as a management option to improve production and sustainability. ARS researchers in Fort Collins, Colorado, and Cheyenne, Wyoming, tracked cattle with GPS devices to compare foraging behavior and outcomes between cattle managed in adaptive, multi-paddock rotational grazing and cattle managed in traditional, season-long single paddock grazing. </w:t>
      </w:r>
      <w:r w:rsidRPr="00107C19">
        <w:rPr>
          <w:rStyle w:val="title-text"/>
          <w:rFonts w:asciiTheme="minorHAnsi" w:hAnsiTheme="minorHAnsi" w:cstheme="minorHAnsi"/>
          <w:color w:val="000000" w:themeColor="text1"/>
        </w:rPr>
        <w:lastRenderedPageBreak/>
        <w:t>Individual cattle in rotation systems, where the ratio of herd size to pasture size was 10-fold greater, ended up being less selective in the vegetation they foraged, which led to lower diet quality and reduced cattle weight gain by 14 percent every year for 5 years. These unique findings identify the cattle behavior mechanism in rotational grazing that can reduce cattle productivity and can help ranchers identify optimal stocking densities for achieving multiple outcomes on their rangelands. In 2023, the scientists highlighted these findings in more than 25 media outlets (e.g., Beef Magazine, On Pasture, Western Ag Reporter) in the United States and Canada, potentially reaching an audience of more than 4.7 million consumers. (NP 215, C4, PS4B, Project No. 3012-21610-003-000D)</w:t>
      </w:r>
    </w:p>
    <w:p w14:paraId="751A9DB1"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New DNA marker technology revolutionizes alfalfa breeding</w:t>
      </w:r>
      <w:r w:rsidRPr="00107C19">
        <w:rPr>
          <w:rStyle w:val="title-text"/>
          <w:rFonts w:asciiTheme="minorHAnsi" w:hAnsiTheme="minorHAnsi" w:cstheme="minorHAnsi"/>
          <w:color w:val="000000" w:themeColor="text1"/>
        </w:rPr>
        <w:t>. Using DNA markers to revolutionize plant breeding has lagged for alfalfa due to high costs and because alfalfa’s high level of genetic heterogeneity means that many DNA markers do not capture enough information to accurately identify gene locations. In 2018, ARS launched the Breeding Insight initiative (https://breedinginsight.org/), which is now hosted at Cornell University, explicitly to bring these new breeding technologies to underserved crops like alfalfa. ARS scientists in St. Paul, Minnesota; Madison, Wisconsin; Logan, Utah; and Prosser, Washington, collaborated with Breeding Insight to develop 3,000 DNA markers that can be used in any alfalfa population, are equally distributed across the genome, and are inexpensive to use with large numbers of individual plants in a breeding program. Using alfalfa populations segregated for resistance to the disease Aphanomyces root rot, they validated that the markers identify the same chromosomal regions for disease resistance genes as more expensive and time-consuming methods, and found the markers successfully group plants by stem strength, stem color, stem structure, and winter injury. The scientists also used the markers to identify candidate genes for resistance to the two races of the root rot pathogen. The DNA markers are now available to the alfalfa research community as a powerful new tool for crop improvement. (NP 215, C1, PS1A, Project No. 5062-12210-004-000D)</w:t>
      </w:r>
    </w:p>
    <w:p w14:paraId="192078E1"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Red seaweed shows potential to reduce enteric methane from dairy cows</w:t>
      </w:r>
      <w:r w:rsidRPr="00107C19">
        <w:rPr>
          <w:rStyle w:val="title-text"/>
          <w:rFonts w:asciiTheme="minorHAnsi" w:hAnsiTheme="minorHAnsi" w:cstheme="minorHAnsi"/>
          <w:color w:val="000000" w:themeColor="text1"/>
        </w:rPr>
        <w:t>. One way the agricultural community is exploring ways to reduce greenhouse gas emissions is by reducing enteric methane emissions from dairy cattle. Adding ingredients to cattle feed that can reduce methane generation in the rumen is one potential management strategy, but more research is needed about how these feed additives affect animal health and productivity goals. Using laboratory in-vitro techniques, ARS scientists in University Park, Pennsylvania, and University of New Hampshire collaborators added three levels of red seaweed to a representative pasture-based dairy cow diet and evaluated the effects on rumen fermentation and methane production. Methane production was almost completely suppressed at all levels of seaweed supplementation, but multiple measures of nutrient digestibility that are indicators of potential animal productivity also declined. This research is critical for identifying effective methane-controlling feed additives with stable active ingredients, determining optimal doses in cattle diets, and providing information to industry partners as they develop strategies for production costs and scales. (NP 215 C2, PS2C, Project No. 8070-21000-010-000D)</w:t>
      </w:r>
    </w:p>
    <w:p w14:paraId="0DCA00AB"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Lawson aerator increases herbaceous cover of rangeland grazing pastures.</w:t>
      </w:r>
      <w:r w:rsidRPr="00107C19">
        <w:rPr>
          <w:rStyle w:val="title-text"/>
          <w:rFonts w:asciiTheme="minorHAnsi" w:hAnsiTheme="minorHAnsi" w:cstheme="minorHAnsi"/>
          <w:color w:val="000000" w:themeColor="text1"/>
        </w:rPr>
        <w:t xml:space="preserve"> In western U.S. rangelands, producers graze livestock in a rotational pasture system. Grazing resources can be reduced when vegetation communities in these pastures become old and degraded, which affects meeting production goals. This can increase risks for overgrazing more productive pastures, which can reduce </w:t>
      </w:r>
      <w:r w:rsidRPr="00107C19">
        <w:rPr>
          <w:rStyle w:val="title-text"/>
          <w:rFonts w:asciiTheme="minorHAnsi" w:hAnsiTheme="minorHAnsi" w:cstheme="minorHAnsi"/>
          <w:color w:val="000000" w:themeColor="text1"/>
        </w:rPr>
        <w:lastRenderedPageBreak/>
        <w:t>the sustainability of those pastures and negatively affect sensitive wildlife species, such as the greater sage-grouse. ARS researchers in Reno, Nevada, used the Lawson Aerator to evaluate the effectiveness of a mechanical treatment to treat rangelands that have become dominated by old, dense, and degraded shrub communities; increase herbaceous perennial vegetation; and promote sustainable grazing resources. Using this treatment on 364 hectares of degraded shrub habitats in northern Nevada increased herbaceous perennial grass densities from 1.2/m² to 8.1/m² and increased forage from 513 kg/ha to 5,554 kg/ha. These improvements expanded grazing resources on this pasture and increased its use from less than 4 weeks to more than 14 weeks. Federal, state, and private sector land managers have adopted this treatment tool to improve grazing pastures and wildlife habitat; for example, Nevada Gold Mines has already purchased needed equipment and applied the treatment strategy to an initial 75 hectares in their land holdings. (NP 215, C4, PS4B, Project No. 2060-13610-003-000D)</w:t>
      </w:r>
    </w:p>
    <w:p w14:paraId="217F9DC7"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Orchardgrass and wheatgrass varieties improve forage production and rangeland restoration success</w:t>
      </w:r>
      <w:r w:rsidRPr="00107C19">
        <w:rPr>
          <w:rStyle w:val="title-text"/>
          <w:rFonts w:asciiTheme="minorHAnsi" w:hAnsiTheme="minorHAnsi" w:cstheme="minorHAnsi"/>
          <w:color w:val="000000" w:themeColor="text1"/>
        </w:rPr>
        <w:t>. Orchardgrass is one of the most important perennial grasses used in temperate grazing pastures because of its high productivity, nutritive value, and palatability. However, in more northern and higher elevations, orchardgrass often suffers from winter injury and mortality. In the Intermountain U.S. West, native grasses like Discovery and Secar Snake River wheatgrass are widely used to restore rangelands that have been degraded by invasive weeds and frequent wildfire, but these wheatgrasses are often limited by low seed yields and poor establishment. ARS researchers in Logan, Utah, developed an orchardgrass variety called USDA-Yeti that combines excellent winter hardiness, better stand establishment, and greater forage mass. They also developed ‘Destination’ Snake River wheatgrass, which has greater biomass, better seed yield, and better stand establishment than Discovery and Secar. These resources will benefit the livestock and dairy industry by expanding options for high-quality orchardgrass at sites at risk of winter injury and will give seed managers and public land managers seed inventories that will improve rangeland restoration success. (NP 215, C1, PS1A, Project No. 2080-21000-018-000D)</w:t>
      </w:r>
    </w:p>
    <w:p w14:paraId="728F750D"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Genome and gene discovery improve hairy vetch.</w:t>
      </w:r>
      <w:r w:rsidRPr="00107C19">
        <w:rPr>
          <w:rStyle w:val="title-text"/>
          <w:rFonts w:asciiTheme="minorHAnsi" w:hAnsiTheme="minorHAnsi" w:cstheme="minorHAnsi"/>
          <w:color w:val="000000" w:themeColor="text1"/>
        </w:rPr>
        <w:t xml:space="preserve"> Hairy vetch is a hardy annual legume that can be grown as a cover crop to protect soil from erosion, supply nitrogen to soil for crop production, provide forage to feed livestock, and support pollinating bees. Unfortunately, some traits in hairy vetch, such as pod shatter, hard seed, and a high proportion of dormant seed that limits germination, discourage its use as a cover crop. ARS researchers in Madison, Wisconsin, and Clay Center, Nebraska, worked with nongovernmental organizations and private sector partners on generating a new reference genome for hairy vetch that is already facilitating breeding for soft seeded varieties. The genome is expected to greatly facilitate marker-assisted breeding for other useful traits and for gene discovery, transcriptomics, and genome structure. In related research with the Noble Research Institute, the Madison researchers identified more than 24,000 gene products associated with seed dormancy that will help scientists develop hairy vetch varieties with seeds that germinate quickly and vigorously and create ground cover while minimizing the risk that dormant hard seed will result in future weed issues. These genomic resources are giving farmers wider options for cover crop adoption and increasing production and ecosystem service goals in their operations. (NP 215, C1, PS1A, Project No. 5090-12210-001-000D)</w:t>
      </w:r>
    </w:p>
    <w:p w14:paraId="4DFB835D"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 xml:space="preserve">Prescribed fire improves rangeland forage quality and reduces invasive trees. </w:t>
      </w:r>
      <w:r w:rsidRPr="00107C19">
        <w:rPr>
          <w:rStyle w:val="title-text"/>
          <w:rFonts w:asciiTheme="minorHAnsi" w:hAnsiTheme="minorHAnsi" w:cstheme="minorHAnsi"/>
          <w:color w:val="000000" w:themeColor="text1"/>
        </w:rPr>
        <w:t>In western rangeland systems, ranchers are constantly seeking effective management options to improve the forage quality of their grazing lands and control invasive weeds and trees. Prescribed fire can be a powerful tool to help ranchers achieve these goals, and scientific research is critical for identifying its appropriate use. ARS researchers in Miles City, Montana, evaluated how prescribed fire can improve the forage quality of purple threeawn, a native perennial bunchgrass that can dominate degraded rangelands and is mostly avoided by herbivores as forage. Summer and fall fire increased plant mineral contents from deficient levels to levels exceeding requirements for growing cattle. The Miles City scientists also evaluated using prescribed fire to reduce seeds and newly emerged seedlings of Russian olive, which is an aggressive tree species that is difficult to control, invades riparian areas, and reduces native forage availability. Prescribed fire reduced Russian olive seed germination by 80 to 100 percent and killed virtually all Russian olive seedlings less than 10 weeks old. This research is providing much needed information on how prescribed fire can benefit rangeland health and productivity and will give ranchers tools they need to meet their economic and ecological sustainability goals. (NP215, C4, PS4B, Project No. 3030-21630-005-000D)</w:t>
      </w:r>
    </w:p>
    <w:p w14:paraId="1795ACE4"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Sorghum significant crop for pollinator activity</w:t>
      </w:r>
      <w:r w:rsidRPr="00107C19">
        <w:rPr>
          <w:rStyle w:val="title-text"/>
          <w:rFonts w:asciiTheme="minorHAnsi" w:hAnsiTheme="minorHAnsi" w:cstheme="minorHAnsi"/>
          <w:color w:val="000000" w:themeColor="text1"/>
        </w:rPr>
        <w:t>. Pollinators are experiencing a global decline, which has implications for both human food supply and plant diversity, and producers are encouraged to support pollinator populations by planting nectar-rich plants with different flowering seasons. Promoting wind-pollinated plants, including grasses, is rarely recommended, but many bees and other pollinators have often been documented collecting pollen from grasses. Sorghum, a crop primarily used for grain in the United States, is not recommended to homeowners or farmers as a plant to promote pollinators. ARS researchers in Tifton, Georgia, observed honey bees, bumblebees, and carpenter bees collecting sorghum pollen and hoverflies and earwigs consuming sorghum pollen. They also found that sorghum infested with sugarcane aphids attracted numerous flies, bees, wasps, and ants that feed on the sugary aphid waste products. These studies document that sorghum, especially when harboring sugarcane aphids, is a valuable crop for preserving pollinators and other beneficial insects. These finding have important implications for using insecticides in sorghum management, especially for newly released herbicide resistant sorghums. (NP 215, C2, PS2A, Project No. 6048-21000-030-000D)</w:t>
      </w:r>
    </w:p>
    <w:p w14:paraId="4A61FF30"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Origins and potential control for alfalfa bacterial stem blight disease</w:t>
      </w:r>
      <w:r w:rsidRPr="00107C19">
        <w:rPr>
          <w:rStyle w:val="title-text"/>
          <w:rFonts w:asciiTheme="minorHAnsi" w:hAnsiTheme="minorHAnsi" w:cstheme="minorHAnsi"/>
          <w:color w:val="000000" w:themeColor="text1"/>
        </w:rPr>
        <w:t xml:space="preserve">. Bacterial stem blight of alfalfa recently emerged as a serious disease in the western United States, causing yield losses of up to 50 percent in the first annual harvest. Although the disease was recognized in 1904, little is known about the pathogen, mechanism of infection, or alfalfa resistance. ARS scientists in St. Paul, Minnesota, and University of Minnesota collaborators isolated the known pathogen, </w:t>
      </w:r>
      <w:r w:rsidRPr="00107C19">
        <w:rPr>
          <w:rStyle w:val="title-text"/>
          <w:rFonts w:asciiTheme="minorHAnsi" w:hAnsiTheme="minorHAnsi" w:cstheme="minorHAnsi"/>
          <w:i/>
          <w:iCs/>
          <w:color w:val="000000" w:themeColor="text1"/>
        </w:rPr>
        <w:t>Pseudomonas syringae</w:t>
      </w:r>
      <w:r w:rsidRPr="00107C19">
        <w:rPr>
          <w:rStyle w:val="title-text"/>
          <w:rFonts w:asciiTheme="minorHAnsi" w:hAnsiTheme="minorHAnsi" w:cstheme="minorHAnsi"/>
          <w:color w:val="000000" w:themeColor="text1"/>
        </w:rPr>
        <w:t xml:space="preserve">, and a second pathogen, </w:t>
      </w:r>
      <w:r w:rsidRPr="00107C19">
        <w:rPr>
          <w:rStyle w:val="title-text"/>
          <w:rFonts w:asciiTheme="minorHAnsi" w:hAnsiTheme="minorHAnsi" w:cstheme="minorHAnsi"/>
          <w:i/>
          <w:iCs/>
          <w:color w:val="000000" w:themeColor="text1"/>
        </w:rPr>
        <w:t>P. viridiflava</w:t>
      </w:r>
      <w:r w:rsidRPr="00107C19">
        <w:rPr>
          <w:rStyle w:val="title-text"/>
          <w:rFonts w:asciiTheme="minorHAnsi" w:hAnsiTheme="minorHAnsi" w:cstheme="minorHAnsi"/>
          <w:color w:val="000000" w:themeColor="text1"/>
        </w:rPr>
        <w:t xml:space="preserve">, from alfalfa samples in California, Utah, Oregon, Minnesota, and Ohio. A genomic study of 94 strains of </w:t>
      </w:r>
      <w:r w:rsidRPr="00107C19">
        <w:rPr>
          <w:rStyle w:val="title-text"/>
          <w:rFonts w:asciiTheme="minorHAnsi" w:hAnsiTheme="minorHAnsi" w:cstheme="minorHAnsi"/>
          <w:i/>
          <w:iCs/>
          <w:color w:val="000000" w:themeColor="text1"/>
        </w:rPr>
        <w:t>P. syringae</w:t>
      </w:r>
      <w:r w:rsidRPr="00107C19">
        <w:rPr>
          <w:rStyle w:val="title-text"/>
          <w:rFonts w:asciiTheme="minorHAnsi" w:hAnsiTheme="minorHAnsi" w:cstheme="minorHAnsi"/>
          <w:color w:val="000000" w:themeColor="text1"/>
        </w:rPr>
        <w:t xml:space="preserve"> and 29 strains of </w:t>
      </w:r>
      <w:r w:rsidRPr="00107C19">
        <w:rPr>
          <w:rStyle w:val="title-text"/>
          <w:rFonts w:asciiTheme="minorHAnsi" w:hAnsiTheme="minorHAnsi" w:cstheme="minorHAnsi"/>
          <w:i/>
          <w:iCs/>
          <w:color w:val="000000" w:themeColor="text1"/>
        </w:rPr>
        <w:t>P. viridiflava</w:t>
      </w:r>
      <w:r w:rsidRPr="00107C19">
        <w:rPr>
          <w:rStyle w:val="title-text"/>
          <w:rFonts w:asciiTheme="minorHAnsi" w:hAnsiTheme="minorHAnsi" w:cstheme="minorHAnsi"/>
          <w:color w:val="000000" w:themeColor="text1"/>
        </w:rPr>
        <w:t xml:space="preserve"> showed that both species are widespread, have been established for a long time, are likely transported by precipitation, and can cause frost damage on alfalfa as a means of infecting plants. A complete genome sequence of 20 pathogen strains identified unique genes for toxins causing disease symptoms. The scientists identified disease-resistant plants and several candidate genes involved in the resistance. This research is foundational for understanding that the emergence of bacterial stem blight is not due to recent pathogen introduction or the evolution of aggressive pathogen strains, and that breeding alfalfa for </w:t>
      </w:r>
      <w:r w:rsidRPr="00107C19">
        <w:rPr>
          <w:rStyle w:val="title-text"/>
          <w:rFonts w:asciiTheme="minorHAnsi" w:hAnsiTheme="minorHAnsi" w:cstheme="minorHAnsi"/>
          <w:color w:val="000000" w:themeColor="text1"/>
        </w:rPr>
        <w:lastRenderedPageBreak/>
        <w:t>resistance is a viable way the alfalfa industry can reduce damage from the disease. (NP 215, C1, PS1B, Project No. 5062-12210-004-000D)</w:t>
      </w:r>
    </w:p>
    <w:p w14:paraId="6A725FC4"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Tall fescue genotype controls fescue toxicosis alkaloid production.</w:t>
      </w:r>
      <w:r w:rsidRPr="00107C19">
        <w:rPr>
          <w:rStyle w:val="title-text"/>
          <w:rFonts w:asciiTheme="minorHAnsi" w:hAnsiTheme="minorHAnsi" w:cstheme="minorHAnsi"/>
          <w:color w:val="000000" w:themeColor="text1"/>
        </w:rPr>
        <w:t xml:space="preserve"> Tall fescue is a highly adaptable forage grass in part due to its association with the endophytic fungus </w:t>
      </w:r>
      <w:r w:rsidRPr="00107C19">
        <w:rPr>
          <w:rStyle w:val="title-text"/>
          <w:rFonts w:asciiTheme="minorHAnsi" w:hAnsiTheme="minorHAnsi" w:cstheme="minorHAnsi"/>
          <w:i/>
          <w:iCs/>
          <w:color w:val="000000" w:themeColor="text1"/>
        </w:rPr>
        <w:t>Epichloë coenophiala</w:t>
      </w:r>
      <w:r w:rsidRPr="00107C19">
        <w:rPr>
          <w:rStyle w:val="title-text"/>
          <w:rFonts w:asciiTheme="minorHAnsi" w:hAnsiTheme="minorHAnsi" w:cstheme="minorHAnsi"/>
          <w:color w:val="000000" w:themeColor="text1"/>
        </w:rPr>
        <w:t>, which produces alkaloids that help fescue tolerate environmental stresses. However, some of the alkaloids are toxic to animals grazing the fescue and can result in significant livestock production losses. ARS scientists in Lexington, Kentucky, monitored alkaloid accumulation in fescue plants under different weather conditions for 3 years to determine how plant genotype contributes to alkaloid levels. They found that weather induced different alkaloid levels but that alkaloid accumulation differences between genotypes tended to be the same, suggesting that plant genetics are responsible for signaling the endophyte to produce different alkaloid levels. This research will provide a foundation for future breeding to identify plant genetic factors responsible for regulating alkaloid levels to simultaneously maintain tall fescue stress tolerance and minimize toxicosis. (NP215, C3, PS3A, Project No. 5042-21000-004-000D)</w:t>
      </w:r>
    </w:p>
    <w:p w14:paraId="27B2EB28" w14:textId="77777777"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Models improve mapping rangeland resilience and improve restoration success.</w:t>
      </w:r>
      <w:r w:rsidRPr="00107C19">
        <w:rPr>
          <w:rStyle w:val="title-text"/>
          <w:rFonts w:asciiTheme="minorHAnsi" w:hAnsiTheme="minorHAnsi" w:cstheme="minorHAnsi"/>
          <w:color w:val="000000" w:themeColor="text1"/>
        </w:rPr>
        <w:t xml:space="preserve"> Millions of acres of rangeland in the U.S. Intermountain West have been significantly degraded by exotic annual grass invasions, often after wildfire. Restoring these lands depends on understanding, documenting, and using inherent landscape features that enable resisting invasion and increasing resilience to degradation. ARS researchers in Boise, Idaho; Burns, Oregon; Fort Collins, Colorado; and Woodward, Oklahoma, worked with Boise State University and U.S. Geological Survey collaborators on using seedbed microclimate and germination information to develop seedbed favorability models that improve mapping land resilience and resistance. This mapping approach is especially valuable when used with seasonal weather forecasting to identify years when successful restoration is possible in lower-elevation, dryer rangeland ecosystems. This research improves Bureau of Land Management and U.S. Forest Service applications of resistance and resilience metrics used to prioritize rangeland restoration activities across millions of acres of disturbed rangelands in the Intermountain Western United States. (NP215, C4, PS4B, Project No. 2052-13610-014-000D)</w:t>
      </w:r>
    </w:p>
    <w:p w14:paraId="59BC554D" w14:textId="1CB398B0"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Conservation practices improve soil health and provide economic benefits to farmers</w:t>
      </w:r>
      <w:r w:rsidRPr="00107C19">
        <w:rPr>
          <w:rStyle w:val="title-text"/>
          <w:rFonts w:asciiTheme="minorHAnsi" w:hAnsiTheme="minorHAnsi" w:cstheme="minorHAnsi"/>
          <w:color w:val="000000" w:themeColor="text1"/>
        </w:rPr>
        <w:t xml:space="preserve">. Adopting conservation practices has been hampered by the lack of regionally relevant soil health information and lack of a demonstrated relationship between soil health measurements and crop yields. ARS scientists in Columbia, Missouri, and University of Missouri collaborators collected data from more than 5,300 production fields in </w:t>
      </w:r>
      <w:r w:rsidR="00BA6D9B" w:rsidRPr="00107C19">
        <w:rPr>
          <w:rStyle w:val="title-text"/>
          <w:rFonts w:asciiTheme="minorHAnsi" w:hAnsiTheme="minorHAnsi" w:cstheme="minorHAnsi"/>
          <w:color w:val="000000" w:themeColor="text1"/>
        </w:rPr>
        <w:t>Missouri and</w:t>
      </w:r>
      <w:r w:rsidRPr="00107C19">
        <w:rPr>
          <w:rStyle w:val="title-text"/>
          <w:rFonts w:asciiTheme="minorHAnsi" w:hAnsiTheme="minorHAnsi" w:cstheme="minorHAnsi"/>
          <w:color w:val="000000" w:themeColor="text1"/>
        </w:rPr>
        <w:t xml:space="preserve"> showed that biological and physical soil health status was greater in systems with increased rotational diversity (three or more crops) and reduced tillage. In related work with public and private partners, they used data collected from 96 farms in 9 Midwestern states for 5 years to link soil health scores to corn and soybean yield and demonstrated improved soil health had economic benefits. Furthermore, Missouri data indicated soil health variability within a field was linked to corn yield, and a threshold level of active carbon, a popular soil health indicator, was identified for optimal corn grain productivity. These results support farmers by providing them with science-based information on the economic and soil health benefits of conservation management practices. </w:t>
      </w:r>
      <w:bookmarkStart w:id="479" w:name="_Hlk157151790"/>
      <w:r w:rsidR="004745A0" w:rsidRPr="00107C19">
        <w:rPr>
          <w:rStyle w:val="title-text"/>
          <w:rFonts w:asciiTheme="minorHAnsi" w:hAnsiTheme="minorHAnsi" w:cstheme="minorHAnsi"/>
          <w:color w:val="000000" w:themeColor="text1"/>
        </w:rPr>
        <w:t>(NP216, Project No.</w:t>
      </w:r>
      <w:bookmarkEnd w:id="479"/>
      <w:r w:rsidR="004745A0"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color w:val="000000" w:themeColor="text1"/>
        </w:rPr>
        <w:t>5070-12610-005-000D</w:t>
      </w:r>
      <w:r w:rsidR="004745A0" w:rsidRPr="00107C19">
        <w:rPr>
          <w:rStyle w:val="title-text"/>
          <w:rFonts w:asciiTheme="minorHAnsi" w:hAnsiTheme="minorHAnsi" w:cstheme="minorHAnsi"/>
          <w:color w:val="000000" w:themeColor="text1"/>
        </w:rPr>
        <w:t>)</w:t>
      </w:r>
    </w:p>
    <w:p w14:paraId="43BCCEB8" w14:textId="4D2FD51E" w:rsidR="004745A0"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 xml:space="preserve">Improving watershed management planning, implementation, and outcomes. </w:t>
      </w:r>
      <w:r w:rsidRPr="00107C19">
        <w:rPr>
          <w:rStyle w:val="title-text"/>
          <w:rFonts w:asciiTheme="minorHAnsi" w:hAnsiTheme="minorHAnsi" w:cstheme="minorHAnsi"/>
          <w:color w:val="000000" w:themeColor="text1"/>
        </w:rPr>
        <w:t xml:space="preserve">A scientifically rigorous and detailed watershed management plan is critically important for successfully restoring an impaired waterway. When stakeholders are involved in model development, scenarios better reflect stakeholder preferences, which increases the likelihood the plan will be successfully implemented. ARS scientists in University Park, Pennsylvania, and collaborators published four peer-reviewed papers providing several examples of successful engagement with local stakeholders that resulted in watershed management plans that reflected stakeholder inputs/values and achieved nutrient and sediment load reduction goals. These goals were achieved in several ways, either by prioritizing low implementation costs at the watershed scale while meeting load reduction goals or prioritizing watershed yields by modifying where crops were grown (a functional land management approach). These papers provide examples of stakeholder engagement processes that were successful in developing each management </w:t>
      </w:r>
      <w:r w:rsidR="00BA6D9B" w:rsidRPr="00107C19">
        <w:rPr>
          <w:rStyle w:val="title-text"/>
          <w:rFonts w:asciiTheme="minorHAnsi" w:hAnsiTheme="minorHAnsi" w:cstheme="minorHAnsi"/>
          <w:color w:val="000000" w:themeColor="text1"/>
        </w:rPr>
        <w:t>plan and</w:t>
      </w:r>
      <w:r w:rsidRPr="00107C19">
        <w:rPr>
          <w:rStyle w:val="title-text"/>
          <w:rFonts w:asciiTheme="minorHAnsi" w:hAnsiTheme="minorHAnsi" w:cstheme="minorHAnsi"/>
          <w:color w:val="000000" w:themeColor="text1"/>
        </w:rPr>
        <w:t xml:space="preserve"> documented the water quality benefits of those plans compared to other more traditional approaches that do not take stakeholder preferences into consideration. In each case study, water quality goals were achieved or exceeded when incorporating stakeholder engagement into computer-based approaches. </w:t>
      </w:r>
      <w:r w:rsidR="004745A0"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8070-66000-001-000D</w:t>
      </w:r>
      <w:r w:rsidR="004745A0" w:rsidRPr="00107C19">
        <w:rPr>
          <w:rStyle w:val="title-text"/>
          <w:rFonts w:asciiTheme="minorHAnsi" w:hAnsiTheme="minorHAnsi" w:cstheme="minorHAnsi"/>
          <w:color w:val="000000" w:themeColor="text1"/>
        </w:rPr>
        <w:t>)</w:t>
      </w:r>
    </w:p>
    <w:p w14:paraId="7F592EB3" w14:textId="39A49FA8"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New tool helps California specialty crop producers adapt to climate change. </w:t>
      </w:r>
      <w:r w:rsidRPr="00107C19">
        <w:rPr>
          <w:rStyle w:val="title-text"/>
          <w:rFonts w:asciiTheme="minorHAnsi" w:hAnsiTheme="minorHAnsi" w:cstheme="minorHAnsi"/>
          <w:color w:val="000000" w:themeColor="text1"/>
        </w:rPr>
        <w:t xml:space="preserve">Climate change is projected to challenge California’s agricultural production, and its specialty crop industry may be uniquely vulnerable to warming winters and increasing water demands. ARS scientists at the USDA California Climate Hub in Davis, California, created the Adaptation Resources Workbook for California Specialty Crops. The workbook provides science-based information and a multi-step process for developing a farm management plan that explicitly incorporates climate adaptation. Throughout the workbook, resources such as Cooperative Extension guides, Natural Resources Conservation Service technical documents, and scientific literature offer a scientific basis for the workbook’s adaptation menu, which offers a non-exhaustive list of climate-adaptive actions that producers can use to adapt their operations to the effects of climate change. </w:t>
      </w:r>
      <w:r w:rsidR="004745A0"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2032-12610-001-000D</w:t>
      </w:r>
      <w:r w:rsidR="004745A0" w:rsidRPr="00107C19">
        <w:rPr>
          <w:rStyle w:val="title-text"/>
          <w:rFonts w:asciiTheme="minorHAnsi" w:hAnsiTheme="minorHAnsi" w:cstheme="minorHAnsi"/>
          <w:color w:val="000000" w:themeColor="text1"/>
        </w:rPr>
        <w:t>)</w:t>
      </w:r>
    </w:p>
    <w:p w14:paraId="1B6194FF" w14:textId="75F30DC3"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Interactive tool quantifies the climate benefits of conservation management practices.</w:t>
      </w:r>
      <w:r w:rsidRPr="00107C19">
        <w:rPr>
          <w:rStyle w:val="title-text"/>
          <w:rFonts w:asciiTheme="minorHAnsi" w:hAnsiTheme="minorHAnsi" w:cstheme="minorHAnsi"/>
          <w:color w:val="000000" w:themeColor="text1"/>
        </w:rPr>
        <w:t xml:space="preserve"> Conservation agricultural practices have the potential to reduce greenhouse gas emissions, and recent legislation has expanded USDA’s capacity to provide conservation practice incentives through programs like the Conservation Research Program (CRP) and the Environmental Quality Incentives Program (EQIP). Implementing these practices must be balanced with the need to produce food, fiber, and fuel for a growing global population. To provide land managers, producers, and researchers estimates of greenhouse gas reduction potential from the implementation of climate-smart practices, ARS researchers in Corvallis, Oregon, and Fort Collins, Colorado, developed the Carbon Reduction Potential Evaluation (CaRPE) tool. CaRPE is a web-based, interactive tool that visualizes and estimates how implementing conservation practices on croplands and grazing lands will help mitigate the agricultural sector’s contribution to climate change. This tool allows users to build and export state, regional, or national scenarios based on the adoption of new conservation practices for desired acreages and locations. This tool is available at https://carpe.shinyapps.io/CarpeTool/ or through the Northwest Climate Hub and is being used to quantify the climate benefits of USDA conservation programs. </w:t>
      </w:r>
      <w:r w:rsidR="004745A0" w:rsidRPr="00107C19">
        <w:rPr>
          <w:rStyle w:val="title-text"/>
          <w:rFonts w:asciiTheme="minorHAnsi" w:hAnsiTheme="minorHAnsi" w:cstheme="minorHAnsi"/>
          <w:color w:val="000000" w:themeColor="text1"/>
        </w:rPr>
        <w:t>(NP216, Project No.</w:t>
      </w:r>
      <w:r w:rsidRPr="00107C19">
        <w:rPr>
          <w:rStyle w:val="title-text"/>
          <w:rFonts w:asciiTheme="minorHAnsi" w:hAnsiTheme="minorHAnsi" w:cstheme="minorHAnsi"/>
          <w:color w:val="000000" w:themeColor="text1"/>
        </w:rPr>
        <w:t xml:space="preserve"> 2072-12620-001-000D</w:t>
      </w:r>
      <w:r w:rsidR="004745A0" w:rsidRPr="00107C19">
        <w:rPr>
          <w:rStyle w:val="title-text"/>
          <w:rFonts w:asciiTheme="minorHAnsi" w:hAnsiTheme="minorHAnsi" w:cstheme="minorHAnsi"/>
          <w:color w:val="000000" w:themeColor="text1"/>
        </w:rPr>
        <w:t>)</w:t>
      </w:r>
    </w:p>
    <w:p w14:paraId="099DB9CE" w14:textId="1BA56DCF"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Root-zone enrichment of soil organic matter improves with conservation management</w:t>
      </w:r>
      <w:r w:rsidRPr="00107C19">
        <w:rPr>
          <w:rStyle w:val="title-text"/>
          <w:rFonts w:asciiTheme="minorHAnsi" w:hAnsiTheme="minorHAnsi" w:cstheme="minorHAnsi"/>
          <w:color w:val="000000" w:themeColor="text1"/>
        </w:rPr>
        <w:t xml:space="preserve">. The historic loss of soil organic matter from intensive tillage in the southeastern United States can now be remediated with conservation management systems that sequester carbon. An ARS scientist in Raleigh, North Carolina, collected soil from different land uses on 25 research stations across North Carolina to determine the potential of surface soil to store carbon from conservation management with either no-till cropping, grassland management, or timber production. The results suggested that conservation management was a beneficial strategy to improve soil organic carbon and total soil nitrogen of surface soils throughout North Carolina. Soil texture was an important co-factor but did not negate the positive impact of conservation management anywhere in the state. Woodland and grassland management were more effective at storing carbon and nitrogen than no-till cropland. These results will be important for agricultural advisors, farmers, extension specialists, and scientists in the region to promote more efficient, carbon-storing practices for agriculture to simultaneously meet the production and environmental demands needed to achieve a sustainable future. </w:t>
      </w:r>
      <w:r w:rsidR="004745A0"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6070-11000-010-000D</w:t>
      </w:r>
      <w:r w:rsidR="004745A0" w:rsidRPr="00107C19">
        <w:rPr>
          <w:rStyle w:val="title-text"/>
          <w:rFonts w:asciiTheme="minorHAnsi" w:hAnsiTheme="minorHAnsi" w:cstheme="minorHAnsi"/>
          <w:color w:val="000000" w:themeColor="text1"/>
        </w:rPr>
        <w:t>)</w:t>
      </w:r>
    </w:p>
    <w:p w14:paraId="02EDCC09" w14:textId="5505C846"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Scientists identify hibiscus, okra, and teaweed as alternate plant hosts for cotton leaf-roll dwarf virus (CLRDV).</w:t>
      </w:r>
      <w:r w:rsidRPr="00107C19">
        <w:rPr>
          <w:rStyle w:val="title-text"/>
          <w:rFonts w:asciiTheme="minorHAnsi" w:hAnsiTheme="minorHAnsi" w:cstheme="minorHAnsi"/>
          <w:color w:val="000000" w:themeColor="text1"/>
        </w:rPr>
        <w:t xml:space="preserve"> Identifying alternate host plants that can act as virus inoculum sources and vector reservoirs in the landscape is critical to understanding virus epidemics and mitigating disease spread. Cotton leafroll dwarf virus (CLRDV), a serious pathogen in cotton production, is transmitted by the cotton/melon aphid, but more information was needed about the role of alternate plant hosts in CLRDV establishment. ARS researchers in Auburn, Alabama, and University of Georgia and Auburn University collaborators examined 14 common plant species in the landscape to determine their potential as alternate hosts of CLRDV via aphid transmission assays. CLRDV was detected following inoculation in hibiscus, okra, palmer amaranth, and teaweed. Aphids feeding on CLRDV-infected teaweed, hibiscus, and okra alone were able to acquire CLRDV and transmit it back to non-infected cotton seedlings. This study demonstrated that plant hosts in the agricultural landscape can serve as CLRDV inoculum sources and as aphid reservoirs that may contribute to reoccurring CLRDV epidemics in the southeastern United States. Correctly identifying potential hosts and/or aphid reservoirs for CLRDV will be critical to developing future CLRDV control strategies. </w:t>
      </w:r>
      <w:r w:rsidR="004745A0"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6010-12610-008-000D</w:t>
      </w:r>
      <w:r w:rsidR="004745A0" w:rsidRPr="00107C19">
        <w:rPr>
          <w:rStyle w:val="title-text"/>
          <w:rFonts w:asciiTheme="minorHAnsi" w:hAnsiTheme="minorHAnsi" w:cstheme="minorHAnsi"/>
          <w:color w:val="000000" w:themeColor="text1"/>
        </w:rPr>
        <w:t>)</w:t>
      </w:r>
    </w:p>
    <w:p w14:paraId="77B93195" w14:textId="43A72F52"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Improving the long-term effectiveness of agricultural conservation practices on Chesapeake Bay health</w:t>
      </w:r>
      <w:r w:rsidRPr="00107C19">
        <w:rPr>
          <w:rStyle w:val="title-text"/>
          <w:rFonts w:asciiTheme="minorHAnsi" w:hAnsiTheme="minorHAnsi" w:cstheme="minorHAnsi"/>
          <w:color w:val="000000" w:themeColor="text1"/>
        </w:rPr>
        <w:t xml:space="preserve">. Implementing agricultural best management practices over the past decade has often failed to meet pollution reduction goals in the Chesapeake Bay watershed. ARS scientists in University Park, Pennsylvania, and Penn State University collaborators leveraged a technique called Lorenz Inequality, which is commonly used in economics to quantify income inequality, to assess why agricultural practices were not meeting targeted results. They found that a large majority of annual loads are transported during short time periods associated with high-flow events, while conservation practices are often most effective during smaller events. The prevalence of concentrated flow pathways (erosion channels) in riparian buffers allows stormwater to be “short-circuited” through these buffers, reducing their potential to mitigate pollutants. In addition, stream segments assessed before and after buffer implementation did not show consistent improvement in macroinvertebrate diversity, which makes it difficult to de-list these streams from the impaired list. Multi-zone buffers that position grass between the crops and forested section of a buffer help improve buffer effectiveness and reduce the potential </w:t>
      </w:r>
      <w:r w:rsidRPr="00107C19">
        <w:rPr>
          <w:rStyle w:val="title-text"/>
          <w:rFonts w:asciiTheme="minorHAnsi" w:hAnsiTheme="minorHAnsi" w:cstheme="minorHAnsi"/>
          <w:color w:val="000000" w:themeColor="text1"/>
        </w:rPr>
        <w:lastRenderedPageBreak/>
        <w:t xml:space="preserve">development of concentrated flow pathways. Three peer-reviewed manuscripts provide the data analysis and decision-making tools necessary for enhancing spatial targeting of conservation practices with a temporal targeting component. By better understanding the temporal variability of nutrient and sediment loads, solutions can be proposed that enable targeting to move from the “right practice in the right place” to the “right practice in the right place at the right time.” </w:t>
      </w:r>
      <w:r w:rsidR="004745A0"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8070-66000-001-000D</w:t>
      </w:r>
      <w:r w:rsidR="004745A0" w:rsidRPr="00107C19">
        <w:rPr>
          <w:rStyle w:val="title-text"/>
          <w:rFonts w:asciiTheme="minorHAnsi" w:hAnsiTheme="minorHAnsi" w:cstheme="minorHAnsi"/>
          <w:color w:val="000000" w:themeColor="text1"/>
        </w:rPr>
        <w:t>)</w:t>
      </w:r>
    </w:p>
    <w:p w14:paraId="16B029CE" w14:textId="7C5D15BD"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Cover crops benefit soil water availability and weed control.</w:t>
      </w:r>
      <w:r w:rsidRPr="00107C19">
        <w:rPr>
          <w:rStyle w:val="title-text"/>
          <w:rFonts w:asciiTheme="minorHAnsi" w:hAnsiTheme="minorHAnsi" w:cstheme="minorHAnsi"/>
          <w:color w:val="000000" w:themeColor="text1"/>
        </w:rPr>
        <w:t xml:space="preserve"> Cover crop interseeding, which refers to planting a cover crop into a standing cash crop to promote earlier establishment, can increase biomass production, which helps improve rain infiltration and reduce evaporation from soil. Soil water data collected for 4 years as part of the Cover Crop Systems Project at Beltsville, Maryland, indicated that soil water storage during the corn growing season was 10 to 20 mm (0.4 to 0.8 inches) greater in systems with interseeded cover crops than with no cover crop. Corn grain yields during 4 years were on average 24 bu/a (1.5 Mg/ha) greater with a cover crop, and average water use efficiency was also greater with a cover crop. Increased yield profits were more than sufficient to cover the cost of establishing cover crops and demonstrate the benefits of interseeded cover crops in U.S. humid regions. In other research, ARS researchers in Auburn, Alabama, conducted a 2-year field experiment to assess how a high biomass crimson clover cover crop and conservation tillage affect the critical timing of weed control (CTWR) and the critical weed free period (CWFP) in corn. The presence of a crimson clover cover crop delayed the CTWR and advanced the onset of CWFP, which reduced the time needed for weed control. During most of the growing season in both years, conservation tillage plus clover reduced weed biomass production more than in conventional tillage plots or conservation tillage with winter fallow. As research quantifies additional benefits of cover crops for improving soil water availability through increased water infiltration and the control of herbicide-resistant weeds, this will enable agricultural producers and policymakers to make informed decisions about implementing cover cropping practices. </w:t>
      </w:r>
      <w:r w:rsidR="004745A0"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8042-21660-005-000D and 6010-12610-007-000D</w:t>
      </w:r>
      <w:r w:rsidR="004745A0" w:rsidRPr="00107C19">
        <w:rPr>
          <w:rStyle w:val="title-text"/>
          <w:rFonts w:asciiTheme="minorHAnsi" w:hAnsiTheme="minorHAnsi" w:cstheme="minorHAnsi"/>
          <w:color w:val="000000" w:themeColor="text1"/>
        </w:rPr>
        <w:t>)</w:t>
      </w:r>
    </w:p>
    <w:p w14:paraId="7F407403" w14:textId="23DBD823"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Predicting cotton fiber quality</w:t>
      </w:r>
      <w:r w:rsidRPr="00107C19">
        <w:rPr>
          <w:rStyle w:val="title-text"/>
          <w:rFonts w:asciiTheme="minorHAnsi" w:hAnsiTheme="minorHAnsi" w:cstheme="minorHAnsi"/>
          <w:color w:val="000000" w:themeColor="text1"/>
        </w:rPr>
        <w:t xml:space="preserve">. Cotton fiber quality is a major economic concern for U.S. growers. While both cotton yield and quality are influenced by climate, soil, and management, decision support tools for cotton have primarily focused on yield. ARS scientists in Beltsville, Maryland, incorporated a cotton fiber quality modeling methodology into the existing ARS GOSSYM cotton model, which enables the model to predict how growth temperature and plant water and nutrient status will affect fiber micronaire (fiber fineness and maturity), staple length, uniformity, and strength. This inclusion of fiber quality is unique to cotton modeling and decision support efforts and can be a valuable tool for determining cotton fiber quality and optimizing production/fiber quality under varying environmental and management conditions. </w:t>
      </w:r>
      <w:r w:rsidR="004745A0"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8042-11660-001-000D</w:t>
      </w:r>
      <w:r w:rsidR="004745A0" w:rsidRPr="00107C19">
        <w:rPr>
          <w:rStyle w:val="title-text"/>
          <w:rFonts w:asciiTheme="minorHAnsi" w:hAnsiTheme="minorHAnsi" w:cstheme="minorHAnsi"/>
          <w:color w:val="000000" w:themeColor="text1"/>
        </w:rPr>
        <w:t>)</w:t>
      </w:r>
    </w:p>
    <w:p w14:paraId="66AF8F6C" w14:textId="24012941"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“Living filter” cannot reduce PFAS levels to proposed standards</w:t>
      </w:r>
      <w:r w:rsidRPr="00107C19">
        <w:rPr>
          <w:rStyle w:val="title-text"/>
          <w:rFonts w:asciiTheme="minorHAnsi" w:hAnsiTheme="minorHAnsi" w:cstheme="minorHAnsi"/>
          <w:color w:val="000000" w:themeColor="text1"/>
        </w:rPr>
        <w:t xml:space="preserve">. Reusing treated wastewater for irrigation is becoming increasingly widespread to reduce reliance on freshwater resources for agricultural production. However, emerging contaminants, such as pharmaceuticals and personal care products (PPCPs) and per- and polyfluoroalkyl substances (PFAS), can persist despite conventional wastewater treatment technologies and are inadvertently introduced into agricultural fields when treated wastewater is used for irrigation. The Pennsylvania State University main campus has its own water reclamation facility that treats all campus wastewater for beneficial reuse at an agricultural and </w:t>
      </w:r>
      <w:r w:rsidRPr="00107C19">
        <w:rPr>
          <w:rStyle w:val="title-text"/>
          <w:rFonts w:asciiTheme="minorHAnsi" w:hAnsiTheme="minorHAnsi" w:cstheme="minorHAnsi"/>
          <w:color w:val="000000" w:themeColor="text1"/>
        </w:rPr>
        <w:lastRenderedPageBreak/>
        <w:t xml:space="preserve">forested mixed-use site known as the “Living Filter.” The facility has been operating at full-scale for more than 40 years. ARS scientists in University Park, Pennsylvania, and Penn State University collaborators monitored the presence of PPCPs and PFAS in the wastewater influent, effluent, and 13 groundwater monitoring stations at the site. The results showed that the Living Filter significantly mitigates PPCPs before water percolates to groundwater; concentrations are up to two orders of magnitude lower in the groundwater compared to the wastewater effluent. However, results indicate the filter cannot reduce PFAS concentrations below existing state and proposed federal drinking water standards. These findings indicate long-term use of treated wastewater as an irrigation source may not be feasible if PFAS levels remain elevated in the treated effluent. </w:t>
      </w:r>
      <w:r w:rsidR="00F95019"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8070-66000-001-000D</w:t>
      </w:r>
      <w:r w:rsidR="00F95019" w:rsidRPr="00107C19">
        <w:rPr>
          <w:rStyle w:val="title-text"/>
          <w:rFonts w:asciiTheme="minorHAnsi" w:hAnsiTheme="minorHAnsi" w:cstheme="minorHAnsi"/>
          <w:color w:val="000000" w:themeColor="text1"/>
        </w:rPr>
        <w:t>)</w:t>
      </w:r>
    </w:p>
    <w:p w14:paraId="781E17A5" w14:textId="5AFEB290"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Repurposing legacy data for new uses.</w:t>
      </w:r>
      <w:r w:rsidRPr="00107C19">
        <w:rPr>
          <w:rStyle w:val="title-text"/>
          <w:rFonts w:asciiTheme="minorHAnsi" w:hAnsiTheme="minorHAnsi" w:cstheme="minorHAnsi"/>
          <w:color w:val="000000" w:themeColor="text1"/>
        </w:rPr>
        <w:t xml:space="preserve"> Many ARS locations and state experiment stations have crop and rangeland livestock production experiments that have lasted for more than 10 years. Information from these experiments could be used to help to understand responses to climate change, model crop and livestock production, or determine how vegetation changes affect livestock production. However, this valuable information is often recorded on handwritten sheets that are stored in file cabinets, which limits their use by other scientists. ARS scientists in Mandan, North Dakota, and Fort Collins, Colorado, started a project to digitize this data and store it at the National Agricultural Library (https://data.nal.usda.gov/LTLiveProd). Currently, the team has helped digitize and store seven different long-term datasets that range from 100 years of cattle weight gains from Mandan, North Dakota, to 12 years of pregnancy rates, calf weaning rates, and sale prices from the University of Nevada Agricultural Experiment Station in Austin, Nevada. Datasets include information from ARS and state experiment stations and cattle and sheep data. These long-term data sets are extremely valuable and efforts to preserve and make them more accessible are essential so scientists can use historical data to solve future problems. </w:t>
      </w:r>
      <w:r w:rsidR="00F95019"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3064-21660-004-000D and 2020-11000-013-000D</w:t>
      </w:r>
      <w:r w:rsidR="00F95019" w:rsidRPr="00107C19">
        <w:rPr>
          <w:rStyle w:val="title-text"/>
          <w:rFonts w:asciiTheme="minorHAnsi" w:hAnsiTheme="minorHAnsi" w:cstheme="minorHAnsi"/>
          <w:color w:val="000000" w:themeColor="text1"/>
        </w:rPr>
        <w:t>)</w:t>
      </w:r>
    </w:p>
    <w:p w14:paraId="357E06FC" w14:textId="684DDF34"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Soil microbial networks help soybeans respond to ozone pollution.</w:t>
      </w:r>
      <w:r w:rsidRPr="00107C19">
        <w:rPr>
          <w:rStyle w:val="title-text"/>
          <w:rFonts w:asciiTheme="minorHAnsi" w:hAnsiTheme="minorHAnsi" w:cstheme="minorHAnsi"/>
          <w:color w:val="000000" w:themeColor="text1"/>
        </w:rPr>
        <w:t xml:space="preserve"> Soybean is a major U.S. export crop with a total export value at $34 billion in 2022, and it is especially susceptible to ozone. As ozone pollution and warming substantially worsen, U.S. soybean yield is projected to decline 28 percent by the year 2050. To optimize crop yield for a growing global population and maintain healthy agricultural ecosystems, ARS researchers in Raleigh, North Carolina, identified a soybean cultivar that is tolerant to elevated ozone pollution and used genomic sequencing technology to identify soil microorganisms that might assist this cultivar in adapting to elevated ozone pollution. The study identified symbiotic bacteria and fungi associated with soybean nutrient allocation. The findings demonstrated that while ozone does not penetrate soil, ozone can affect soil microbial communities through plant-mediated processes in the root zone. Symbiotic bacteria supporting plant ozone adaptation could potentially be developed into biofertilizers that can enhance crop performance and improve agricultural ecosystems under environmental stress. </w:t>
      </w:r>
      <w:r w:rsidR="00F95019"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6070-11000-010-000D</w:t>
      </w:r>
      <w:r w:rsidR="00F95019" w:rsidRPr="00107C19">
        <w:rPr>
          <w:rStyle w:val="title-text"/>
          <w:rFonts w:asciiTheme="minorHAnsi" w:hAnsiTheme="minorHAnsi" w:cstheme="minorHAnsi"/>
          <w:color w:val="000000" w:themeColor="text1"/>
        </w:rPr>
        <w:t>)</w:t>
      </w:r>
    </w:p>
    <w:p w14:paraId="3EDEB6B5" w14:textId="7455611A" w:rsidR="003152AC" w:rsidRPr="00107C19" w:rsidRDefault="003152AC" w:rsidP="003152AC">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Perennial bioenergy crops help store more carbon in the soil.</w:t>
      </w:r>
      <w:r w:rsidRPr="00107C19">
        <w:rPr>
          <w:rStyle w:val="title-text"/>
          <w:rFonts w:asciiTheme="minorHAnsi" w:hAnsiTheme="minorHAnsi" w:cstheme="minorHAnsi"/>
          <w:color w:val="000000" w:themeColor="text1"/>
        </w:rPr>
        <w:t xml:space="preserve"> Perennial grasses are potential bioenergy feedstocks that might help improve soil health by sustaining soil biology, because they have extensive root systems and provide continuous ground cover, but it takes multiple years of perennial grass production to obtain these soil health benefits. ARS scientists in Sidney, Montana, evaluated how two perennial grass species grown with varying nitrogen fertilizer rates for 11 years affected soil </w:t>
      </w:r>
      <w:r w:rsidRPr="00107C19">
        <w:rPr>
          <w:rStyle w:val="title-text"/>
          <w:rFonts w:asciiTheme="minorHAnsi" w:hAnsiTheme="minorHAnsi" w:cstheme="minorHAnsi"/>
          <w:color w:val="000000" w:themeColor="text1"/>
        </w:rPr>
        <w:lastRenderedPageBreak/>
        <w:t xml:space="preserve">microbial communities compared to annual spring wheat (WH) grown with a typical amount of nitrogen fertilizer. Perennial grasses evaluated were intermediate wheatgrass (IWG) and switchgrass (SG) and each species was grown with nitrogen fertilization rates ranging from 0 to 84 kg N per hectare. Arbuscular mycorrhizal fungi (AMF) form a symbiotic association with plant roots and enhance the plant’s access to water and nutrients. The researchers found that adding more nitrogen reduced AMF and increased the proportion of bacteria correlated with carbon degradation, so the lower-input system was better. Both perennial grass species enhanced AMF and the type of bacteria related to greater carbon storage compared to WH, and SG promoted these beneficial microbial groups more effectively than IWG. Results from this study will help growers select bioenergy perennial grass species and nitrogen fertilizer rates that optimize soil biological health and enhance sustainable production. </w:t>
      </w:r>
      <w:r w:rsidR="00F95019" w:rsidRPr="00107C19">
        <w:rPr>
          <w:rStyle w:val="title-text"/>
          <w:rFonts w:asciiTheme="minorHAnsi" w:hAnsiTheme="minorHAnsi" w:cstheme="minorHAnsi"/>
          <w:color w:val="000000" w:themeColor="text1"/>
        </w:rPr>
        <w:t xml:space="preserve">(NP216, Project No. </w:t>
      </w:r>
      <w:r w:rsidRPr="00107C19">
        <w:rPr>
          <w:rStyle w:val="title-text"/>
          <w:rFonts w:asciiTheme="minorHAnsi" w:hAnsiTheme="minorHAnsi" w:cstheme="minorHAnsi"/>
          <w:color w:val="000000" w:themeColor="text1"/>
        </w:rPr>
        <w:t>3032-13210-007-000D</w:t>
      </w:r>
      <w:r w:rsidR="00F95019" w:rsidRPr="00107C19">
        <w:rPr>
          <w:rStyle w:val="title-text"/>
          <w:rFonts w:asciiTheme="minorHAnsi" w:hAnsiTheme="minorHAnsi" w:cstheme="minorHAnsi"/>
          <w:color w:val="000000" w:themeColor="text1"/>
        </w:rPr>
        <w:t>)</w:t>
      </w:r>
    </w:p>
    <w:p w14:paraId="56559722" w14:textId="77777777" w:rsidR="00144EDD" w:rsidRPr="00107C19" w:rsidRDefault="00144EDD" w:rsidP="006F3955">
      <w:pPr>
        <w:pStyle w:val="Heading3"/>
        <w:rPr>
          <w:b/>
          <w:bCs w:val="0"/>
        </w:rPr>
      </w:pPr>
      <w:bookmarkStart w:id="480" w:name="_Toc160186042"/>
      <w:r w:rsidRPr="00107C19">
        <w:rPr>
          <w:b/>
          <w:bCs w:val="0"/>
        </w:rPr>
        <w:t>Crop Production and Protection</w:t>
      </w:r>
      <w:bookmarkEnd w:id="480"/>
      <w:r w:rsidRPr="00107C19">
        <w:rPr>
          <w:b/>
          <w:bCs w:val="0"/>
        </w:rPr>
        <w:t xml:space="preserve"> </w:t>
      </w:r>
    </w:p>
    <w:p w14:paraId="6C73E976" w14:textId="77777777" w:rsidR="007A235D" w:rsidRPr="00107C19" w:rsidRDefault="00144EDD" w:rsidP="00014A0C">
      <w:pPr>
        <w:pStyle w:val="text"/>
        <w:rPr>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Deciphering the gene controlling the protein content locus in soybean.</w:t>
      </w:r>
      <w:r w:rsidRPr="00107C19">
        <w:rPr>
          <w:rFonts w:asciiTheme="minorHAnsi" w:hAnsiTheme="minorHAnsi" w:cstheme="minorHAnsi"/>
          <w:color w:val="000000" w:themeColor="text1"/>
        </w:rPr>
        <w:t xml:space="preserve"> Seed protein content in U.S. commercial soybean cultivars released over the past several decades has gradually decreased to levels below the threshold required in the animal feed industry, which impacts competitiveness of U.S. soybean in the export market. ARS scientists in Beltsville, Maryland, and Columbia, Missouri, collaborated with university scientists to identify the location of the key gene regulating soybean seed protein content and found an insertion in the gene, which they named POWER1, was responsible for the negative relationship that reduced protein and increased seed weight/oil content in soybean during breeding. They also found that when the gene lacked the insertion, soybean protein content was consistently higher than normal. The results provide the foundation to further understand the molecular mechanism underlying the trait and to design new strategies for efficiently improving soybean seed quality through genome editing and molecular breeding approaches. These results also increase the chances of simultaneously improving soybean seed protein, oil, and yield without negative impacts on any of these economically important traits. (NP 301, C1, PS1A Project No. 5070-21000-043-000D)</w:t>
      </w:r>
    </w:p>
    <w:p w14:paraId="176A2631" w14:textId="0A7B084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Reducing agricultural greenhouse gas production</w:t>
      </w:r>
      <w:r w:rsidRPr="00107C19">
        <w:rPr>
          <w:rStyle w:val="title-text"/>
          <w:rFonts w:asciiTheme="minorHAnsi" w:hAnsiTheme="minorHAnsi" w:cstheme="minorHAnsi"/>
          <w:color w:val="000000" w:themeColor="text1"/>
        </w:rPr>
        <w:t>. More than 80 percent of the natural and synthetic nitrogen incorporated into our food systems is lost before it reaches the consumer.  This inefficiency accounts for 97 percent of U.S. agricultural greenhouse gas emissions (nitrous oxide, methane) and more than 60 percent of water pollution by nitrates. The CERCA (Circular Economy for Reimagining Corn Agriculture) project, launched this year by ARS, focuses on corn, the single largest player in the U.S. agricultural nitrogen system. The goal of CERCA is to develop corn genetic resources that, in concert with agronomic practices, can shift the corn growing season earlier to capture natural soil nitrogen more efficiently, reduce corn’s intrinsic need for nitrogen, and recycle nitrogen back to the soil at the end of season (currently the case with perennial plants). The CERCA project is led by ARS scientists from across the country and university collaborators (27 total labs, led by Cornell) whose integrated research program encompasses crop modeling, agronomy, genetics, and physiology to accomplish these goals. (NP 301, C1, PS1B, Project No. 8062-21000-043-000D)</w:t>
      </w:r>
    </w:p>
    <w:p w14:paraId="0602837C"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McDonald’s accepts ‘Teton Russet’ potato as Gold Standard variety for their French fries</w:t>
      </w:r>
      <w:r w:rsidRPr="00107C19">
        <w:rPr>
          <w:rStyle w:val="title-text"/>
          <w:rFonts w:asciiTheme="minorHAnsi" w:hAnsiTheme="minorHAnsi" w:cstheme="minorHAnsi"/>
          <w:color w:val="000000" w:themeColor="text1"/>
        </w:rPr>
        <w:t xml:space="preserve">. ‘Teton Russet’, a new potato variety developed by ARS scientists in Aberdeen, Idaho, and university </w:t>
      </w:r>
      <w:r w:rsidRPr="00107C19">
        <w:rPr>
          <w:rStyle w:val="title-text"/>
          <w:rFonts w:asciiTheme="minorHAnsi" w:hAnsiTheme="minorHAnsi" w:cstheme="minorHAnsi"/>
          <w:color w:val="000000" w:themeColor="text1"/>
        </w:rPr>
        <w:lastRenderedPageBreak/>
        <w:t>cooperators, was accepted by McDonald’s for French fry production. This variety has higher vitamin C and protein and lower asparagine contents than the industry standard ‘Russet Burbank’. Lower asparagine content contributes to reducing carcinogenic acrylamide levels in fries and other processed potato products. McDonald’s currently accepts only eight potato varieties for its French fry processing worldwide, five of which are from ARS breeding program. The ARS-university potato breeding team was also awarded a Technology Transfer award by the ARS Pacific West Area for collaborative research that led to the variety’s development. The team included ARS, Oregon State University, and Washington State University scientists and the Pacific Northwest Potato Variety Management Institute, led by Washington State, Idaho, and Oregon potato commissions. (NP031, C1, PS1A, Project No. 2050-21000-036-000D)</w:t>
      </w:r>
    </w:p>
    <w:p w14:paraId="6AF1DCEF" w14:textId="2CF93993"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major QTL associated with peanut smut resistance</w:t>
      </w:r>
      <w:r w:rsidRPr="00107C19">
        <w:rPr>
          <w:rStyle w:val="title-text"/>
          <w:rFonts w:asciiTheme="minorHAnsi" w:hAnsiTheme="minorHAnsi" w:cstheme="minorHAnsi"/>
          <w:color w:val="000000" w:themeColor="text1"/>
        </w:rPr>
        <w:t>. Peanut smut is not currently found in the United States but has been devastating peanut production in Argentina. It is a serious emerging disease that threatens peanut production worldwide, including the United States. The value of the U.S. peanut crop is greater than $1 billion annually, and finding genetic resistance to smut preemptively will protect the U.S. peanut industry by enabling rapid development of smut-resistant cultivars in case the pathogen arrives in the United States. ARS researchers in Stillwater, Oklahoma, and Tifton, Georgia, with colleagues in Argentina, Alabama, and Georgia, identified a major quantitative trait locus (QTL) that is associated with strong resistance to peanut smut, and tracked it to chromosome 12 of peanut. Accurate DNA markers for this QTL were developed, and multiple public peanut breeding programs within the United States and Argentina are effectively applying those markers to select peanut lines with resistance to that disease. (NP 301, C1, PS 1A, Project No.  3070-21220-008-000D)</w:t>
      </w:r>
    </w:p>
    <w:p w14:paraId="64445CC2"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Improved club wheat variety ‘Cameo’ available in Fall 2023.</w:t>
      </w:r>
      <w:r w:rsidRPr="00107C19">
        <w:rPr>
          <w:rStyle w:val="title-text"/>
          <w:rFonts w:asciiTheme="minorHAnsi" w:hAnsiTheme="minorHAnsi" w:cstheme="minorHAnsi"/>
          <w:color w:val="000000" w:themeColor="text1"/>
        </w:rPr>
        <w:t xml:space="preserve"> Club wheat, a major export commodity, is grown commercially only in the U.S. Pacific Northwest. Farmers need new club wheat cultivars with improved disease resistance and end use quality to remain commercially competitive. ARS scientists in Pullman, Washington, and Washington State University collaborators developed the new ‘Cameo’ club wheat cultivar through classical and molecular breeding techniques. Compared to other club wheat cultivars grown in eastern Washington and northern Idaho, Cameo has better agronomic performance, better stripe rust resistance, greater tolerance to soilborne mosaic virus and acid soils, and similar excellent club wheat quality. Cameo was available as registered seed to seed companies and farmers in the region in the fall of 2023. (NP301, C1, PSA, Project No. 2090-21000-033-000D) </w:t>
      </w:r>
    </w:p>
    <w:p w14:paraId="07F6CCF9"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Release of new USDA-ARS hop cultivar ‘Vista’. </w:t>
      </w:r>
      <w:r w:rsidRPr="00107C19">
        <w:rPr>
          <w:rStyle w:val="title-text"/>
          <w:rFonts w:asciiTheme="minorHAnsi" w:hAnsiTheme="minorHAnsi" w:cstheme="minorHAnsi"/>
          <w:color w:val="000000" w:themeColor="text1"/>
        </w:rPr>
        <w:t>New high-yielding hop cultivars with improved traits are needed to advance the U.S. hop industry. ARS scientists in Corvallis, Oregon, and Oregon State University collaborators released ‘USDA Vista’, a high yielding, disease-tolerant aroma line. In 2022 this cultivar was planted on approximately 50 acres across the U.S. Pacific Northwest with additional acres planted during 2023. The release of this new cultivar provides brewers with a new hop cultivar with a unique flavor profile that excels in India pale ale (IPA) and pale ale styles but also has niche use in fruity sour beers. U.S. producers benefit from the production of a high-yielding new cultivar that is seedless and picks cleanly. Additionally, the cultivar is harvested later than other cultivars and allows a grower to add production acreage without eliminating other hop lines currently in their inventory. (NP301, C1, PS1A, 2072-21000-051-000D)</w:t>
      </w:r>
    </w:p>
    <w:p w14:paraId="11808D63"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Climate change impacts on the USDA/ARS National Plant Germplasm System</w:t>
      </w:r>
      <w:r w:rsidRPr="00107C19">
        <w:rPr>
          <w:rStyle w:val="title-text"/>
          <w:rFonts w:asciiTheme="minorHAnsi" w:hAnsiTheme="minorHAnsi" w:cstheme="minorHAnsi"/>
          <w:color w:val="000000" w:themeColor="text1"/>
        </w:rPr>
        <w:t>. Rapid global warming (climate change) is affecting plant germplasm in genebanks and in nature throughout the United States. ARS researchers in Fort Collins, Colorado; Pullman, Washington; Beltsville, Maryland, and university and botanical garden cooperators published the first systematic assessment of the current and possible future impacts of climate change on USDA/ARS National Plant Germplasm System (NPGS) conservation operations. Specific examples describe how higher temperature and drought currently affect genebank operations. In addition, a web-based application was developed to provide NPGS genebank managers with predictions for future temperatures and rainfall at their specific locations. Strategies for adapting NPGS genebank operations to climate change were developed. The importance of plant germplasm for enabling human society to adapt to climate change was also explained in an e-book. These publications disseminate recommendations and tools that represent critical first steps for safeguarding plant germplasm in the NPGS and other genebanks to ensure its long-term access for research and breeding. (NP 301, C 2, PS2A, Project No. 3012-21000-015-000D)</w:t>
      </w:r>
    </w:p>
    <w:p w14:paraId="669876E6"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The MAGIC peanut: a new tool for peanut research and breeding</w:t>
      </w:r>
      <w:r w:rsidRPr="00107C19">
        <w:rPr>
          <w:rStyle w:val="title-text"/>
          <w:rFonts w:asciiTheme="minorHAnsi" w:hAnsiTheme="minorHAnsi" w:cstheme="minorHAnsi"/>
          <w:color w:val="000000" w:themeColor="text1"/>
        </w:rPr>
        <w:t>. Populations derived from the crosses of two parents have been the standard research tool used in mapping peanut genes. But this approach hindered developing genetic markers for agronomic traits because of the structure of the peanut genomes. Applying recent advances in genome sequencing and computational bioinformatics, ARS researchers in Tifton, Georgia, developed a multi-parent advanced generation inter-cross (MAGIC) population composed of more than 2,700 genetically-distinct lines derived from 8 diverse parents. Based on analyses of 310 of those lines, the MAGIC Peanut population contains a balanced and even representation of genetic material from all 8 parents. This MAGIC Peanut will be made available to the peanut research and breeding community to facilitate the genetic mapping of key traits such as disease resistance, high oleic acid, and shelling percentage, which will enable breeding high yielding peanuts with better disease resistance and quality. (NP 301, C1, PSA, PSB, Project No. 6048-21000-028-000D)</w:t>
      </w:r>
    </w:p>
    <w:p w14:paraId="297B17FA" w14:textId="70229590"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Chickpeas for alternative protein content and better human nutrition</w:t>
      </w:r>
      <w:r w:rsidRPr="00107C19">
        <w:rPr>
          <w:rStyle w:val="title-text"/>
          <w:rFonts w:asciiTheme="minorHAnsi" w:hAnsiTheme="minorHAnsi" w:cstheme="minorHAnsi"/>
          <w:color w:val="000000" w:themeColor="text1"/>
        </w:rPr>
        <w:t>. In general, overconsumption of saturated fatty acids is associated with health risks, including Type II diabetes and coronary artery disease (CAD), whereas consumption of unsaturated fatty acids is associated with health benefits. Chickpea is a rich source of protein and dietary minerals, but little was known about the concentrations of different fatty acids in chickpea or how these traits were inherited. That lack of knowledge impeded progress for developing chickpeas with reduced concentrations of palmitic acid, an undesirable saturated fatty acid in human foods. ARS researchers in Pullman, Washington, and Clemson University collaborators evaluated concentrations of oleic acid, linoleic acid, alpha linolenic acid, and palmitic acid in diverse chickpea lines and commercial varieties and identified lines with up to 46 percent and 72 percent of the recommended daily allowances of the unsaturated fatty acids linolenic acid and alpha-linoleic acid, respectively. They identified genetic markers associated with concentrations of palmitic acid, along with several genes that may be involved in regulating concentrations of fatty acids in chickpea. Other collaborators are incorporating lines identified with low palmitic acid concentrations into breeding programs to develop new chickpea varieties with more nutritious fatty acid profiles that can contribute to improved health. (NP 301, C1, PS 1B, Project No.  2090-21000-034-000D)</w:t>
      </w:r>
    </w:p>
    <w:p w14:paraId="0A5B6FB5"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Artificial intelligence enhances analyzing plant protein sequence variations</w:t>
      </w:r>
      <w:r w:rsidRPr="00107C19">
        <w:rPr>
          <w:rStyle w:val="title-text"/>
          <w:rFonts w:asciiTheme="minorHAnsi" w:hAnsiTheme="minorHAnsi" w:cstheme="minorHAnsi"/>
          <w:color w:val="000000" w:themeColor="text1"/>
        </w:rPr>
        <w:t>. For decades determining three-dimensional (3-D) plant protein structures was time-consuming and costly, which impeded research in plant structural biology and functional genomics by limiting protein comparisons and understanding their roles and utility for trait improvement. ARS scientists in Ames, Iowa, developed a suite of powerful tools that employs machine learning for rapid 3-D protein structure prediction and analysis, which dramatically streamlines protein comparisons within maize and across diverse species, from crops to humans and yeast. This technological achievement paves the way for deeper explorations of maize's genetic diversity, accelerating research and enhancing our understanding of maize gene functions, ultimately driving advancements for improving crucial maize traits. (NP 301, C4, PSA, Project No. 6028-21000-011-000D)</w:t>
      </w:r>
    </w:p>
    <w:p w14:paraId="5859D78C"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Impacts of sorghum starch on human gut microbiome</w:t>
      </w:r>
      <w:r w:rsidRPr="00107C19">
        <w:rPr>
          <w:rStyle w:val="title-text"/>
          <w:rFonts w:asciiTheme="minorHAnsi" w:hAnsiTheme="minorHAnsi" w:cstheme="minorHAnsi"/>
          <w:color w:val="000000" w:themeColor="text1"/>
        </w:rPr>
        <w:t xml:space="preserve">. Sorghum containing mutations in the Granule Bound Starch Synthase gene (also termed ‘waxy’) produces grain with altered starch composition. This altered starch composition affects the physical properties of the starch and increases its digestibility. ARS and University of Nebraska researchers in Lincoln, Nebraska, used in vitro experiments and mouse models to examine how normal and waxy sorghum grain affect the human colon microbiome. The normal sorghum starch was more resistant to digestion, which increased bacteria populations beneficial to human health, compared to waxy grain, which has potentially undesirable effects on the human gut microbiome. But mixing starch from normal sorghum with waxy grain starch restored the growth of these beneficial bacteria. Examining the effects of grain starch traits on the human microbiome opens new avenues for improving sorghum to benefit human health. (NP301, C3, PSA, Project No. 3042-21220-033-000D) </w:t>
      </w:r>
    </w:p>
    <w:p w14:paraId="1BAC43F9"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ARS has the world’s largest hemp genetic resource collection</w:t>
      </w:r>
      <w:r w:rsidRPr="00107C19">
        <w:rPr>
          <w:rStyle w:val="title-text"/>
          <w:rFonts w:asciiTheme="minorHAnsi" w:hAnsiTheme="minorHAnsi" w:cstheme="minorHAnsi"/>
          <w:color w:val="000000" w:themeColor="text1"/>
        </w:rPr>
        <w:t>. To expand and underpin domestic and international production of hemp as a grain, fiber, and secondary metabolite crop, plant breeders and researchers need access to highly genetically and geographically diverse hemp genetic resources (HGR). But until 2 years ago, few such genetic resources were publicly available. At the direction of Congress, the USDA-ARS National Plant Germplasm System (NPGS) genebank in Geneva, New York, established a HGR collection that is now the largest in the world, and the only one with substantial associated-trait data such as cannabinoid profile, plant architectural traits, and other critical agronomic characters. Newly acquired diverse HGR were evaluated at five unique growing environments resulting in 11,000+ data points which were generated in accordance with the USDA/ARS Hemp Phenotyping Handbook. These data are now available at the NPGS Germplasm Resource Information Network (GRIN)-Global. The ARS Cotton Quality Laboratory in New Orleans, Louisiana, the ARS National Center for  Agricultural Utilization Research in Peoria, Illinois, and university cooperators also generated additional fiber, secondary metabolite, and seed fatty acid/protein data. Providing access to highly characterized HGR can substantially intensify and accelerate hemp breeding and research for developing high-value and locally adapted hemp cultivars and other HGR. (NP 301 , C2, PS2, Project No. 8060-21000-034-000D)</w:t>
      </w:r>
    </w:p>
    <w:p w14:paraId="4DA21334" w14:textId="05EEC83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‘USDA Lumina’ strawberry cultivar released</w:t>
      </w:r>
      <w:r w:rsidRPr="00107C19">
        <w:rPr>
          <w:rStyle w:val="title-text"/>
          <w:rFonts w:asciiTheme="minorHAnsi" w:hAnsiTheme="minorHAnsi" w:cstheme="minorHAnsi"/>
          <w:color w:val="000000" w:themeColor="text1"/>
        </w:rPr>
        <w:t xml:space="preserve">. Strawberries that fruit early in the strawberry season are highly desirable to capture higher prices and attract customers to U-pick farms early each year. Several early-season cultivars are available, but each </w:t>
      </w:r>
      <w:r w:rsidR="00717D71" w:rsidRPr="00107C19">
        <w:rPr>
          <w:rStyle w:val="title-text"/>
          <w:rFonts w:asciiTheme="minorHAnsi" w:hAnsiTheme="minorHAnsi" w:cstheme="minorHAnsi"/>
          <w:color w:val="000000" w:themeColor="text1"/>
        </w:rPr>
        <w:t>lack</w:t>
      </w:r>
      <w:r w:rsidRPr="00107C19">
        <w:rPr>
          <w:rStyle w:val="title-text"/>
          <w:rFonts w:asciiTheme="minorHAnsi" w:hAnsiTheme="minorHAnsi" w:cstheme="minorHAnsi"/>
          <w:color w:val="000000" w:themeColor="text1"/>
        </w:rPr>
        <w:t xml:space="preserve"> one or more key traits. ARS researchers in Beltsville, Maryland, released ‘USDA Lumina’, an early-season strawberry that combines all these key traits: </w:t>
      </w:r>
      <w:r w:rsidRPr="00107C19">
        <w:rPr>
          <w:rStyle w:val="title-text"/>
          <w:rFonts w:asciiTheme="minorHAnsi" w:hAnsiTheme="minorHAnsi" w:cstheme="minorHAnsi"/>
          <w:color w:val="000000" w:themeColor="text1"/>
        </w:rPr>
        <w:lastRenderedPageBreak/>
        <w:t>winter-hardiness; high yield; resistance to anthracnose fruit rot and low botrytis fruit rot; and large, sweet, beautiful fruits that do not split open in the field or turn dark in refrigerated storage. USDA Lumina plants were sent to three U.S. nurseries and one Canadian nursery for propagation and a U.S. plant patent application is in process. USDA Lumina is expected to have the greatest value to growers in the U.S. Mid-Atlantic regions and other regions with hot growing conditions where other cultivars fail to perform. (NP301, C1, PS1A, 8042-21220-257-000D)</w:t>
      </w:r>
    </w:p>
    <w:p w14:paraId="4AC9DC4C"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Predicting optimal cross combinations to accelerate soybean genetic improvement</w:t>
      </w:r>
      <w:r w:rsidRPr="00107C19">
        <w:rPr>
          <w:rStyle w:val="title-text"/>
          <w:rFonts w:asciiTheme="minorHAnsi" w:hAnsiTheme="minorHAnsi" w:cstheme="minorHAnsi"/>
          <w:color w:val="000000" w:themeColor="text1"/>
        </w:rPr>
        <w:t>. Parental selection and crossing to combine traits from desirable parents are the first essential steps in plant breeding. Usually, these crossing decisions are based on information about pedigrees, parental genotypes, or specific desirable traits. Soybean breeding population development can take 5 or more years, so poor choices for cross combinations can impede breeding progress for years. ARS researchers in Beltsville, Maryland, and University of Georgia collaborators developed genetic marker-based selection models, evaluated their predictive accuracy for soybean seed yield, and identified the best predictive models under different experimental conditions. The predictive models can be applied to soybean as well as other crop breeding programs at the earliest stage of the breeding cycle to accelerate genetic gain and reduce the number of breeding cycles needed to produce a cultivar. (NP 301, C3, PS 3B, Project No.  8042-21000-289-000D)</w:t>
      </w:r>
    </w:p>
    <w:p w14:paraId="6E404554"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‘USDA Fortress’, an improved winter feed barley</w:t>
      </w:r>
      <w:r w:rsidRPr="00107C19">
        <w:rPr>
          <w:rStyle w:val="title-text"/>
          <w:rFonts w:asciiTheme="minorHAnsi" w:hAnsiTheme="minorHAnsi" w:cstheme="minorHAnsi"/>
          <w:color w:val="000000" w:themeColor="text1"/>
        </w:rPr>
        <w:t>. The acreage devoted to feed barley was equal to that of wheat in Oklahoma until the 1970s, but in the past 5 years, interest has increased in growing barley as an alternative to wheat. The last feed barley cultivar released in Oklahoma in 1990 was resistant to greenbug (GB) feeding but did not have resistance to the new invasive pest Russian wheat aphid (RWA). ARS researchers in Stillwater, Oklahoma, developed and released ‘USDA Fortress’, a new winter feed barley and the first U.S. barley with resistance to GB, RWA, and the new invasive aphid Hedgehog grain aphid. It received USDA plant variety protection and is licensed to Oklahoma Genetics, Inc. for seed production. (NP301, C1, PSB, Project No. 3070-21000-009-000D)</w:t>
      </w:r>
    </w:p>
    <w:p w14:paraId="3C3C2551"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Genetic resources for breeding drought-tolerant lentils</w:t>
      </w:r>
      <w:r w:rsidRPr="00107C19">
        <w:rPr>
          <w:rStyle w:val="title-text"/>
          <w:rFonts w:asciiTheme="minorHAnsi" w:hAnsiTheme="minorHAnsi" w:cstheme="minorHAnsi"/>
          <w:color w:val="000000" w:themeColor="text1"/>
        </w:rPr>
        <w:t>. The annual U.S. market value for lentils, an important pulse crop containing high-quality protein and other important nutrients, was $180 million in 2023. But rapid global warming challenges U.S. lentil production, and traits for adaptation to extreme temperatures are needed. ARS researchers in Pullman, Washington, and university collaborators evaluated several hundred lentil samples in the U.S. National Plant Germplasm System genebank with high-throughput reflectance methods and multispectral radiometers and identified several samples with drought tolerant attributes. Breeders can use these samples to obtain traits to breed resilient, drought-tolerant lentils for sustainable agricultural production to benefit both lentil growers and consumers. (NP301 C2, PSA 2A, Project No.  2023 2090-21000-037-000D)</w:t>
      </w:r>
    </w:p>
    <w:p w14:paraId="77820A04"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Breeding Insight powers ARS breeding</w:t>
      </w:r>
      <w:r w:rsidRPr="00107C19">
        <w:rPr>
          <w:rStyle w:val="title-text"/>
          <w:rFonts w:asciiTheme="minorHAnsi" w:hAnsiTheme="minorHAnsi" w:cstheme="minorHAnsi"/>
          <w:color w:val="000000" w:themeColor="text1"/>
        </w:rPr>
        <w:t xml:space="preserve">.  Specialty crop and livestock are central to human nutrition, wellbeing, and cultural preservation. Together their production is responsible for more than $150 billion in cash receipts annually. ARS and university partner teams who breed these species develop outstanding biological and practical know-how but often lack specialized expertise in DNA-based genomics-powered breeding or advanced information technologies. ARS and Cornell University’s collaborative Breeding Insight project centralizes that expertise and adds flexibility to apply advanced genomic and information/automation technologies for the genetic improvement of diverse species </w:t>
      </w:r>
      <w:r w:rsidRPr="00107C19">
        <w:rPr>
          <w:rStyle w:val="title-text"/>
          <w:rFonts w:asciiTheme="minorHAnsi" w:hAnsiTheme="minorHAnsi" w:cstheme="minorHAnsi"/>
          <w:color w:val="000000" w:themeColor="text1"/>
        </w:rPr>
        <w:lastRenderedPageBreak/>
        <w:t>across the country. The project expanded its support to genetic improvement of 19 agricultural species in 2023, encompassing 32 breeding teams located in 18 states. Genomic markers that accelerate breeding were developed for an additional 5 species. Information and machine learning technologies powered the integration of historical data and automated the collection of new field data for 18 species, resulting in a 190 percent increase in database records available as compared to 2022. In sugarcane, blueberry, citrus, and sweet potato, for example, ARS breeders are collecting data faster and with fewer errors and, for first time, leveraging all aggregated historical datasets to improve precision in selection. Breeding Insight enables U.S. breeders to accelerate the delivery of more nutritious, climate-resilient crops and livestock. (NP301, C2, PSA, C4, PSA, Project No. 8062-21000-043-000D)</w:t>
      </w:r>
    </w:p>
    <w:p w14:paraId="40A74970"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Stacking rust and downy mildew resistance genes from wild relatives of sunflower</w:t>
      </w:r>
      <w:r w:rsidRPr="00107C19">
        <w:rPr>
          <w:rStyle w:val="title-text"/>
          <w:rFonts w:asciiTheme="minorHAnsi" w:hAnsiTheme="minorHAnsi" w:cstheme="minorHAnsi"/>
          <w:color w:val="000000" w:themeColor="text1"/>
        </w:rPr>
        <w:t>. Rust and downy mildew (DM), serious fungal diseases that lower crop yield and quality in confection sunflowers worldwide, have become more important in North America in recent years as the pathogens evolved to overcome host-plant resistance. Combining multiple genes (stacking) is a common practice in crop breeding to ensure longer lasting resistance. ARS scientists in Fargo, North Dakota, and North Dakota State University colleagues developed two triple-stacked confection sunflower germplasm lines with two rust and one DM gene conferring resistance to the most common and serious races of rust and DM. Genetic markers for the three genes were also provided to facilitate stacking these genes. These multiple disease-resistant lines provide the sunflower industry with long-lasting sources of disease resistance for the continued improvement of the crop. (NP 301, C1, PS 1B, Project No. 3060-21000-043-000D).</w:t>
      </w:r>
    </w:p>
    <w:p w14:paraId="12FAFC93"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Pima and Upland cotton germplasm with resistance to </w:t>
      </w:r>
      <w:r w:rsidRPr="00107C19">
        <w:rPr>
          <w:rStyle w:val="title-text"/>
          <w:rFonts w:asciiTheme="minorHAnsi" w:hAnsiTheme="minorHAnsi" w:cstheme="minorHAnsi"/>
          <w:b/>
          <w:bCs/>
          <w:i/>
          <w:iCs/>
          <w:color w:val="000000" w:themeColor="text1"/>
        </w:rPr>
        <w:t>Fusarium</w:t>
      </w:r>
      <w:r w:rsidRPr="00107C19">
        <w:rPr>
          <w:rStyle w:val="title-text"/>
          <w:rFonts w:asciiTheme="minorHAnsi" w:hAnsiTheme="minorHAnsi" w:cstheme="minorHAnsi"/>
          <w:b/>
          <w:bCs/>
          <w:color w:val="000000" w:themeColor="text1"/>
        </w:rPr>
        <w:t xml:space="preserve"> wilt</w:t>
      </w:r>
      <w:r w:rsidRPr="00107C19">
        <w:rPr>
          <w:rStyle w:val="title-text"/>
          <w:rFonts w:asciiTheme="minorHAnsi" w:hAnsiTheme="minorHAnsi" w:cstheme="minorHAnsi"/>
          <w:color w:val="000000" w:themeColor="text1"/>
        </w:rPr>
        <w:t xml:space="preserve">. For almost 2 decades, the  soilborne fungal pathogen </w:t>
      </w:r>
      <w:r w:rsidRPr="00107C19">
        <w:rPr>
          <w:rStyle w:val="title-text"/>
          <w:rFonts w:asciiTheme="minorHAnsi" w:hAnsiTheme="minorHAnsi" w:cstheme="minorHAnsi"/>
          <w:i/>
          <w:iCs/>
          <w:color w:val="000000" w:themeColor="text1"/>
        </w:rPr>
        <w:t>Fusarium oxysporum</w:t>
      </w:r>
      <w:r w:rsidRPr="00107C19">
        <w:rPr>
          <w:rStyle w:val="title-text"/>
          <w:rFonts w:asciiTheme="minorHAnsi" w:hAnsiTheme="minorHAnsi" w:cstheme="minorHAnsi"/>
          <w:color w:val="000000" w:themeColor="text1"/>
        </w:rPr>
        <w:t xml:space="preserve"> f. sp. </w:t>
      </w:r>
      <w:r w:rsidRPr="00107C19">
        <w:rPr>
          <w:rStyle w:val="title-text"/>
          <w:rFonts w:asciiTheme="minorHAnsi" w:hAnsiTheme="minorHAnsi" w:cstheme="minorHAnsi"/>
          <w:i/>
          <w:iCs/>
          <w:color w:val="000000" w:themeColor="text1"/>
        </w:rPr>
        <w:t>vasinfectum</w:t>
      </w:r>
      <w:r w:rsidRPr="00107C19">
        <w:rPr>
          <w:rStyle w:val="title-text"/>
          <w:rFonts w:asciiTheme="minorHAnsi" w:hAnsiTheme="minorHAnsi" w:cstheme="minorHAnsi"/>
          <w:color w:val="000000" w:themeColor="text1"/>
        </w:rPr>
        <w:t>, race 4 (FOV4) has impacted cotton production in California’s San Joaquin Valley, causing plant wilt and death and millions of dollars in economic losses. Recently, this pathogen was identified in New Mexico and near the Texas High Plains, the largest Upland cotton producing region in the United States, and U.S. cotton growers urgently need resistant commercial cotton varieties. ARS scientists in Lubbock, Texas, developed three Pima-like cotton germplasm lines with improved resistance to FOV4 by crossing cotton lines from the United States and Uzbekistan. They also worked with university cooperators to develop and release 17 Upland cotton germplasm lines with improved resistance to FOV4. These lines were derived from 6 diverse cross-combinations of 10 parental lines with different genetic backgrounds. This is the first set of Upland cotton germplasm with FOV4 resistance released to the public. Improved FOV4 resistance in commercial cotton will reduce the vulnerability of the cotton industry to this fungal pathogen and help avoid the production disruptions that affected cotton fields in California, Texas, and New Mexico. (NP301, C1, PSA, Project No. 3096-21000-022-000D)</w:t>
      </w:r>
    </w:p>
    <w:p w14:paraId="58FF0F51" w14:textId="244B122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Genetic markers for key reproductive trait in mangos</w:t>
      </w:r>
      <w:r w:rsidRPr="00107C19">
        <w:rPr>
          <w:rStyle w:val="title-text"/>
          <w:rFonts w:asciiTheme="minorHAnsi" w:hAnsiTheme="minorHAnsi" w:cstheme="minorHAnsi"/>
          <w:color w:val="000000" w:themeColor="text1"/>
        </w:rPr>
        <w:t xml:space="preserve">. Most fruit trees are highly variable genetically and are propagated clonally by cuttings and grafting, which maintains the gene combinations for controlling horticulturally important traits. That is the case for mango, one of the most important tree fruits with a $60 billion+ global industry value. For some mango trees, a complicated reproductive system involves “polyembryony”, which usually results in embryos that are genetically identical to the mother plant and therefore can enable clonal propagation of mango cultivars through seeds, thus </w:t>
      </w:r>
      <w:r w:rsidRPr="00107C19">
        <w:rPr>
          <w:rStyle w:val="title-text"/>
          <w:rFonts w:asciiTheme="minorHAnsi" w:hAnsiTheme="minorHAnsi" w:cstheme="minorHAnsi"/>
          <w:color w:val="000000" w:themeColor="text1"/>
        </w:rPr>
        <w:lastRenderedPageBreak/>
        <w:t>bypassing grafting cuttings. But introducing the polyembryony trait into important cultivars through breeding requires several years, because breeding lines must set fruits and then polyembryonic traits must be selected. Developing genetic markers associated with polyembryony will enable identifying polyembryonic seedlings very early in the breeding cycle. ARS scientists in Miami, Florida, applied genome sequencing and genome-trait association methods to identify molecular markers for the polyembryony trait in mangoes. This can help accelerate selecting and incorporating the polyembryony trait in mango, and potentially also provide important insights for manipulating the polyembryony trait in other crops. (NP301</w:t>
      </w:r>
      <w:r w:rsidR="00F46FC7" w:rsidRPr="00107C19">
        <w:rPr>
          <w:rStyle w:val="title-text"/>
          <w:rFonts w:asciiTheme="minorHAnsi" w:hAnsiTheme="minorHAnsi" w:cstheme="minorHAnsi"/>
          <w:color w:val="000000" w:themeColor="text1"/>
        </w:rPr>
        <w:t>,</w:t>
      </w:r>
      <w:r w:rsidRPr="00107C19">
        <w:rPr>
          <w:rStyle w:val="title-text"/>
          <w:rFonts w:asciiTheme="minorHAnsi" w:hAnsiTheme="minorHAnsi" w:cstheme="minorHAnsi"/>
          <w:color w:val="000000" w:themeColor="text1"/>
        </w:rPr>
        <w:t xml:space="preserve"> C2, PS 2A, Project No. 6038-21000-024-000D)</w:t>
      </w:r>
    </w:p>
    <w:p w14:paraId="0C0284DB"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USDA-N5001, a high yielding maturity group V soybean germplasm with high seed yield and protein content</w:t>
      </w:r>
      <w:r w:rsidRPr="00107C19">
        <w:rPr>
          <w:rStyle w:val="title-text"/>
          <w:rFonts w:asciiTheme="minorHAnsi" w:hAnsiTheme="minorHAnsi" w:cstheme="minorHAnsi"/>
          <w:color w:val="000000" w:themeColor="text1"/>
        </w:rPr>
        <w:t>. Soybean stakeholders are extremely concerned about recent U.S. soybean cultivars with low seed meal protein content that falls below the minimum market standard of 47.5 percent. To remain competitive in the international market, U.S. soybean growers and processors require high-yielding soybeans with seed meal containing greater than 48 percent protein. Nonetheless, increasing protein content without reducing seed yield is challenging, because soybean protein content is negatively correlated with yield. ARS researchers in Raleigh, North Carolina, recently released the germplasm line USDA-N5001, which has seed yields that match or surpass  currently grown commercial cultivars and 2-3 percent increased protein content in seed meal. This line is valuable to public and private soybean breeders for developing high-yielding soybean cultivars with meal protein levels exceeding 48 percent. (NP 301, C1, PS 1A, PS 1B, Project No.  6070-21220-069-000D)</w:t>
      </w:r>
    </w:p>
    <w:p w14:paraId="7A68D306"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Release of a potato cultivar resistant to potato cyst nematodes</w:t>
      </w:r>
      <w:r w:rsidRPr="00107C19">
        <w:rPr>
          <w:rStyle w:val="title-text"/>
          <w:rFonts w:asciiTheme="minorHAnsi" w:hAnsiTheme="minorHAnsi" w:cstheme="minorHAnsi"/>
          <w:color w:val="000000" w:themeColor="text1"/>
        </w:rPr>
        <w:t>. Potato cyst nematodes (PCN; golden nematode and pale cyst nematode) are devastating pests for U.S. potato production, which is valued at $4.6 billion. Utilizing host resistance is the most effective and sustainable approach for PCN control. ARS researchers in Ithaca, New York, and Cornell University collaborators developed and released ‘Bliss’,  a potato cultivar that is resistant to golden nematodes. The new cultivar, which is  described in the American Journal of Potato Research, can serve as an effective tool for golden nematode control and eradication in the United States. It can also be utilized by potato breeders as parent material in genetic crosses to develop more resistant cultivars. (NP 303, C3, PS3C, Project No. 8062-22000-023-000D)</w:t>
      </w:r>
    </w:p>
    <w:p w14:paraId="6C387C28"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Thirteen new wheat varieties with stripe rust resistance.</w:t>
      </w:r>
      <w:r w:rsidRPr="00107C19">
        <w:rPr>
          <w:rStyle w:val="title-text"/>
          <w:rFonts w:asciiTheme="minorHAnsi" w:hAnsiTheme="minorHAnsi" w:cstheme="minorHAnsi"/>
          <w:color w:val="000000" w:themeColor="text1"/>
        </w:rPr>
        <w:t xml:space="preserve"> Developing resistant varieties is the most effective, user-friendly, and environmentally sustainable approach to control stripe rust. ARS scientists in Pullman, Washington, obtained more than 16,000 wheat and barley germplasm samples from U.S. breeding programs and in 2023 used multiple field and greenhouse locations to screen the germplasm for its response to multiple races of the stem rust pathogen. They provided the data to various breeding programs for releasing new resistant varieties and to growers for selecting released resistant varieties to grow. They also used recent annual stripe rust data to collaborate with various breeding programs in releasing and registering 13 new wheat varieties with resistance to stripe rust. Growing these new varieties will reduce potential risk of stripe rust. (NP303, C3, PS3A, PS3B, Project No. 2090-22000-020-000D)</w:t>
      </w:r>
    </w:p>
    <w:p w14:paraId="4DFFFE38"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Diagnostic tools for a corn virus affecting trade issues. </w:t>
      </w:r>
      <w:r w:rsidRPr="00107C19">
        <w:rPr>
          <w:rStyle w:val="title-text"/>
          <w:rFonts w:asciiTheme="minorHAnsi" w:hAnsiTheme="minorHAnsi" w:cstheme="minorHAnsi"/>
          <w:color w:val="000000" w:themeColor="text1"/>
        </w:rPr>
        <w:t xml:space="preserve">High Plains wheat mosaic virus infects wheat, maize, and other cereals and is widespread in the United States, especially in the Midwest and Pacific Northwest where corn seed is produced. Recently imposed trade restrictions prevented exporting corn </w:t>
      </w:r>
      <w:r w:rsidRPr="00107C19">
        <w:rPr>
          <w:rStyle w:val="title-text"/>
          <w:rFonts w:asciiTheme="minorHAnsi" w:hAnsiTheme="minorHAnsi" w:cstheme="minorHAnsi"/>
          <w:color w:val="000000" w:themeColor="text1"/>
        </w:rPr>
        <w:lastRenderedPageBreak/>
        <w:t>seed infested with the virus, impacting the ability of U.S.-based seed companies to export seed to key trading partners. Reliable diagnostic tests for the virus are urgently needed to test and certify corn seed that is clean of the virus and safe to export; such a tool that could potentially affect billions of dollars in trade. ARS researchers in Wooster, Ohio, developed five new diagnostic assays for High Plains wheat mosaic virus that can detect wide variants of the virus. These assays are being used by university and industry researchers and will benefit diagnostic labs that test for the virus, corn seed industry stakeholders that depend on these test results, and regulatory authorities that certify seed as safe for export, facilitating safe seed trade with other countries. (NP303, C1, PS1B, Project No. 5082-22000-002-000D)</w:t>
      </w:r>
    </w:p>
    <w:p w14:paraId="5A1EB2BE"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AI-powered crop protection</w:t>
      </w:r>
      <w:r w:rsidRPr="00107C19">
        <w:rPr>
          <w:rStyle w:val="title-text"/>
          <w:rFonts w:asciiTheme="minorHAnsi" w:hAnsiTheme="minorHAnsi" w:cstheme="minorHAnsi"/>
          <w:color w:val="000000" w:themeColor="text1"/>
        </w:rPr>
        <w:t xml:space="preserve">. Crop pathogens exhibit a remarkable ability to change and adapt, which enables them to overcome extant resistance genes in crop varieties and evade control strategies and chemicals that were once effective. ARS scientists in Beltsville, Maryland, and George Mason University scientists developed new machine-learning models to predict and select novel antimicrobial peptides (AMPs) against plant pathogenic bacteria. AMPs are promising alternatives to traditional antibiotics for combatting plant pathogenic bacteria in agriculture and the environment. The models were applied to predict putative AMPs encoded by DNA sequences of unknown functions in the citrus genome. Several of these predicted AMPs were tested in the laboratory and were observed to have growth-inhibitory effects on </w:t>
      </w:r>
      <w:r w:rsidRPr="00107C19">
        <w:rPr>
          <w:rStyle w:val="title-text"/>
          <w:rFonts w:asciiTheme="minorHAnsi" w:hAnsiTheme="minorHAnsi" w:cstheme="minorHAnsi"/>
          <w:i/>
          <w:iCs/>
          <w:color w:val="000000" w:themeColor="text1"/>
        </w:rPr>
        <w:t>Spiroplasma</w:t>
      </w:r>
      <w:r w:rsidRPr="00107C19">
        <w:rPr>
          <w:rStyle w:val="title-text"/>
          <w:rFonts w:asciiTheme="minorHAnsi" w:hAnsiTheme="minorHAnsi" w:cstheme="minorHAnsi"/>
          <w:color w:val="000000" w:themeColor="text1"/>
        </w:rPr>
        <w:t xml:space="preserve"> </w:t>
      </w:r>
      <w:r w:rsidRPr="00107C19">
        <w:rPr>
          <w:rStyle w:val="title-text"/>
          <w:rFonts w:asciiTheme="minorHAnsi" w:hAnsiTheme="minorHAnsi" w:cstheme="minorHAnsi"/>
          <w:i/>
          <w:iCs/>
          <w:color w:val="000000" w:themeColor="text1"/>
        </w:rPr>
        <w:t>citri</w:t>
      </w:r>
      <w:r w:rsidRPr="00107C19">
        <w:rPr>
          <w:rStyle w:val="title-text"/>
          <w:rFonts w:asciiTheme="minorHAnsi" w:hAnsiTheme="minorHAnsi" w:cstheme="minorHAnsi"/>
          <w:color w:val="000000" w:themeColor="text1"/>
        </w:rPr>
        <w:t>, a bacterial pathogen of citrus trees. This accomplishment provides a valuable tool for identifying and selecting potential AMPs and contributes to developing effective strategies for plant disease management. (NP303, C2, PS2B, Project No. 8042-22000-320-000D)</w:t>
      </w:r>
    </w:p>
    <w:p w14:paraId="66BBFF8F"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Cotton germplasm lines resistant to plant-parasitic nematodes</w:t>
      </w:r>
      <w:r w:rsidRPr="00107C19">
        <w:rPr>
          <w:rStyle w:val="title-text"/>
          <w:rFonts w:asciiTheme="minorHAnsi" w:hAnsiTheme="minorHAnsi" w:cstheme="minorHAnsi"/>
          <w:color w:val="000000" w:themeColor="text1"/>
        </w:rPr>
        <w:t xml:space="preserve">. Among cotton pests, the plant-parasitic reniform and root knot nematodes are responsible for the greatest yield losses in cotton. These nematodes can also interact synergistically with root rot pathogens such as </w:t>
      </w:r>
      <w:r w:rsidRPr="00107C19">
        <w:rPr>
          <w:rStyle w:val="title-text"/>
          <w:rFonts w:asciiTheme="minorHAnsi" w:hAnsiTheme="minorHAnsi" w:cstheme="minorHAnsi"/>
          <w:i/>
          <w:iCs/>
          <w:color w:val="000000" w:themeColor="text1"/>
        </w:rPr>
        <w:t>Fusarium oxysporum</w:t>
      </w:r>
      <w:r w:rsidRPr="00107C19">
        <w:rPr>
          <w:rStyle w:val="title-text"/>
          <w:rFonts w:asciiTheme="minorHAnsi" w:hAnsiTheme="minorHAnsi" w:cstheme="minorHAnsi"/>
          <w:color w:val="000000" w:themeColor="text1"/>
        </w:rPr>
        <w:t xml:space="preserve"> f. sp. </w:t>
      </w:r>
      <w:r w:rsidRPr="00107C19">
        <w:rPr>
          <w:rStyle w:val="title-text"/>
          <w:rFonts w:asciiTheme="minorHAnsi" w:hAnsiTheme="minorHAnsi" w:cstheme="minorHAnsi"/>
          <w:i/>
          <w:iCs/>
          <w:color w:val="000000" w:themeColor="text1"/>
        </w:rPr>
        <w:t>vasinfectum</w:t>
      </w:r>
      <w:r w:rsidRPr="00107C19">
        <w:rPr>
          <w:rStyle w:val="title-text"/>
          <w:rFonts w:asciiTheme="minorHAnsi" w:hAnsiTheme="minorHAnsi" w:cstheme="minorHAnsi"/>
          <w:color w:val="000000" w:themeColor="text1"/>
        </w:rPr>
        <w:t xml:space="preserve"> (Fov) to increase disease severity. Although repeated pesticide applications and crop rotations can reduce nematode damage, developing and using nematode-resistant cultivars is widely considered to be the most effective and economical approach for managing nematodes in cotton. ARS researchers in College Station, Texas, collaborated with Cotton Incorporated and academic colleagues on developing and registering eight germplasm lines of Upland cotton that are resistant to reniform nematodes and possess superior performance traits. Four of the lines also possess one or two genes that provide resistance to root-knot nematodes. These new lines will greatly help breeders develop new commercial varieties of Upland cotton that are resistant to nematodes and with resistance against Fov strains that require the presence of nematodes for infection. Results were published in the Journal of Plant Registrations. (NP303, C3, PS3A, PSB, Project No. 3091-22000-040-000D)</w:t>
      </w:r>
    </w:p>
    <w:p w14:paraId="44E72375"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Reducing food waste and stored pome fruit losses</w:t>
      </w:r>
      <w:r w:rsidRPr="00107C19">
        <w:rPr>
          <w:rStyle w:val="title-text"/>
          <w:rFonts w:asciiTheme="minorHAnsi" w:hAnsiTheme="minorHAnsi" w:cstheme="minorHAnsi"/>
          <w:color w:val="000000" w:themeColor="text1"/>
        </w:rPr>
        <w:t xml:space="preserve">. Blue mold, which occurs during postharvest fruit storage, results in economic losses and increases food waste. It is caused by a fungus that also produces patulin, a toxin that is harmful to humans. ARS researchers in Beltsville, Maryland, and collaborators from Cornell University and Penn State University evaluated new methods to reduce blue mold spores from bin surfaces. They tested several treatments, including steam, hot water, dipping in fungicide solution, and thyme guard, and all treatments working equally well compared to untreated controls. The researchers also conclusively demonstrated that plastic bins bind fewer spores than wood, which encourages packers to replace wooden bins with plastic. Before this work was conducted, </w:t>
      </w:r>
      <w:r w:rsidRPr="00107C19">
        <w:rPr>
          <w:rStyle w:val="title-text"/>
          <w:rFonts w:asciiTheme="minorHAnsi" w:hAnsiTheme="minorHAnsi" w:cstheme="minorHAnsi"/>
          <w:color w:val="000000" w:themeColor="text1"/>
        </w:rPr>
        <w:lastRenderedPageBreak/>
        <w:t>industry did not know the importance of bin sanitation, its positive impact on decay management, or practical ways to sanitize both wood and plastic storage bins. All treatments are applicable for both conventional and organic production practices, and industry is adopting bin steaming to reduce blue mold, ensure fruit quality, and reduce patulin occurrence. These results were published in the journal Plant Disease. (NP 303, C3, PS3A, Project No. 8042-42430-003-000D)</w:t>
      </w:r>
    </w:p>
    <w:p w14:paraId="5348F368"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Guava root-knot nematode resistance in wild watermelon. </w:t>
      </w:r>
      <w:r w:rsidRPr="00107C19">
        <w:rPr>
          <w:rStyle w:val="title-text"/>
          <w:rFonts w:asciiTheme="minorHAnsi" w:hAnsiTheme="minorHAnsi" w:cstheme="minorHAnsi"/>
          <w:color w:val="000000" w:themeColor="text1"/>
        </w:rPr>
        <w:t>The guava root-knot nematode is an invasive plant parasite that poses a significant threat to watermelon and many other crops in the southeastern United States. ARS researchers in Charleston, South Carolina, are developing new watermelon varieties that are resistant to this pest, which will protect stakeholder yields and reduce the need to spray costly and environmentally damaging pesticides for nematode control. The researchers screened 109 wild watermelon lines for resistance to guava root-knot nematode and identified 28 resistant wild watermelon lines that will provide useful germplasm for breeding new watermelon varieties. They also collaborated with ARS researchers in Beltsville, Maryland, and Clemson University scientists on a genome wide association study to identify wild watermelon genome regions responsible for this resistance and published their results in the journal Plant Disease. The data from this study will provide watermelon breeders with valuable germplasm and genetic markers to help select new watermelon varieties that are resistant to guava root-knot nematode. (NP303, C1, PS1A, PS1B, C2, PS2A, PS2B, PS2C, PS2D, C3, PS3A, PS3B, PS3C, Project No. 6080-22000-031-000D)</w:t>
      </w:r>
    </w:p>
    <w:p w14:paraId="30AEC24F" w14:textId="77777777" w:rsidR="007A235D" w:rsidRPr="00107C19" w:rsidRDefault="007A235D" w:rsidP="007A235D">
      <w:pPr>
        <w:pStyle w:val="text"/>
        <w:rPr>
          <w:rStyle w:val="title-text"/>
          <w:rFonts w:asciiTheme="minorHAnsi" w:hAnsiTheme="minorHAnsi" w:cstheme="minorHAnsi"/>
          <w:color w:val="000000" w:themeColor="text1"/>
        </w:rPr>
      </w:pPr>
    </w:p>
    <w:p w14:paraId="3B612F42"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Using machine learning to assess the genetic diversity of the North American citrus greening pathogen</w:t>
      </w:r>
      <w:r w:rsidRPr="00107C19">
        <w:rPr>
          <w:rStyle w:val="title-text"/>
          <w:rFonts w:asciiTheme="minorHAnsi" w:hAnsiTheme="minorHAnsi" w:cstheme="minorHAnsi"/>
          <w:color w:val="000000" w:themeColor="text1"/>
        </w:rPr>
        <w:t xml:space="preserve">. Huanglongbing (HLB), or citrus greening, is a highly destructive citrus disease associated with the nonculturable bacterium </w:t>
      </w:r>
      <w:r w:rsidRPr="00107C19">
        <w:rPr>
          <w:rStyle w:val="title-text"/>
          <w:rFonts w:asciiTheme="minorHAnsi" w:hAnsiTheme="minorHAnsi" w:cstheme="minorHAnsi"/>
          <w:i/>
          <w:iCs/>
          <w:color w:val="000000" w:themeColor="text1"/>
        </w:rPr>
        <w:t>Candidatus Liberibacter asiaticus</w:t>
      </w:r>
      <w:r w:rsidRPr="00107C19">
        <w:rPr>
          <w:rStyle w:val="title-text"/>
          <w:rFonts w:asciiTheme="minorHAnsi" w:hAnsiTheme="minorHAnsi" w:cstheme="minorHAnsi"/>
          <w:color w:val="000000" w:themeColor="text1"/>
        </w:rPr>
        <w:t xml:space="preserve"> (CLas). Understanding the population diversity of CLas is critical for HLB management. ARS scientists in Parlier, California, and collaborators from Mexico collected 40 CLas samples from 20 states in Mexico and analyzed them using a machine learning approach. Results showed there were at least two different introductions of CLas into Mexico, and that CLas strains from Mexico and the United States are closely related. Results can inform efforts to manage HLB in North America by improving understanding of how HLB has historically moved around the continent, which will be useful information for USDA’s Animal and Plant Health Inspection Service and other regulatory agencies. (NP 303, C1, PS3A, Project No. 2034-22000-015-000D)</w:t>
      </w:r>
    </w:p>
    <w:p w14:paraId="43D0E456"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New oat lines with durable oat crown rust resistance</w:t>
      </w:r>
      <w:r w:rsidRPr="00107C19">
        <w:rPr>
          <w:rStyle w:val="title-text"/>
          <w:rFonts w:asciiTheme="minorHAnsi" w:hAnsiTheme="minorHAnsi" w:cstheme="minorHAnsi"/>
          <w:color w:val="000000" w:themeColor="text1"/>
        </w:rPr>
        <w:t>. Producing high-quality oats in the United States requires controlling dangerous oat diseases. Oat crown rust is the most devastating disease of this crop and causes major yield losses annually, especially in organic production. The oat crown rust pathogen is highly variable and overcomes oat crown rust resistance genes when they are used singly. ARS researchers in St. Paul, Minnesota, developed two oat lines carrying a combination of three oat resistance genes. These two new lines were much less susceptible to disease, exhibited good agronomic characteristics, and have been widely adopted by the oat breeding community; the many  Material Transfer Agreements (MTAs) to date and germplasm requests are evidence of their quality. Oat breeders are using these lines as parents in their breeding programs to derive new oat cultivars with durable resistance to oat crown rust. (NP303, C3, PS3C, Project No. 5062-21220-025-000D)</w:t>
      </w:r>
    </w:p>
    <w:p w14:paraId="5A9A8F9B" w14:textId="764EB029"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New bacteria group increases corn growth and produces plant hormones</w:t>
      </w:r>
      <w:r w:rsidRPr="00107C19">
        <w:rPr>
          <w:rStyle w:val="title-text"/>
          <w:rFonts w:asciiTheme="minorHAnsi" w:hAnsiTheme="minorHAnsi" w:cstheme="minorHAnsi"/>
          <w:color w:val="000000" w:themeColor="text1"/>
        </w:rPr>
        <w:t xml:space="preserve">. Biostimulants are an important class of microbial products that stimulate plant growth and have been found to help plants grow under drought and low soil fertility conditions. ARS researchers in Peoria, Illinois, and Colombian researchers reported the discovery and characterization of </w:t>
      </w:r>
      <w:r w:rsidRPr="00107C19">
        <w:rPr>
          <w:rStyle w:val="title-text"/>
          <w:rFonts w:asciiTheme="minorHAnsi" w:hAnsiTheme="minorHAnsi" w:cstheme="minorHAnsi"/>
          <w:i/>
          <w:iCs/>
          <w:color w:val="000000" w:themeColor="text1"/>
        </w:rPr>
        <w:t>Lysinibacillus</w:t>
      </w:r>
      <w:r w:rsidRPr="00107C19">
        <w:rPr>
          <w:rStyle w:val="title-text"/>
          <w:rFonts w:asciiTheme="minorHAnsi" w:hAnsiTheme="minorHAnsi" w:cstheme="minorHAnsi"/>
          <w:color w:val="000000" w:themeColor="text1"/>
        </w:rPr>
        <w:t xml:space="preserve"> species as biostimulants. This group of bacteria was characterized for their ability to promote plant growth in corn and to produce plant hormones in the auxin family, which are known to be a key regulator of plant growth. This study demonstrated that most of the bacteria from the genus </w:t>
      </w:r>
      <w:r w:rsidRPr="00107C19">
        <w:rPr>
          <w:rStyle w:val="title-text"/>
          <w:rFonts w:asciiTheme="minorHAnsi" w:hAnsiTheme="minorHAnsi" w:cstheme="minorHAnsi"/>
          <w:i/>
          <w:iCs/>
          <w:color w:val="000000" w:themeColor="text1"/>
        </w:rPr>
        <w:t>Lysinibacillus</w:t>
      </w:r>
      <w:r w:rsidRPr="00107C19">
        <w:rPr>
          <w:rStyle w:val="title-text"/>
          <w:rFonts w:asciiTheme="minorHAnsi" w:hAnsiTheme="minorHAnsi" w:cstheme="minorHAnsi"/>
          <w:color w:val="000000" w:themeColor="text1"/>
        </w:rPr>
        <w:t xml:space="preserve"> could promote plant growth. Results were published in Antonie Va Leeuwenhoek and Scientia Horticulturae and expand our knowledge of how microbes interact with plants. This research benefits corn and other row crops growers in the United States by providing information that can be used to develop new products to enhance crop growth and yields. (NP 303, C3, PS3B, Project No. 5010-22410-024-000D)</w:t>
      </w:r>
    </w:p>
    <w:p w14:paraId="46AD9974"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Watermelon germplasm with multiple disease resistance</w:t>
      </w:r>
      <w:r w:rsidRPr="00107C19">
        <w:rPr>
          <w:rStyle w:val="title-text"/>
          <w:rFonts w:asciiTheme="minorHAnsi" w:hAnsiTheme="minorHAnsi" w:cstheme="minorHAnsi"/>
          <w:color w:val="000000" w:themeColor="text1"/>
        </w:rPr>
        <w:t xml:space="preserve">. Watermelon is an important vegetable crop grown in 44 U.S. states, but many diseases and pests attack watermelon seedlings, plants, and fruit, which reduces yields and results in economic losses for producers. </w:t>
      </w:r>
      <w:r w:rsidRPr="00107C19">
        <w:rPr>
          <w:rStyle w:val="title-text"/>
          <w:rFonts w:asciiTheme="minorHAnsi" w:hAnsiTheme="minorHAnsi" w:cstheme="minorHAnsi"/>
          <w:i/>
          <w:iCs/>
          <w:color w:val="000000" w:themeColor="text1"/>
        </w:rPr>
        <w:t>Phytophthora</w:t>
      </w:r>
      <w:r w:rsidRPr="00107C19">
        <w:rPr>
          <w:rStyle w:val="title-text"/>
          <w:rFonts w:asciiTheme="minorHAnsi" w:hAnsiTheme="minorHAnsi" w:cstheme="minorHAnsi"/>
          <w:color w:val="000000" w:themeColor="text1"/>
        </w:rPr>
        <w:t xml:space="preserve"> fruit rot and powdery mildew are two diseases that can significantly reduce watermelon yield and quality and growers generally spray expensive pesticides to manage them. ARS scientists in Charleston, South Carolina, developed a watermelon germplasm line with resistance to powdery mildew and </w:t>
      </w:r>
      <w:r w:rsidRPr="00107C19">
        <w:rPr>
          <w:rStyle w:val="title-text"/>
          <w:rFonts w:asciiTheme="minorHAnsi" w:hAnsiTheme="minorHAnsi" w:cstheme="minorHAnsi"/>
          <w:i/>
          <w:iCs/>
          <w:color w:val="000000" w:themeColor="text1"/>
        </w:rPr>
        <w:t>Phytophthora</w:t>
      </w:r>
      <w:r w:rsidRPr="00107C19">
        <w:rPr>
          <w:rStyle w:val="title-text"/>
          <w:rFonts w:asciiTheme="minorHAnsi" w:hAnsiTheme="minorHAnsi" w:cstheme="minorHAnsi"/>
          <w:color w:val="000000" w:themeColor="text1"/>
        </w:rPr>
        <w:t xml:space="preserve"> fruit rot. This resistant germplasm line can be used by private and public sector plant breeders to develop watermelon varieties and breeding lines with resistance to these two diseases, which will help reduce pesticide use and enable watermelon growers to produce healthy crops. The information will be useful to growers, seed company plant breeders, University researchers, extension agents, and USDA scientists. The published research article made the cover of the April issue of the peer reviewed journal HortScience. (NP303, C1, PS1A, PS1B, C2, PS2A, PS2B, PS2C, PS2D, C3, PS3A, PS3B, PS3C, Project No. 6080-22000-031-000D) </w:t>
      </w:r>
    </w:p>
    <w:p w14:paraId="40E1827A"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New fungicides for stripe rust and responses of commercial wheat varieties to stripe rust and fungicide application</w:t>
      </w:r>
      <w:r w:rsidRPr="00107C19">
        <w:rPr>
          <w:rStyle w:val="title-text"/>
          <w:rFonts w:asciiTheme="minorHAnsi" w:hAnsiTheme="minorHAnsi" w:cstheme="minorHAnsi"/>
          <w:color w:val="000000" w:themeColor="text1"/>
        </w:rPr>
        <w:t xml:space="preserve">. Stripe rust can be controlled by planting resistant crop varieties and applying fungicides when needed. To develop an integrated strategy for efficiently managing stripe rust, ARS scientists in Pullman, Washington, tested 19 fungicide treatments on susceptible varieties of winter and spring wheats to evaluate their efficacy in controlling stripe rust. They also determined yield losses caused by stripe rust and how fungicides reduced yield losses of 24 winter and 24 spring wheat varieties.  The fungicide trials identified new effective fungicides and determined yield losses from stripe rust and yield increases resulting from current standard fungicide applications for individual varieties. The results can be used by chemical companies to register new fungicides and growers to determine if fungicide application will be effective for different wheat varieties and which fungicide to use for different varieties. (NP303, C3, PS3A, PS3B, Project No. 2090-22000-020-000D) </w:t>
      </w:r>
    </w:p>
    <w:p w14:paraId="0071A2D4"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Screening for sugar beet resistance to the crown and root rot pathogen</w:t>
      </w:r>
      <w:r w:rsidRPr="00107C19">
        <w:rPr>
          <w:rStyle w:val="title-text"/>
          <w:rFonts w:asciiTheme="minorHAnsi" w:hAnsiTheme="minorHAnsi" w:cstheme="minorHAnsi"/>
          <w:color w:val="000000" w:themeColor="text1"/>
        </w:rPr>
        <w:t xml:space="preserve">. The soilborne pathogen </w:t>
      </w:r>
      <w:r w:rsidRPr="00107C19">
        <w:rPr>
          <w:rStyle w:val="title-text"/>
          <w:rFonts w:asciiTheme="minorHAnsi" w:hAnsiTheme="minorHAnsi" w:cstheme="minorHAnsi"/>
          <w:i/>
          <w:iCs/>
          <w:color w:val="000000" w:themeColor="text1"/>
        </w:rPr>
        <w:t>Rhizoctonia solani</w:t>
      </w:r>
      <w:r w:rsidRPr="00107C19">
        <w:rPr>
          <w:rStyle w:val="title-text"/>
          <w:rFonts w:asciiTheme="minorHAnsi" w:hAnsiTheme="minorHAnsi" w:cstheme="minorHAnsi"/>
          <w:color w:val="000000" w:themeColor="text1"/>
        </w:rPr>
        <w:t xml:space="preserve"> causes sugar beet crown rot and root rot diseases, which are both serious threats to sugar beet production and processing. Before the adoption of Roundup Ready® sugar beet (RRSB) cultivars, crown rot was a serious problem resulting from mechanical tillage operations required for weed control. Following the introduction and large-scale cultivation of RRSB, crown rot was reduced but root rot became severe, so screening methods for developing Rhizoctonia-resistant cultivars </w:t>
      </w:r>
      <w:r w:rsidRPr="00107C19">
        <w:rPr>
          <w:rStyle w:val="title-text"/>
          <w:rFonts w:asciiTheme="minorHAnsi" w:hAnsiTheme="minorHAnsi" w:cstheme="minorHAnsi"/>
          <w:color w:val="000000" w:themeColor="text1"/>
        </w:rPr>
        <w:lastRenderedPageBreak/>
        <w:t>needed reassessment. ARS scientists in Beltsville, Maryland, and North Dakota State University scientists evaluated crown inoculation and root inoculation methods for developing Rhizoctonia root rot and assessed the efficacy of distinguishing how the pathogens affected sugar beet cultivars. Results, which were published in the journal Crop Protection, demonstrated that the root inoculation method is optimal for greenhouse assessments of disease in sugar beet germplasm, and that using this method is convenient and accurate for screening RRSB cultivars in a resistance breeding program. (NP 303, C1, PS1A, Project No. 8042-21220-259-000D)</w:t>
      </w:r>
    </w:p>
    <w:p w14:paraId="31146FFF"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Improved weed management to combat an insect-transmitted virus affecting lettuce</w:t>
      </w:r>
      <w:r w:rsidRPr="00107C19">
        <w:rPr>
          <w:rStyle w:val="title-text"/>
          <w:rFonts w:asciiTheme="minorHAnsi" w:hAnsiTheme="minorHAnsi" w:cstheme="minorHAnsi"/>
          <w:color w:val="000000" w:themeColor="text1"/>
        </w:rPr>
        <w:t>. Annual lettuce production in the California Salinas Valley accounts for more than 70 percent of total U.S. lettuce production. However, since 2019, impatiens necrotic spot virus (INSV), which is transmitted by insects, has severely impacted lettuce production, and in 2022 losses were reported at more than $150 million. There are only a few insecticides that can manage thrips and there are no existing viable methods to manage the virus. ARS researchers in Salinas, California, identified important weeds and geographic locations that can serve as virus reservoirs during the winter months and can bridge the gap during the off-season when lettuce is not grown. Results were published in the scientific journal Plant Disease. This has resulted in improved weed management as part of a cooperative effort by growers, industry association partners, and county-wide programs. (NP303, C2, PS2C, Project No. 2038-22000-020-000D)</w:t>
      </w:r>
    </w:p>
    <w:p w14:paraId="01B5194D" w14:textId="43C8FE52"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Census for soft rot potato pathogens</w:t>
      </w:r>
      <w:r w:rsidRPr="00107C19">
        <w:rPr>
          <w:rStyle w:val="title-text"/>
          <w:rFonts w:asciiTheme="minorHAnsi" w:hAnsiTheme="minorHAnsi" w:cstheme="minorHAnsi"/>
          <w:color w:val="000000" w:themeColor="text1"/>
        </w:rPr>
        <w:t xml:space="preserve">. There are many species of bacteria, including </w:t>
      </w:r>
      <w:r w:rsidRPr="00107C19">
        <w:rPr>
          <w:rStyle w:val="title-text"/>
          <w:rFonts w:asciiTheme="minorHAnsi" w:hAnsiTheme="minorHAnsi" w:cstheme="minorHAnsi"/>
          <w:i/>
          <w:iCs/>
          <w:color w:val="000000" w:themeColor="text1"/>
        </w:rPr>
        <w:t>Pectobacterium</w:t>
      </w:r>
      <w:r w:rsidRPr="00107C19">
        <w:rPr>
          <w:rStyle w:val="title-text"/>
          <w:rFonts w:asciiTheme="minorHAnsi" w:hAnsiTheme="minorHAnsi" w:cstheme="minorHAnsi"/>
          <w:color w:val="000000" w:themeColor="text1"/>
        </w:rPr>
        <w:t xml:space="preserve"> and </w:t>
      </w:r>
      <w:r w:rsidRPr="00107C19">
        <w:rPr>
          <w:rStyle w:val="title-text"/>
          <w:rFonts w:asciiTheme="minorHAnsi" w:hAnsiTheme="minorHAnsi" w:cstheme="minorHAnsi"/>
          <w:i/>
          <w:iCs/>
          <w:color w:val="000000" w:themeColor="text1"/>
        </w:rPr>
        <w:t>Dickeya</w:t>
      </w:r>
      <w:r w:rsidRPr="00107C19">
        <w:rPr>
          <w:rStyle w:val="title-text"/>
          <w:rFonts w:asciiTheme="minorHAnsi" w:hAnsiTheme="minorHAnsi" w:cstheme="minorHAnsi"/>
          <w:color w:val="000000" w:themeColor="text1"/>
        </w:rPr>
        <w:t xml:space="preserve"> species, that cause soft rot disease on potato and other crops. Soft rot diseases cause approximately one billion dollars of damage annually to potato crops worldwide and millions of dollars of damage to U.S. potato crops. ARS researchers in Ithaca, New York, and university collaborators surveyed all the major potato growing regions of the United States between 2016-2021 for bacteria responsible for soft rot diseases. The species of each soft rot bacteria was determined by analyzing the full genome sequence. Survey results, which partially are reported in two articles in Plant Disease, show that there are at least 11 soft rot bacterial species in the United States and that cause potato disease. </w:t>
      </w:r>
      <w:r w:rsidRPr="00107C19">
        <w:rPr>
          <w:rStyle w:val="title-text"/>
          <w:rFonts w:asciiTheme="minorHAnsi" w:hAnsiTheme="minorHAnsi" w:cstheme="minorHAnsi"/>
          <w:i/>
          <w:iCs/>
          <w:color w:val="000000" w:themeColor="text1"/>
        </w:rPr>
        <w:t>Pectobacterium carotovorum</w:t>
      </w:r>
      <w:r w:rsidRPr="00107C19">
        <w:rPr>
          <w:rStyle w:val="title-text"/>
          <w:rFonts w:asciiTheme="minorHAnsi" w:hAnsiTheme="minorHAnsi" w:cstheme="minorHAnsi"/>
          <w:color w:val="000000" w:themeColor="text1"/>
        </w:rPr>
        <w:t xml:space="preserve">, the most widespread, was found in 9 of the 14 states surveyed. In contrast, other pathogens are restricted to certain regions; for instance, </w:t>
      </w:r>
      <w:r w:rsidRPr="00107C19">
        <w:rPr>
          <w:rStyle w:val="title-text"/>
          <w:rFonts w:asciiTheme="minorHAnsi" w:hAnsiTheme="minorHAnsi" w:cstheme="minorHAnsi"/>
          <w:i/>
          <w:iCs/>
          <w:color w:val="000000" w:themeColor="text1"/>
        </w:rPr>
        <w:t>Dickeya dianthicola</w:t>
      </w:r>
      <w:r w:rsidRPr="00107C19">
        <w:rPr>
          <w:rStyle w:val="title-text"/>
          <w:rFonts w:asciiTheme="minorHAnsi" w:hAnsiTheme="minorHAnsi" w:cstheme="minorHAnsi"/>
          <w:color w:val="000000" w:themeColor="text1"/>
        </w:rPr>
        <w:t xml:space="preserve"> was found only in the eastern United States. This information is essential to understanding the ecology and epidemiology of these pathogens and for informing potato seed certification programs and federal regulatory programs, which helps protect food security and livelihood of U.S. farmers. (NP 303, C3, PS3A, Project No. 8062-21000-048-000D)</w:t>
      </w:r>
    </w:p>
    <w:p w14:paraId="3E2F90FC"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Protocols for rearing and handling vine mealybug facilitate pest management research</w:t>
      </w:r>
      <w:r w:rsidRPr="00107C19">
        <w:rPr>
          <w:rStyle w:val="title-text"/>
          <w:rFonts w:asciiTheme="minorHAnsi" w:hAnsiTheme="minorHAnsi" w:cstheme="minorHAnsi"/>
          <w:color w:val="000000" w:themeColor="text1"/>
        </w:rPr>
        <w:t>. The vine mealybug is one of the most challenging pests of grapevine to control in California, with table grape growers spending up to $500 an acre annually for control. ARS researchers in Parlier, California, developed protocols for rearing and handling vine mealybug in the laboratory. Methods for rearing vine mealybug are essential to support studies on genome sequencing, identifying biological control agents, and evaluating mealybug susceptibility to insecticides. (NP 303, C3, PS3B, Project No. 2034-22000-014-000D)</w:t>
      </w:r>
    </w:p>
    <w:p w14:paraId="61B3D248"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Beneficial soil microorganisms increase strawberry yields</w:t>
      </w:r>
      <w:r w:rsidRPr="00107C19">
        <w:rPr>
          <w:rStyle w:val="title-text"/>
          <w:rFonts w:asciiTheme="minorHAnsi" w:hAnsiTheme="minorHAnsi" w:cstheme="minorHAnsi"/>
          <w:color w:val="000000" w:themeColor="text1"/>
        </w:rPr>
        <w:t xml:space="preserve">. Beneficial microorganisms can improve strawberry plant health and reduce the need to use soil fumigants. ARS researchers in Salinas, California, collaborated with a grower to test how commercially available beneficial microorganisms </w:t>
      </w:r>
      <w:r w:rsidRPr="00107C19">
        <w:rPr>
          <w:rStyle w:val="title-text"/>
          <w:rFonts w:asciiTheme="minorHAnsi" w:hAnsiTheme="minorHAnsi" w:cstheme="minorHAnsi"/>
          <w:color w:val="000000" w:themeColor="text1"/>
        </w:rPr>
        <w:lastRenderedPageBreak/>
        <w:t>affect strawberry production under field conditions. Strawberry plants inoculated with beneficial microorganisms produced significantly larger strawberries compared to non-treated plants. Results from this research were published in Plant-Environment Interaction and are being used by growers who are interested in using beneficial microorganisms to increase strawberry yields in conventional and organic production systems. (NP 303, C2, PS2C, C3, PS3C, Project No. 2038-22000-019-000D)</w:t>
      </w:r>
    </w:p>
    <w:p w14:paraId="1B93FD0B"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Foreign variants of corn pathogen may threaten U.S. crops.</w:t>
      </w:r>
      <w:r w:rsidRPr="00107C19">
        <w:rPr>
          <w:rStyle w:val="title-text"/>
          <w:rFonts w:asciiTheme="minorHAnsi" w:hAnsiTheme="minorHAnsi" w:cstheme="minorHAnsi"/>
          <w:color w:val="000000" w:themeColor="text1"/>
        </w:rPr>
        <w:t xml:space="preserve"> The United States is the largest producer, consumer, and exporter of corn in the world, with annual production valued at more than $82 billion. U.S. growers minimize damage to corn caused by anthracnose disease by planting corn varieties that are resistant to the pathogen populations found in North America. However, outside of North America, corn anthracnose is very difficult to control, and the disease is becoming increasingly widespread. An international team of scientists, including ARS researchers in Frederick, Maryland, compared the DNA profiles of anthracnose pathogens collected worldwide and published their results in mBio. The research showed that DNA profiles varied depending on the continent where the pathogen was collected, and that U.S. isolates have different DNA profiles from foreign isolates. Developing effective crop resistance to disease requires knowing a pathogen’s genetic structure, so findings from this research guide efforts to breed corn with resistance to variants of the anthracnose pathogen residing in the United States and globally. (NP 303, C1, PS1A, Project No. 8044-22000-051-000D)</w:t>
      </w:r>
    </w:p>
    <w:p w14:paraId="3F127046"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High temperatures during the growing season impact Pierce’s disease risk</w:t>
      </w:r>
      <w:r w:rsidRPr="00107C19">
        <w:rPr>
          <w:rStyle w:val="title-text"/>
          <w:rFonts w:asciiTheme="minorHAnsi" w:hAnsiTheme="minorHAnsi" w:cstheme="minorHAnsi"/>
          <w:color w:val="000000" w:themeColor="text1"/>
        </w:rPr>
        <w:t>. Pierce’s disease of grapevine caused by Xylella fastidiosa has created significant economic losses to the California grape industry for decades. Colder winters in some growing regions limit pathogen survival and recurrence in perennial crops, but little is known about how climate factors affect Pierce’s disease in hotter climates such as California’s Central Valley. ARS scientists in Parlier, California, created a conceptual model of temperature-dependent disease severity based on summer and winter temperatures representative of California grape growing regions, and tested disease recurrence rates when infected plants experienced high summer temperatures. Results show that disease recurrence is very high under these conditions, which highlights the need for region-specific management practices that do not rely on vine recovery during the winter in areas where summer temperatures are high. This information is important for vineyard managers making decisions about when to remove infected vines and when to implement insecticide sprays for vector control. (NP 303, C3, PS3B, Project No. 2034-22000-014-000D)</w:t>
      </w:r>
    </w:p>
    <w:p w14:paraId="195E2DFE"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new virus infecting pear germplasm</w:t>
      </w:r>
      <w:r w:rsidRPr="00107C19">
        <w:rPr>
          <w:rStyle w:val="title-text"/>
          <w:rFonts w:asciiTheme="minorHAnsi" w:hAnsiTheme="minorHAnsi" w:cstheme="minorHAnsi"/>
          <w:color w:val="000000" w:themeColor="text1"/>
        </w:rPr>
        <w:t xml:space="preserve">. Several viruses infect pear and can cause virus diseases that are difficult to control. Virus infections in curated germplasm accessions, especially those imported before quarantine regulations were applicable, are not well studied. ARS scientists in Beltsville, Maryland, tested eight pear accessions in the National Plant Germplasm System genebank in Corvallis, Oregon, that had symptoms of viral infection. Bioinformatic analyses from high-throughput sequencing revealed the presence of a new virus belonging in the genus </w:t>
      </w:r>
      <w:r w:rsidRPr="00107C19">
        <w:rPr>
          <w:rStyle w:val="title-text"/>
          <w:rFonts w:asciiTheme="minorHAnsi" w:hAnsiTheme="minorHAnsi" w:cstheme="minorHAnsi"/>
          <w:i/>
          <w:iCs/>
          <w:color w:val="000000" w:themeColor="text1"/>
        </w:rPr>
        <w:t>Partitivirus</w:t>
      </w:r>
      <w:r w:rsidRPr="00107C19">
        <w:rPr>
          <w:rStyle w:val="title-text"/>
          <w:rFonts w:asciiTheme="minorHAnsi" w:hAnsiTheme="minorHAnsi" w:cstheme="minorHAnsi"/>
          <w:color w:val="000000" w:themeColor="text1"/>
        </w:rPr>
        <w:t>, which is known to be associated with symptomless infections. The nearly full-length sequence of the virus genome was determined and published in Frontiers in Microbiology, and a PCR-based detection protocol was developed. Determining the infection status of clonal germplasm accessions will support better curation practices, including the possible application of treatments to minimize risks associated with distributing infected material. (NP 303, C1, PS1B, Project No. 8042-22000-324-000D)</w:t>
      </w:r>
    </w:p>
    <w:p w14:paraId="56AA4DE0"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Asian citrus psyllid control using ethyl formate</w:t>
      </w:r>
      <w:r w:rsidRPr="00107C19">
        <w:rPr>
          <w:rStyle w:val="title-text"/>
          <w:rFonts w:asciiTheme="minorHAnsi" w:hAnsiTheme="minorHAnsi" w:cstheme="minorHAnsi"/>
          <w:color w:val="000000" w:themeColor="text1"/>
        </w:rPr>
        <w:t>. Asian citrus psyllid (ACP) is a devastating pest of citrus, as it spreads the disease Huanglongbing that curtails fruit yield and quality. Southern California is impacted by ACP quarantines, but the packing and juicing operations in California’s San Joaquin Valley are not. ARS scientists in Parlier, California, developed a postharvest fumigation treatment with ethyl formate to control ACP after fruit is binned and loaded on a trailer and before it is transported from the grove. This innovative treatment limits ACP spread and reduces broad-spectrum insecticide use. ARS scientists also developed an ethyl formate treatment that will begin replacing methyl bromide treatments of table grapes imported from Chile, which represents the greatest U.S. usage of this fumigant on fresh fruit. Data generated by this research was submitted to the U.S. Environmental Protection Agency and California Department of Pesticide Regulation to support Section 3, Federal Insecticide, Fungicide, and Rodenticide Act registration. (NP304 C4, PS4A, Project No. 2034-43000-043-000D).</w:t>
      </w:r>
    </w:p>
    <w:p w14:paraId="5E7A6EB4" w14:textId="5CAE639B"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Plant-based peptides block insect transmission of the citrus greening disease bacterium.</w:t>
      </w:r>
      <w:r w:rsidRPr="00107C19">
        <w:rPr>
          <w:rStyle w:val="title-text"/>
          <w:rFonts w:asciiTheme="minorHAnsi" w:hAnsiTheme="minorHAnsi" w:cstheme="minorHAnsi"/>
          <w:color w:val="000000" w:themeColor="text1"/>
        </w:rPr>
        <w:t xml:space="preserve"> Citrus growers need effective strategies for managing citrus greening disease, also known as Huanglongbing (HLB). Growers are highly concerned about the presence and likely spread of HLB within California because of the mobility of the Asian citrus psyllid (ACP), the insect vector of citrus greening in the United States. In Florida, the disease is endemic, and growers need treatments to mitigate infection in existing groves and prevent transmission into new plantings. Organic growers also need HLB management strategies that do not rely on synthetic chemicals. ARS scientists in Ithaca, New York, discovered plant-based peptides that can thwart the spread of the HLB bacterium by the ACP. This collaborative work was conducted by a team of USDA, university, and industry partners and was funded by a CRADA with a small </w:t>
      </w:r>
      <w:r w:rsidR="00557767" w:rsidRPr="00107C19">
        <w:rPr>
          <w:rStyle w:val="title-text"/>
          <w:rFonts w:asciiTheme="minorHAnsi" w:hAnsiTheme="minorHAnsi" w:cstheme="minorHAnsi"/>
          <w:color w:val="000000" w:themeColor="text1"/>
        </w:rPr>
        <w:t>agri-business</w:t>
      </w:r>
      <w:r w:rsidRPr="00107C19">
        <w:rPr>
          <w:rStyle w:val="title-text"/>
          <w:rFonts w:asciiTheme="minorHAnsi" w:hAnsiTheme="minorHAnsi" w:cstheme="minorHAnsi"/>
          <w:color w:val="000000" w:themeColor="text1"/>
        </w:rPr>
        <w:t xml:space="preserve"> in Florida and a grant from the California Citrus Research Board. A patent has been filed and a preprint describing the peptides is available. These plant-based peptides have different killing modes of action that could effectively control citrus greening and prevent ACP from transmitting the pathogen to citrus trees. (NP 304, C3, PS3B, PS3C, Project No. 8062-22410-007-000D).</w:t>
      </w:r>
    </w:p>
    <w:p w14:paraId="19F5D18D"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High quality boll weevil reference genome</w:t>
      </w:r>
      <w:r w:rsidRPr="00107C19">
        <w:rPr>
          <w:rStyle w:val="title-text"/>
          <w:rFonts w:asciiTheme="minorHAnsi" w:hAnsiTheme="minorHAnsi" w:cstheme="minorHAnsi"/>
          <w:color w:val="000000" w:themeColor="text1"/>
        </w:rPr>
        <w:t>. The boll weevil was first detected in Texas in 1892 and began spreading throughout the U.S. Cotton Belt and has often been considered the most destructive pest of commercial cotton in the United States. Although national eradication efforts have essentially eliminated this insect pest in the United States, eradication progress in South Texas and Tamaulipas, Mexico, have been at a standstill for the past decade. As a result, remaining boll weevil populations continue to pose a threat to previously eradicated areas. Growers are concerned that boll weevils may develop resistance to insecticides, so safe and effective alternative boll weevil management strategies are needed. As part of the Ag100 Pest Initiative, ARS researchers in College Station, Texas, sequenced, assembled, and annotated the boll weevil genome. The high-quality reference genome will be foundational to gaining a better understanding of boll weevil biology and ecology, genetic diversity, and for identifying novel genes that can be targeted or exploited with gene disruption technologies (e.g., CRISPR, RNAi) to develop alternative target-specific boll weevil management strategies that are safe and effective. (NP 304, C1, PS 1A; C3, PS3A, PS3B, Project No. 3091-22000-038-000D).</w:t>
      </w:r>
    </w:p>
    <w:p w14:paraId="0674BFC1"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Signaling mechanisms involved in weed-induced crop yield loss</w:t>
      </w:r>
      <w:r w:rsidRPr="00107C19">
        <w:rPr>
          <w:rStyle w:val="title-text"/>
          <w:rFonts w:asciiTheme="minorHAnsi" w:hAnsiTheme="minorHAnsi" w:cstheme="minorHAnsi"/>
          <w:color w:val="000000" w:themeColor="text1"/>
        </w:rPr>
        <w:t xml:space="preserve">. Crops perceive weed-generated signals through changes in light quality and through volatile and soil-soluble chemicals. Scientists need </w:t>
      </w:r>
      <w:r w:rsidRPr="00107C19">
        <w:rPr>
          <w:rStyle w:val="title-text"/>
          <w:rFonts w:asciiTheme="minorHAnsi" w:hAnsiTheme="minorHAnsi" w:cstheme="minorHAnsi"/>
          <w:color w:val="000000" w:themeColor="text1"/>
        </w:rPr>
        <w:lastRenderedPageBreak/>
        <w:t>information about how these signals affect plant genes to manipulate crop responses to weeds and mitigate weed-induced yield losses. ARS scientists in Fargo, North Dakota, conducted time course studies to examine weed-induced changes in corn growth and gene expression when exposed to soil soluble and light quality signals separately or in combination. Soil soluble signals had a greater impact on corn growth than light quality signals and affected leaf photosynthesis and root cell wall production. The light quality signal had no consistent impact on leaves but affected protein turnover and cell growth in roots. The research implicated certain gene networks and protein complexes known to regulate the balance between corn plant defense and growth when challenged by weeds. This work will help breeders create more weed-tolerant crops by suggesting ways to manipulate crop responses to weed-generated signals. (NP 304, C2, PS 2C, Project No. 3060-21220-033-000D).</w:t>
      </w:r>
    </w:p>
    <w:p w14:paraId="47ED0510"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Repellents for pest ambrosia beetles</w:t>
      </w:r>
      <w:r w:rsidRPr="00107C19">
        <w:rPr>
          <w:rStyle w:val="title-text"/>
          <w:rFonts w:asciiTheme="minorHAnsi" w:hAnsiTheme="minorHAnsi" w:cstheme="minorHAnsi"/>
          <w:color w:val="000000" w:themeColor="text1"/>
        </w:rPr>
        <w:t>. Redbay ambrosia beetle and tea shot-hole borer are vectors of the fungal diseases laurel wilt and Fusarium dieback, which infect avocado, woody ornamentals, and native forest trees. Incorporating a repellent into pest management programs may reduce the incidence of these diseases. ARS scientists in Miami, Florida, identified piperitone as a new beetle repellent and compared its efficacy to two other repellents, verbenone and a-farnesene. Beetle captures in traps baited with lures were compared to those containing lures plus a repellent (a push-pull design). Results showed that farnesene was ineffective; however, piperitone and verbenone were equally effective, reducing captures by 50-70 percent for 10-12 weeks. Since piperitone is less expensive than verbenone, it has become the standard beetle repellent. This study identifies an economical push-pull strategy avocado growers can use to manage the two beetle vectors. (NP304, C4, PS4A, Project No. 6038-22000-007-000D).</w:t>
      </w:r>
    </w:p>
    <w:p w14:paraId="6AE80842" w14:textId="00456033"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Biological agents to control invasive cogon grass</w:t>
      </w:r>
      <w:r w:rsidRPr="00107C19">
        <w:rPr>
          <w:rStyle w:val="title-text"/>
          <w:rFonts w:asciiTheme="minorHAnsi" w:hAnsiTheme="minorHAnsi" w:cstheme="minorHAnsi"/>
          <w:color w:val="000000" w:themeColor="text1"/>
        </w:rPr>
        <w:t>. Cogon grass (</w:t>
      </w:r>
      <w:r w:rsidRPr="00107C19">
        <w:rPr>
          <w:rStyle w:val="title-text"/>
          <w:rFonts w:asciiTheme="minorHAnsi" w:hAnsiTheme="minorHAnsi" w:cstheme="minorHAnsi"/>
          <w:i/>
          <w:iCs/>
          <w:color w:val="000000" w:themeColor="text1"/>
        </w:rPr>
        <w:t>Imperata cylindrica</w:t>
      </w:r>
      <w:r w:rsidRPr="00107C19">
        <w:rPr>
          <w:rStyle w:val="title-text"/>
          <w:rFonts w:asciiTheme="minorHAnsi" w:hAnsiTheme="minorHAnsi" w:cstheme="minorHAnsi"/>
          <w:color w:val="000000" w:themeColor="text1"/>
        </w:rPr>
        <w:t xml:space="preserve">), a </w:t>
      </w:r>
      <w:r w:rsidR="00717D71" w:rsidRPr="00107C19">
        <w:rPr>
          <w:rStyle w:val="title-text"/>
          <w:rFonts w:asciiTheme="minorHAnsi" w:hAnsiTheme="minorHAnsi" w:cstheme="minorHAnsi"/>
          <w:color w:val="000000" w:themeColor="text1"/>
        </w:rPr>
        <w:t>federally regulated</w:t>
      </w:r>
      <w:r w:rsidRPr="00107C19">
        <w:rPr>
          <w:rStyle w:val="title-text"/>
          <w:rFonts w:asciiTheme="minorHAnsi" w:hAnsiTheme="minorHAnsi" w:cstheme="minorHAnsi"/>
          <w:color w:val="000000" w:themeColor="text1"/>
        </w:rPr>
        <w:t xml:space="preserve"> noxious invasive grass with a worldwide distribution, is considered one of the worst invasive species in the United States, causing economic and ecological damage that disrupts forestry, agriculture, rangelands, and natural ecosystems. Increased management options such as mechanical and chemical controls are </w:t>
      </w:r>
      <w:r w:rsidR="00717D71" w:rsidRPr="00107C19">
        <w:rPr>
          <w:rStyle w:val="title-text"/>
          <w:rFonts w:asciiTheme="minorHAnsi" w:hAnsiTheme="minorHAnsi" w:cstheme="minorHAnsi"/>
          <w:color w:val="000000" w:themeColor="text1"/>
        </w:rPr>
        <w:t>expensive,</w:t>
      </w:r>
      <w:r w:rsidRPr="00107C19">
        <w:rPr>
          <w:rStyle w:val="title-text"/>
          <w:rFonts w:asciiTheme="minorHAnsi" w:hAnsiTheme="minorHAnsi" w:cstheme="minorHAnsi"/>
          <w:color w:val="000000" w:themeColor="text1"/>
        </w:rPr>
        <w:t xml:space="preserve"> and time consuming and new strategies are needed to reduce the spread of cogon grass. Effective biological control agents have not been available to date, but scientists in the Australian Biological Control Laboratory, an ARS-associated lab, discovered a diverse range of potential biological control agents that might be specific to cogon grass and that are immediately available for shipment to U.S. quarantine facilities. This will enable stateside ARS researchers to begin testing for efficacy and their safe release to interested parties and agencies. (NP 304, C2, PS2B, Project No. 0210-22310-010-000D).</w:t>
      </w:r>
    </w:p>
    <w:p w14:paraId="6291B6D3" w14:textId="10D15926"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Controlling invasive and quarantine horticultural pests</w:t>
      </w:r>
      <w:r w:rsidRPr="00107C19">
        <w:rPr>
          <w:rStyle w:val="title-text"/>
          <w:rFonts w:asciiTheme="minorHAnsi" w:hAnsiTheme="minorHAnsi" w:cstheme="minorHAnsi"/>
          <w:color w:val="000000" w:themeColor="text1"/>
        </w:rPr>
        <w:t>. Brown marmorated stink bug (BMSB) is an invasive insect pest that damages fruit, vegetable, and ornamental crops. BMSB adults overwinter in container consignments and vehicles, many of which are exported to countries requiring phytosanitary treatments to control pests. In 2022, ARS scientists in Parlier, California, were asked to develop a treatment that could be applied to exports when they arrive in Australia and New Zealand. An ethyl formate fumigation protocol was developed to control BMSB, which allowed U.S. manufacturers to keep exporting automobiles to Australia and New Zealand—a projected annual value of $10 billion. (NP304 C4, PS4A, Project No. 2034-43000-043-000D).</w:t>
      </w:r>
    </w:p>
    <w:p w14:paraId="0B1F9765"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lastRenderedPageBreak/>
        <w:t>Therapeutic genes for citrus trees infected by huanglongbing</w:t>
      </w:r>
      <w:r w:rsidRPr="00107C19">
        <w:rPr>
          <w:rStyle w:val="title-text"/>
          <w:rFonts w:asciiTheme="minorHAnsi" w:hAnsiTheme="minorHAnsi" w:cstheme="minorHAnsi"/>
          <w:color w:val="000000" w:themeColor="text1"/>
        </w:rPr>
        <w:t xml:space="preserve">. Huanglongbing (HLB) has reduced commercial citrus production in Florida more than 70 percent and threatens the citrus industries in Texas and California. There is currently no cure for this disease, and to save the citrus industry, a solution must be delivered to infected trees in citrus groves. The bacterium Agrobacterium tumefaciens was used to develop small, localized growths (galls) that were genetically engineered to produce molecules that potentially could confer tolerance to the host citrus tree. The engineered galls are called symbionts because they produce molecules that provide therapeutic benefits to their tree hosts and the therapeutic molecules produced by the symbiont were demonstrated to move systematically in the tree. This new ‘symbiont’ strategy could mitigate some regulatory concerns about the release of genetically engineered crops because the genetically engineered component is the symbiont, not the tree. This technology would be applicable on any plant that Agrobacterium could infect and form a gall. (NP304, C3, PS3B, PS3C, Project No. 6034-22320-007-000D). </w:t>
      </w:r>
    </w:p>
    <w:p w14:paraId="55FFAFE4"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Regions of the Camelina sativa genome associated with important agronomic traits</w:t>
      </w:r>
      <w:r w:rsidRPr="00107C19">
        <w:rPr>
          <w:rStyle w:val="title-text"/>
          <w:rFonts w:asciiTheme="minorHAnsi" w:hAnsiTheme="minorHAnsi" w:cstheme="minorHAnsi"/>
          <w:color w:val="000000" w:themeColor="text1"/>
        </w:rPr>
        <w:t xml:space="preserve">. Breeding for desired agronomic traits is critical for improving cropping systems. ARS scientists in Fargo, North Dakota; Clay Center, Nebraska; and Stoneville, Mississippi, collaborated with North Dakota State University scientists on sequencing and identifying genomic regions in a camelina population developed from crossing a winter biotype with a summer biotype. They were looking for genomic associations with freezing tolerance, flowering time, and seed size, and identified specific markers within the 20 assembled chromosomes associated with these important agronomic traits. These outcomes will help breeders improve important agronomic traits in oilseed cash crops used for developing cropping systems suitable for colder climates and soils. (NP304, C2, PS2C, Project No. 3060-21220-033-000D). </w:t>
      </w:r>
    </w:p>
    <w:p w14:paraId="4D0BB27E"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Molecular tool to identify boll weevils</w:t>
      </w:r>
      <w:r w:rsidRPr="00107C19">
        <w:rPr>
          <w:rStyle w:val="title-text"/>
          <w:rFonts w:asciiTheme="minorHAnsi" w:hAnsiTheme="minorHAnsi" w:cstheme="minorHAnsi"/>
          <w:color w:val="000000" w:themeColor="text1"/>
        </w:rPr>
        <w:t>. The boll weevil has been eradicated from the United States, except for the southernmost portion of Texas, but eradication programs in cotton-producing states continue to operate pheromone traps to detect possible boll weevil re-infestations. These traps occasionally capture similar looking weevils such as the thurberia weevil, which is a variant of the boll weevil but is not a pest of commercial cotton. Non-pest weevils misidentified as boll weevils could lead to unnecessary and costly mitigation efforts, while misidentifications could delay or preclude necessary remedial actions. ARS researchers in College Station, Texas, partnered with university and Animal and Plant Health Inspection Service (APHIS) colleagues on developing a single nuclear polymorphism (SNP)-based assay that can rapidly and accurately determine whether a weevil is a boll weevil or a thurberia weevil. This molecular tool was recently adopted by APHIS and is currently being used to confirm the identity of suspect boll weevils captured in traps or intercepted at U.S. ports of entry. (NP304, C3, PS3A, Project No. 3091-22000-038-000D).</w:t>
      </w:r>
    </w:p>
    <w:p w14:paraId="54CB5E7E"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Using DNA metabarcoding to assess insect diversity in citrus orchards</w:t>
      </w:r>
      <w:r w:rsidRPr="00107C19">
        <w:rPr>
          <w:rStyle w:val="title-text"/>
          <w:rFonts w:asciiTheme="minorHAnsi" w:hAnsiTheme="minorHAnsi" w:cstheme="minorHAnsi"/>
          <w:color w:val="000000" w:themeColor="text1"/>
        </w:rPr>
        <w:t xml:space="preserve">. Citrus hosts both beneficial and pest insect species, but species identification is difficult and large-scale insect diversity assessments are challenged by cryptic morphology and a lack of taxonomic experts. Scientists in the Sino-American Biological Control Laboratory, an ARS-associated lab in Beijing, China, analyzed the composition of insect communities in citrus orchards using DNA metabarcoding followed by data analysis on two cloud databases and analytical platforms—the Barcode of Life Data System (BOLD) and Multiplex Barcode Research and Visualization Environment (mBRAVE). The species identified using </w:t>
      </w:r>
      <w:r w:rsidRPr="00107C19">
        <w:rPr>
          <w:rStyle w:val="title-text"/>
          <w:rFonts w:asciiTheme="minorHAnsi" w:hAnsiTheme="minorHAnsi" w:cstheme="minorHAnsi"/>
          <w:color w:val="000000" w:themeColor="text1"/>
        </w:rPr>
        <w:lastRenderedPageBreak/>
        <w:t xml:space="preserve">BOLD were then searched in citrus pest databases and the literature to designate their classification as a pest, parasitoid, predator, or pollinator. These results provide a valuable resource for research on citrus pest management and beneficial insect exploration. (NP304, C4, PS4B, Project No. 0210-22310-012-000D). </w:t>
      </w:r>
    </w:p>
    <w:p w14:paraId="18F4F5FF" w14:textId="01E831ED"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First biocontrol agent to control common crupina released in field studies</w:t>
      </w:r>
      <w:r w:rsidRPr="00107C19">
        <w:rPr>
          <w:rStyle w:val="title-text"/>
          <w:rFonts w:asciiTheme="minorHAnsi" w:hAnsiTheme="minorHAnsi" w:cstheme="minorHAnsi"/>
          <w:color w:val="000000" w:themeColor="text1"/>
        </w:rPr>
        <w:t xml:space="preserve">. Rangelands and grasslands make up 30 percent of U.S. land use and are vital to livestock production and ecosystem health. Controlling invasive weeds in these rugged environments is challenging and incurs U.S. costs of $6 billion annually. Common crupina is a foreign weed that has invaded thousands of acres of grasslands in the U.S. West, crowds out nutritious plants that provide food for grazing </w:t>
      </w:r>
      <w:r w:rsidR="00717D71" w:rsidRPr="00107C19">
        <w:rPr>
          <w:rStyle w:val="title-text"/>
          <w:rFonts w:asciiTheme="minorHAnsi" w:hAnsiTheme="minorHAnsi" w:cstheme="minorHAnsi"/>
          <w:color w:val="000000" w:themeColor="text1"/>
        </w:rPr>
        <w:t>livestock and</w:t>
      </w:r>
      <w:r w:rsidRPr="00107C19">
        <w:rPr>
          <w:rStyle w:val="title-text"/>
          <w:rFonts w:asciiTheme="minorHAnsi" w:hAnsiTheme="minorHAnsi" w:cstheme="minorHAnsi"/>
          <w:color w:val="000000" w:themeColor="text1"/>
        </w:rPr>
        <w:t xml:space="preserve"> leads to conditions that result in soil erosion. Chemical-based weed control methods are often impractical because of the large size of invaded regions. ARS scientists in Frederick, Maryland, and university and tribal collaborators tested a new non-chemical method to control common crupina. The approach relies on using a fungus that causes a leaf spot disease on only common crupina and within weeks of being released at the test sites, the fungus successfully infected common crupina. The results of this research suggest this new biological approach may be a valuable tool to reduce common crupina invasions in rangelands and grasslands and benefit private, public, and tribal land managers. (NP 304, C2, PSB, Project No. 8044-22000-047-000D). </w:t>
      </w:r>
    </w:p>
    <w:p w14:paraId="088DF289"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Frequent and efficient harvests to control coffee berry borer</w:t>
      </w:r>
      <w:r w:rsidRPr="00107C19">
        <w:rPr>
          <w:rStyle w:val="title-text"/>
          <w:rFonts w:asciiTheme="minorHAnsi" w:hAnsiTheme="minorHAnsi" w:cstheme="minorHAnsi"/>
          <w:color w:val="000000" w:themeColor="text1"/>
        </w:rPr>
        <w:t xml:space="preserve">. Coffee is the second most economically important crop in Hawaii, and green and roasted coffee is valued at about $175M. Coffee berry borer (CBB) infests the coffee seed and reduces coffee yields and quality. ARS scientists in Hilo, Hawaii, collaborated with coffee growers on quantifying the costs and benefits associated with sanitation picks, standard harvesting, and strip picks, and on estimating total costs of controlling CBB using pesticides on Hawaiian coffee farms. They found cultural control-focused management consisting of fewer pesticide sprays and more frequent sanitation and harvesting are effective and economically viable alternatives to regular pesticide applications to control CBB. Chemical control costs were found to be 55 percent lower, coffee cherry yields increased 3000lbs/ac, and the net benefit of frequent harvesting were 48 percent higher under the proposed integrated pest management. This information has been disseminated to coffee growers in Hawaii by two grower association newsletters, a mailing list, an Entomology Today blog post, farm visits, and a consultant seminar, and was shared with University of Hawaii Extension. (NP304, C1, PS1A, Project No. 2040-22430-027-000D). </w:t>
      </w:r>
    </w:p>
    <w:p w14:paraId="489E1C67"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Discovery of a new virus infecting upland cotton</w:t>
      </w:r>
      <w:r w:rsidRPr="00107C19">
        <w:rPr>
          <w:rStyle w:val="title-text"/>
          <w:rFonts w:asciiTheme="minorHAnsi" w:hAnsiTheme="minorHAnsi" w:cstheme="minorHAnsi"/>
          <w:color w:val="000000" w:themeColor="text1"/>
        </w:rPr>
        <w:t xml:space="preserve">. The United States is the world’s third largest cotton producer and the leader in cotton exports. Cotton leafroll dwarf virus (CLRDV) is an emerging RNA viral pathogen of cotton transmitted in the field by the cotton aphid. Viral symptoms in the field have been challenging to understand and pinpoint to CLRDV alone. ARS scientists in Ithaca, New York, hypothesized that other plant viruses may be co-infecting cotton with CLRDV. ARS scientists and university colleagues discovered a new DNA virus infecting cotton growing in Mississippi and tentatively named the virus cotton virus A (CotV-A).  Similar to other DNA plant viruses, they discovered that copies of the CotV-A genome are inserted into the genome of upland cotton, which may give rise to virus infection, so the team developed a method to distinguish between the real CotV-A infection and copies of CotV-A in the cotton genome.  The cotton industry was informed about the new virus and a paper has been published. Additional research is needed to determine whether CotV-A </w:t>
      </w:r>
      <w:r w:rsidRPr="00107C19">
        <w:rPr>
          <w:rStyle w:val="title-text"/>
          <w:rFonts w:asciiTheme="minorHAnsi" w:hAnsiTheme="minorHAnsi" w:cstheme="minorHAnsi"/>
          <w:color w:val="000000" w:themeColor="text1"/>
        </w:rPr>
        <w:lastRenderedPageBreak/>
        <w:t xml:space="preserve">can cause detrimental effects in cotton production, if the virus copies inserted in the upland cotton genome can initiate a real virus infection, or whether the virus is transmitted by insects. (NP 304, C3, PS 3A, Project No. 8062-22410-007-000D). </w:t>
      </w:r>
    </w:p>
    <w:p w14:paraId="74B482D1"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New herbicide development for weed management</w:t>
      </w:r>
      <w:r w:rsidRPr="00107C19">
        <w:rPr>
          <w:rStyle w:val="title-text"/>
          <w:rFonts w:asciiTheme="minorHAnsi" w:hAnsiTheme="minorHAnsi" w:cstheme="minorHAnsi"/>
          <w:color w:val="000000" w:themeColor="text1"/>
        </w:rPr>
        <w:t xml:space="preserve">. The triketone class of herbicides plays an important role in controlling weeds, especially in corn, soybean, and wheat crops. The main herbicides in this class are mesotrione and sulcotrione, which are analogs of the allelochemical leptospermone from the bottlebrush plant. However, the degradation products of mesotrione and sulcotrione can negatively affect aquatic plants and microorganisms. The benzoic rings resulting from the degradation of these herbicides are responsible for the toxic effects. To develop more environmentally friendly triketone herbicides, ARS scientists in Oxford, Mississippi, and University of Mississippi collaborators made a series of structurally related triketone analogs originating from malonic acid, a naturally occurring compound found in many fruits and vegetables. Bioassay results indicated that these newly synthesized compounds exhibited strong herbicidal activity, but unlike mesotrione and sulcotrione, they lack benzoic rings. The new chemical entities (keto-diesters) provide a new class of herbicides and their mode of action is likely similar to that of mesotrione and sulcotrione. In addition, unlike commercial triketone herbicides, several keto diether-based compounds developed in this project can reduce potential leaching in plant leaves. The ARS National Chemical Patent Committee approved the invention disclosure entitled “Derivatives of natural triketones and their uses" in 2022. (NP304, C2, PS2A, Project No. 6060-21410-012-000D). </w:t>
      </w:r>
    </w:p>
    <w:p w14:paraId="4C0B7F3D"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Electronic cold pasteurization for in-shell weevil control</w:t>
      </w:r>
      <w:r w:rsidRPr="00107C19">
        <w:rPr>
          <w:rStyle w:val="title-text"/>
          <w:rFonts w:asciiTheme="minorHAnsi" w:hAnsiTheme="minorHAnsi" w:cstheme="minorHAnsi"/>
          <w:color w:val="000000" w:themeColor="text1"/>
        </w:rPr>
        <w:t xml:space="preserve">. Pecan weevil is typically an in-season pest that is managed by controlling adult pecan weevils in orchards. Nonetheless, controlling weevils in orchards is not always optimal and can lead to pecan nuts that are infested with pecan weevil larvae. When larvae persist in the nut after harvest, distributing pecan nuts to shelling facilities and marketing venues can also transport pecan weevils to new areas. ARS scientists in Byron, Georgia, showed that using electronic cold pasteurization to treat pecan nuts infested with pecan weevil larvae can kill larvae within nuts. This process could alleviate quarantine concerns regarding the movement of pecan nuts potentially infested with pecan weevil larvae. (NP304, C3, PS3B, 6042-22000-024-000D). </w:t>
      </w:r>
    </w:p>
    <w:p w14:paraId="701D35FA"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new system for farmers to grow eco-friendly bioinsecticides</w:t>
      </w:r>
      <w:r w:rsidRPr="00107C19">
        <w:rPr>
          <w:rStyle w:val="title-text"/>
          <w:rFonts w:asciiTheme="minorHAnsi" w:hAnsiTheme="minorHAnsi" w:cstheme="minorHAnsi"/>
          <w:color w:val="000000" w:themeColor="text1"/>
        </w:rPr>
        <w:t xml:space="preserve">. Beneficial nematodes (small round worms) are environmentally friendly bioinsecticides. These nematodes are produced commercially and used to control a wide variety of economically important pests, but they can be expensive. ARS scientists in Byron, Georgia, and Madison, Wisconsin, developed a novel system that enables farmers to grow their own beneficial nematodes. The process is sustainable and does not require any outside input or scientific equipment. The team published details on the system in a special collection of scientific articles on the mass production of beneficial organisms and some farmers have already started to adapt a modified version of the system. (NP304, C3, PS3B, 6042-22000-024-000D). </w:t>
      </w:r>
    </w:p>
    <w:p w14:paraId="2BACAA76"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Improving grass seedling establishment in rangelands</w:t>
      </w:r>
      <w:r w:rsidRPr="00107C19">
        <w:rPr>
          <w:rStyle w:val="title-text"/>
          <w:rFonts w:asciiTheme="minorHAnsi" w:hAnsiTheme="minorHAnsi" w:cstheme="minorHAnsi"/>
          <w:color w:val="000000" w:themeColor="text1"/>
        </w:rPr>
        <w:t xml:space="preserve">. Establishing grasses to restore degraded rangelands is critical but difficult to accomplish using only seed-based methods. ARS researchers in Burns, Oregon, developed techniques for harvesting, excavating, and storing buds of native plant species, and developed methods for successfully establishing Sandberg’s bluegrass and tufted hairgrass, two important native plants, from crown buds during restoration. Using grass buds in rangeland restoration will be useful to state and federal land management agencies, producers, </w:t>
      </w:r>
      <w:r w:rsidRPr="00107C19">
        <w:rPr>
          <w:rStyle w:val="title-text"/>
          <w:rFonts w:asciiTheme="minorHAnsi" w:hAnsiTheme="minorHAnsi" w:cstheme="minorHAnsi"/>
          <w:color w:val="000000" w:themeColor="text1"/>
        </w:rPr>
        <w:lastRenderedPageBreak/>
        <w:t xml:space="preserve">conservation groups, and anyone attempting to restore these species in degraded and invaded rangeland. (NP304, C2, PS2B Project No. 2070-22000-007-000D). </w:t>
      </w:r>
    </w:p>
    <w:p w14:paraId="1A144769"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Predator and plant feeding stinkbugs react differently to an insecticide</w:t>
      </w:r>
      <w:r w:rsidRPr="00107C19">
        <w:rPr>
          <w:rStyle w:val="title-text"/>
          <w:rFonts w:asciiTheme="minorHAnsi" w:hAnsiTheme="minorHAnsi" w:cstheme="minorHAnsi"/>
          <w:color w:val="000000" w:themeColor="text1"/>
        </w:rPr>
        <w:t xml:space="preserve">. Stink bugs (Pentatomidae) are one of the few “true bugs” that contain both plant feeders and predators and comprise a range of invasive agricultural pests and natural enemies of great economic importance. Scientists in the Sino-American Biological Control Laboratory, an ARS-associated lab in Beijing, China, examined the acute toxicity of the insecticide imidacloprid to the plant feeding stinkbug Halyomorpha halys and the predator stinkbug Arma chinensis. They found the plant feeding stinkbug is significantly more sensitive to imidacloprid than the predator, and female adults of both species showed higher insecticide resistance than male adults. In addition, reduced reproduction performance indicated that predator stinkbug recovery from imidacloprid-triggered knockdown was achieved at the cost of fitness. Results based on acute toxicity and molecular analysis indicate that imidacloprid is effective against the plant feeding stinkbug, but potentially safe for the predatory stinkbug when employed as a biological control agent. This is of particular interest for integrated pest control. (NP304, C1, PS1A, Project No. 0210-22310-012-000D). </w:t>
      </w:r>
    </w:p>
    <w:p w14:paraId="1704591E"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Plants to the rescue in the next global pandemic</w:t>
      </w:r>
      <w:r w:rsidRPr="00107C19">
        <w:rPr>
          <w:rStyle w:val="title-text"/>
          <w:rFonts w:asciiTheme="minorHAnsi" w:hAnsiTheme="minorHAnsi" w:cstheme="minorHAnsi"/>
          <w:color w:val="000000" w:themeColor="text1"/>
        </w:rPr>
        <w:t>. Severe acute respiratory syndrome coronavirus 2 (SARS-CoV-2) is responsible for the COVID-19 pandemic and is related to SARS-CoV-1 and Middle Eastern Respiratory Syndrome (MERS)-CoV, which emerged in humans in 2003 and 2012, respectively. COVID-19 disease results in a range of outcomes, ranging from asymptomatic infection to death. To date, global vaccinations for SARS-CoV-2 protection are underway, but additional treatments are needed to prevent infection among naïve and even vaccinated individuals. ARS scientists in Ithaca, New York, and Fort Pierce, Florida, together with a CRADA partner, demonstrated that plants can produce nanobodies, which are small functional molecules that interfere with molecular interactions required for virus spread in humans. Producing plant-based nanobody therapies to control virus spread represents a promising new development in mitigating the COVID-19 pandemic. (NP304, C3, PS 3B, Project No. 8062-22410-007-000D).</w:t>
      </w:r>
    </w:p>
    <w:p w14:paraId="31015037"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Spotted lanternfly threatens specialty crops</w:t>
      </w:r>
      <w:r w:rsidRPr="00107C19">
        <w:rPr>
          <w:rStyle w:val="title-text"/>
          <w:rFonts w:asciiTheme="minorHAnsi" w:hAnsiTheme="minorHAnsi" w:cstheme="minorHAnsi"/>
          <w:color w:val="000000" w:themeColor="text1"/>
        </w:rPr>
        <w:t>. The spotted lanternfly (SLF) is an invasive pest in the United States that feeds on more than 103 different plant species, but more information is needed about its potential threat to specialty crops and forest species. ARS scientists in Kearneysville, West Virginia, and collaborators conducted laboratory and field trials that expanded available information about SLF host plants. They found wine grapes (</w:t>
      </w:r>
      <w:r w:rsidRPr="00107C19">
        <w:rPr>
          <w:rStyle w:val="title-text"/>
          <w:rFonts w:asciiTheme="minorHAnsi" w:hAnsiTheme="minorHAnsi" w:cstheme="minorHAnsi"/>
          <w:i/>
          <w:iCs/>
          <w:color w:val="000000" w:themeColor="text1"/>
        </w:rPr>
        <w:t>Vitis vinifera</w:t>
      </w:r>
      <w:r w:rsidRPr="00107C19">
        <w:rPr>
          <w:rStyle w:val="title-text"/>
          <w:rFonts w:asciiTheme="minorHAnsi" w:hAnsiTheme="minorHAnsi" w:cstheme="minorHAnsi"/>
          <w:color w:val="000000" w:themeColor="text1"/>
        </w:rPr>
        <w:t>) is a preferred host in the field and supports strong development and survivorship, while cultivated apple and peach do not support SLF development. Among wild hosts, black walnut, riverbank grape, and invasive tree of heaven all support strong development and survivorship. These results indicate SLF poses a threat to the winegrape industry, and wild hosts such as black walnut, riverbank grape and tree of heaven can likely support its establishment in new regions. This information will help growers develop effective management strategies for this emerging and invasive insect pest (NP305, C1, PSA, Project No. 8080-21000-032-000D)</w:t>
      </w:r>
    </w:p>
    <w:p w14:paraId="1A6F1B3C"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Effects of nutritional deprivation on honey bees</w:t>
      </w:r>
      <w:r w:rsidRPr="00107C19">
        <w:rPr>
          <w:rStyle w:val="title-text"/>
          <w:rFonts w:asciiTheme="minorHAnsi" w:hAnsiTheme="minorHAnsi" w:cstheme="minorHAnsi"/>
          <w:color w:val="000000" w:themeColor="text1"/>
        </w:rPr>
        <w:t xml:space="preserve">. Honey bee colonies are routinely provided with nutritional supplements during periods of drought and associated food shortages. In a changing climate, these events may increase in intensity and frequency, or occur at unexpected intervals, and </w:t>
      </w:r>
      <w:r w:rsidRPr="00107C19">
        <w:rPr>
          <w:rStyle w:val="title-text"/>
          <w:rFonts w:asciiTheme="minorHAnsi" w:hAnsiTheme="minorHAnsi" w:cstheme="minorHAnsi"/>
          <w:color w:val="000000" w:themeColor="text1"/>
        </w:rPr>
        <w:lastRenderedPageBreak/>
        <w:t>understanding how bees respond to challenging nutritional times is critical for determining management strategies and breeding tactics. ARS researchers in Baton Rouge, Louisiana, found that when colonies were deprived of pollen, they became generally more aggressive than colonies that had access to pollen resources. Temperament and aggression are sometimes used to select breeding stock, so these findings can help breeders enhance traits favorable to changing climates. Additional research found that honey bee stocks derived from Italian and Russian honey bees respond to nutritional deprivation in distinct ways. Russian honey bee workers appear to conserve individual nutritional stores at the expense of producing nutrient rich brood food components, but Italian honey bee workers continue production of brood food components at the expense of nutrient stores. This has potential implications for traits that are beneficial in a changing climate and informs beekeepers about when and how to use nutritional supplements based on the type of honey bee. (NP305, C2, PS2A, Project No. 6050-21000-016-000D)</w:t>
      </w:r>
    </w:p>
    <w:p w14:paraId="33748AB0"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Virtual Grower energy modeling update and beta launch</w:t>
      </w:r>
      <w:r w:rsidRPr="00107C19">
        <w:rPr>
          <w:rStyle w:val="title-text"/>
          <w:rFonts w:asciiTheme="minorHAnsi" w:hAnsiTheme="minorHAnsi" w:cstheme="minorHAnsi"/>
          <w:color w:val="000000" w:themeColor="text1"/>
        </w:rPr>
        <w:t>. ARS researchers in Wooster, Ohio, developed Virtual Grower, a decision-support software tool for designing a virtual greenhouse, estimating corresponding energy usages for heating and lighting, and evaluating various energy-savings options. These researchers recently updated Virtual Grower to version 4, which includes improved energy and plant growth models that more accurately estimate greenhouse energy usage, and its conversion to an online platform offers more accessibility. The beta test website was launched in May 2023. Virtual Grower is the only software tool available to growers and researchers that specifically targets modeling greenhouse crop scheduling and energy consumption. The beta is being tested by growers in greenhouse management classes and selected research colleagues. These ongoing efforts improve energy efficiency, lower overall energy use, and train students and growers in greenhouse management. (NP305, C1, PS 1D, Project No. 5082-21000-001-000D)</w:t>
      </w:r>
    </w:p>
    <w:p w14:paraId="18F95D21"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Artificial intelligence can diagnose brood disease.</w:t>
      </w:r>
      <w:r w:rsidRPr="00107C19">
        <w:rPr>
          <w:rStyle w:val="title-text"/>
          <w:rFonts w:asciiTheme="minorHAnsi" w:hAnsiTheme="minorHAnsi" w:cstheme="minorHAnsi"/>
          <w:color w:val="000000" w:themeColor="text1"/>
        </w:rPr>
        <w:t xml:space="preserve"> Honey bee brood disease causes significant colony loss in the United States, but diagnosis based on larval symptomology is subjective and often depends on context. Antibiotics are typically used prophylactically to treat bacterial diseases such as European Foulbrood, but this breeds molecular resistance, causes dysbiosis of the gut microbiome, and often fails to treat the underlying illness. ARS researchers in Tucson, Arizona, are using machine learning to modernize brood disease diagnosis. Based on samples and corresponding images of diseased larvae collected throughout the United States, they recovered a variety of known and unknown disease-associated bacteria and virus from samples diagnosed as known disease or idiopathic. Preliminary machine learning algorithms using only image symptomology were successful in predicting microbiome results. This resource enables the early diagnosis of brood disease based on a smart phone photograph, and represents a valuable resource for beekeepers, apiary inspectors, and scientists. (NP305, C2, PS2B, Project No. 2022-21000-021-000D)</w:t>
      </w:r>
    </w:p>
    <w:p w14:paraId="317670A3"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Silicon induces plant defensins to protect against plant stresses</w:t>
      </w:r>
      <w:r w:rsidRPr="00107C19">
        <w:rPr>
          <w:rStyle w:val="title-text"/>
          <w:rFonts w:asciiTheme="minorHAnsi" w:hAnsiTheme="minorHAnsi" w:cstheme="minorHAnsi"/>
          <w:color w:val="000000" w:themeColor="text1"/>
        </w:rPr>
        <w:t xml:space="preserve">. Plant stress due to pests, diseases, or adverse environmental conditions can negatively impact plant growth and yield. Silicon can help plants tolerate stresses such as chilling injury, heavy metal toxicity, and powdery mildew disease outbreaks, but the molecular mechanisms underlying this beneficial response are not well understood. ARS researchers in Wooster, Ohio, and University of Toledo collaborators identified histidine-rich defensins, which are part of the immune system, that can be upregulated by silicon. These defensins are also </w:t>
      </w:r>
      <w:r w:rsidRPr="00107C19">
        <w:rPr>
          <w:rStyle w:val="title-text"/>
          <w:rFonts w:asciiTheme="minorHAnsi" w:hAnsiTheme="minorHAnsi" w:cstheme="minorHAnsi"/>
          <w:color w:val="000000" w:themeColor="text1"/>
        </w:rPr>
        <w:lastRenderedPageBreak/>
        <w:t>involved in reducing disease severity, which shows one potential pathway silicon can use to confer disease suppression in plants. This novel discovery helps researchers further understand how silicon functions in plants and identified key targets plant breeders can use to increase crop resilience to pathogens. (NP305, C1, PS 1D, Project No. 5082-21000-001-000D)</w:t>
      </w:r>
    </w:p>
    <w:p w14:paraId="27CBF927" w14:textId="1DA8CC9E"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Winter oilseed crops reduce early summer weed growth</w:t>
      </w:r>
      <w:r w:rsidRPr="00107C19">
        <w:rPr>
          <w:rStyle w:val="title-text"/>
          <w:rFonts w:asciiTheme="minorHAnsi" w:hAnsiTheme="minorHAnsi" w:cstheme="minorHAnsi"/>
          <w:color w:val="000000" w:themeColor="text1"/>
        </w:rPr>
        <w:t>. Using winter oilseeds as cash cover crops is gaining popularity. A previous study indicates that certain winter mustard oilseed species with good freeze-hardiness can suppress early summer weeds, including herbicide resistant weed species. ARS researchers in Morris, Minnesota, and Fargo, North Dakota, conducted a study at both locations to determine winter survival and weed suppression traits in winter camelina and several winter canola lines selected for improved winter survival. Winter camelina had much greater winter survival than canola, and the following spring, camelina suppressed weed biomass by more than 90 percent at both locations. Winter-hardy canola lines were identified that breeders can use to improve freeze tolerance in commercial varieties. These findings benefit crop breeders and geneticists looking to improve crop freeze-hardiness and farmers and researchers looking for cropping strategies to improve integrated weed management. (NP305, C1, PS 1A; Project No. 5060-21220-007-000D).</w:t>
      </w:r>
    </w:p>
    <w:p w14:paraId="57222223"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Optimizing UAV spray patterns for pest management</w:t>
      </w:r>
      <w:r w:rsidRPr="00107C19">
        <w:rPr>
          <w:rStyle w:val="title-text"/>
          <w:rFonts w:asciiTheme="minorHAnsi" w:hAnsiTheme="minorHAnsi" w:cstheme="minorHAnsi"/>
          <w:color w:val="000000" w:themeColor="text1"/>
        </w:rPr>
        <w:t>. Agriculture is rapidly embracing the use of unmanned aerial vehicles (UAVs) for applying agrochemical products to manage pests. However, there is a significant gap in the data related to spray pattern uniformity and droplet distribution that is essential to guiding best management practices, and understanding these factors is critical to sustainable and effective UAV use. ARS researchers in College Station, Texas, used four different commercial UAV platforms to study how application height and ground speed affect these parameters and found that each UAV platform could produce an acceptable spray pattern irrespective of payload capacity, and that an increase in payload widened the effective swath. These findings provide valuable guidance for aerial applicators using UAVs effectively in pest management and will facilitate developing efficient pest management strategies to enhance the sustainable use of UAVs in agriculture. (NP305, C1, PS1D, Project No. 3091-22000-037-000D)</w:t>
      </w:r>
    </w:p>
    <w:p w14:paraId="538471CE"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Using advanced technologies to improve honey bee breedi</w:t>
      </w:r>
      <w:r w:rsidRPr="00107C19">
        <w:rPr>
          <w:rStyle w:val="title-text"/>
          <w:rFonts w:asciiTheme="minorHAnsi" w:hAnsiTheme="minorHAnsi" w:cstheme="minorHAnsi"/>
          <w:color w:val="000000" w:themeColor="text1"/>
        </w:rPr>
        <w:t>ng. The Russian honey bee stock was the first population developed using a marker-based, genetic stock identification (GSI) assay. Recent developments in sequencing have improved the understanding, evaluation, and use of genetic tools to advance breeding efforts, and an updated stock identification panel using novel genetic variation would provide a more accurate discrimination tool and serve as a pilot for future marker panels. ARS scientists in Baton Rouge, Louisiana, used recent genomic data and historically preserved DNA to develop a new marker panel using a microfluidic platform. The resulting assay outperformed the original GSI while simultaneously increasing efficiency and reducing cost. This novel approach is currently being finalized to incorporate in stakeholder breeding decisions. In addition, the method is inherently modular and has pioneered analytical approaches that can be directly implemented in trait-based or other marker-assisted selection panels. (NP305, C2, PS2A, PS2C, Project No. 6050-21000-016-000D)</w:t>
      </w:r>
    </w:p>
    <w:p w14:paraId="1B0EC48E"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Air-pinch valve to improve hollow-cone nozzles for variable-rate sprayers</w:t>
      </w:r>
      <w:r w:rsidRPr="00107C19">
        <w:rPr>
          <w:rStyle w:val="title-text"/>
          <w:rFonts w:asciiTheme="minorHAnsi" w:hAnsiTheme="minorHAnsi" w:cstheme="minorHAnsi"/>
          <w:color w:val="000000" w:themeColor="text1"/>
        </w:rPr>
        <w:t xml:space="preserve">. Pesticide sprayers are commonly used for efficient and effective crop protection, and electric pulse width modulation solenoid valves are the critical sprayer components that provide precision variable rate applications. </w:t>
      </w:r>
      <w:r w:rsidRPr="00107C19">
        <w:rPr>
          <w:rStyle w:val="title-text"/>
          <w:rFonts w:asciiTheme="minorHAnsi" w:hAnsiTheme="minorHAnsi" w:cstheme="minorHAnsi"/>
          <w:color w:val="000000" w:themeColor="text1"/>
        </w:rPr>
        <w:lastRenderedPageBreak/>
        <w:t>However, these valves cannot shut off completely if sprayers are not rinsed thoroughly after applying adhesive additives or physically incompatible powder pesticides. ARS researchers in Wooster, Ohio, investigated an air-pinch valve that separated the chemical liquid from the valve chamber as an alternative to the electric valve. They discovered the air-pinch and electric valves were equally accurate in flow rate modulations for hollow-cone nozzles operated at different pressures. Similarly, droplet size distributions and classifications from the hollow-cone nozzles regulated with both valves were also comparable across the flow rate modulation ranges. These findings indicate the air-pinch valve could be an alternative to conventional electric valves and is being recommended to farm equipment companies to improve the accuracy and reliability of their precision variable rate sprayers. (NP305, C1, PS1B, PS1C, PS1D; Project No. 5082-21620-001-000D)</w:t>
      </w:r>
    </w:p>
    <w:p w14:paraId="20973176"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Honey bee genetics and winter survivorship.</w:t>
      </w:r>
      <w:r w:rsidRPr="00107C19">
        <w:rPr>
          <w:rStyle w:val="title-text"/>
          <w:rFonts w:asciiTheme="minorHAnsi" w:hAnsiTheme="minorHAnsi" w:cstheme="minorHAnsi"/>
          <w:color w:val="000000" w:themeColor="text1"/>
        </w:rPr>
        <w:t xml:space="preserve"> Challenges to honey bee health arise from disease agents, chemical stress, and nutritional challenges. Bees are especially stressed in the winter due to temperature, parasites, and the inability to replace aging worker bees and queens. ARS scientists in Beltsville, Maryland, discovered a key honey bee cell signaling pathway, and then used a therapeutic strategy to target this pathway, improving bee and colony survivorship. They also showed how bees differ in their susceptibilities to chemical stress in winter, improving survivorship management options. This work was coupled with a nationwide analysis of honey bee varieties and helps advance understanding climate-based preferences of honey bee stock. ARS scientists in Beltsville are also leading the Beenome100 project (which includes multiple outgoing agreements and the coordination of 20 research laboratories), which is focused on producing reference genomes for 100+ U.S. bee pollinators and leveraging these genomes for bee health. For instance, genetic comparisons of diapause and overwintering between honey bee and hundreds of other bee species used in pollination can help improve winter survival in honey bee. This effort is paying off with insights on bee host use and climate expansion and improved methodologies for describing bee genomes. (NP305, C2, PS2A, Project No. 8042-21000-291-000D)</w:t>
      </w:r>
    </w:p>
    <w:p w14:paraId="63514658"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Reducing off-target damage from synthetic auxin herbicides. </w:t>
      </w:r>
      <w:r w:rsidRPr="00107C19">
        <w:rPr>
          <w:rStyle w:val="title-text"/>
          <w:rFonts w:asciiTheme="minorHAnsi" w:hAnsiTheme="minorHAnsi" w:cstheme="minorHAnsi"/>
          <w:color w:val="000000" w:themeColor="text1"/>
        </w:rPr>
        <w:t>The global use of synthetic auxin herbicides is frequently linked with unintended damage to non-target crops and pollinators, disrupting effective weed management. ARS researchers in College Station, Texas, and academic colleagues conducted field trials to measure the downwind movement and damage of these herbicides. They assessed how different application techniques and weather conditions affect spray drift and deposition, with a specific focus on soybean impacts. Results revealed that aerial applications doubled the downwind deposition and plant damage compared to ground applications. However, offsetting aerial spray passes several swaths in the upwind direction significantly reduced both deposition and plant damage. These findings provide valuable guidance for better herbicide management practices and demonstrate that specific application adjustments can significantly reduce drift and associated crop damage. This research offers vital insights to ARS partners and stakeholders and will facilitate mitigating the negative impacts of auxin herbicides on non-target crops and pollinators, thus contributing to more sustainable agricultural practices and broader environmental protection. (NP305, C1, PS1D, Project No. 3091-22000-037-000D)</w:t>
      </w:r>
    </w:p>
    <w:p w14:paraId="40048CF0" w14:textId="6FBE7EBF"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Improving pennycress production management</w:t>
      </w:r>
      <w:r w:rsidRPr="00107C19">
        <w:rPr>
          <w:rStyle w:val="title-text"/>
          <w:rFonts w:asciiTheme="minorHAnsi" w:hAnsiTheme="minorHAnsi" w:cstheme="minorHAnsi"/>
          <w:color w:val="000000" w:themeColor="text1"/>
        </w:rPr>
        <w:t xml:space="preserve">. Pennycress is a new winter oilseed crop that can be used for biofuels and bioproducts. This species can be planted in fall after corn, soybean, or wheat and </w:t>
      </w:r>
      <w:r w:rsidRPr="00107C19">
        <w:rPr>
          <w:rStyle w:val="title-text"/>
          <w:rFonts w:asciiTheme="minorHAnsi" w:hAnsiTheme="minorHAnsi" w:cstheme="minorHAnsi"/>
          <w:color w:val="000000" w:themeColor="text1"/>
        </w:rPr>
        <w:lastRenderedPageBreak/>
        <w:t>relay-cropped the following summer with soybean, thereby producing two crops on the same field in a single year. ARS researchers in Morris, Minnesota, demonstrated that using careful soybean variety selection and proper planting schedules can maximize soybean yields without lowering pennycress yields. The researchers and university collaborators showed that pennycress can be directly combine-harvested versus swathing because pennycress seeds mature rapidly. Results benefit farmers interested in producing pennycress and relay cropping, university extension specialists, ag consultants, industry partners, and other scientists seeking ways to improve pennycress production. (NP305, C1, PS 1A; Project No. 5060-21220-007-000D).</w:t>
      </w:r>
    </w:p>
    <w:p w14:paraId="099FAD68"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Honey bee foragers prefer nutrient-rich mixed-species pollen</w:t>
      </w:r>
      <w:r w:rsidRPr="00107C19">
        <w:rPr>
          <w:rStyle w:val="title-text"/>
          <w:rFonts w:asciiTheme="minorHAnsi" w:hAnsiTheme="minorHAnsi" w:cstheme="minorHAnsi"/>
          <w:color w:val="000000" w:themeColor="text1"/>
        </w:rPr>
        <w:t>. Honeybees providing pollination services are regularly exposed to a monoculture diet. ARS researchers in Davis, California, showed that when given a choice, bees prefer pollen from intercrops that contained a mix of species. Analyses of pollen from almond orchards, sunflower fields and from mixed-species intercrops showed that mixed-species pollen is rich in important dietary compounds that support healthy honey bees. This result supports the need for pollinator habitats and intercrop plantings in almond orchards and other agricultural fields. (NP305, C2, PS2A, Project No. 2030-21000-055-000D)</w:t>
      </w:r>
    </w:p>
    <w:p w14:paraId="4DCC1691"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New fertilization, irrigation, and compost methods reduce greenhouse gas emissions and maintain crop yields. </w:t>
      </w:r>
      <w:r w:rsidRPr="00107C19">
        <w:rPr>
          <w:rStyle w:val="title-text"/>
          <w:rFonts w:asciiTheme="minorHAnsi" w:hAnsiTheme="minorHAnsi" w:cstheme="minorHAnsi"/>
          <w:color w:val="000000" w:themeColor="text1"/>
        </w:rPr>
        <w:t xml:space="preserve">ARS researchers in Davis, California, and researchers at the University of California, Davis, completed a global structured review of how cover crops affect soil biological, physical, and chemical attributes known as soil health indicators. Given the priority of both USDA and various California state agencies to support Climate Smart Agriculture, they examined the benefits of cover crops for soil health, crop productivity, and economic and ecological factors. They found cover crops were associated with higher levels of soil organic carbon—a prized soil health indicator—and soil texture class influenced the magnitude/frequency of this and other soil health indicators. This work demonstrates that in nearly all soil texture classes, cover crops tend to be associated with most soil health indicators, regardless of cover crop type, cropping system, and world region. However, cover crop use did not consistently reduce soil compaction across all soil textures, suggesting other mitigating practices for soil compaction are needed in combination with cover crops. These findings suggest that cover crops improve and/or sustain soil health indicators, which may protect soils for crop production and promote Climate Smart Agriculture. (NP305, C1, PS1B, Project No. 2032-21220-008-000D) </w:t>
      </w:r>
    </w:p>
    <w:p w14:paraId="298AA3D3"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Western bumble bee decline linked to climate change and pesticides use</w:t>
      </w:r>
      <w:r w:rsidRPr="00107C19">
        <w:rPr>
          <w:rStyle w:val="title-text"/>
          <w:rFonts w:asciiTheme="minorHAnsi" w:hAnsiTheme="minorHAnsi" w:cstheme="minorHAnsi"/>
          <w:color w:val="000000" w:themeColor="text1"/>
        </w:rPr>
        <w:t>. The historically abundant western bumble bee was developed commercially to deliver key pollination services to diverse cropping systems, especially greenhouse tomatoes. However, a pathogen outbreak in these western bumble bee populations halted their production indefinitely. ARS researchers in Logan, Utah, and collaborators found that western bumble bee population declines are also linked to increasing drought conditions and pesticide use in the western United States. These results will support the U.S. Fish and Wildlife Service and state agencies in making informed decisions on managing western bumble bee habitat. (NP305, C2, PS2C, Project No. 2080-21000-019-000D)</w:t>
      </w:r>
    </w:p>
    <w:p w14:paraId="46BBA5C0"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Amending spray solutions to increase pesticide efficiency and reduce runoff.</w:t>
      </w:r>
      <w:r w:rsidRPr="00107C19">
        <w:rPr>
          <w:rStyle w:val="title-text"/>
          <w:rFonts w:asciiTheme="minorHAnsi" w:hAnsiTheme="minorHAnsi" w:cstheme="minorHAnsi"/>
          <w:color w:val="000000" w:themeColor="text1"/>
        </w:rPr>
        <w:t xml:space="preserve"> The effectiveness of pesticide applications in crop systems can be increased significantly by increasing droplet retention and spread, which is influenced by the interaction between the adhesive characteristics of the droplets and </w:t>
      </w:r>
      <w:r w:rsidRPr="00107C19">
        <w:rPr>
          <w:rStyle w:val="title-text"/>
          <w:rFonts w:asciiTheme="minorHAnsi" w:hAnsiTheme="minorHAnsi" w:cstheme="minorHAnsi"/>
          <w:color w:val="000000" w:themeColor="text1"/>
        </w:rPr>
        <w:lastRenderedPageBreak/>
        <w:t>leaf surface structures. ARS researchers in Wooster, Ohio, investigated spray droplet retention and spread capabilities on leaves by changing physical properties of spray solutions with different types of adjuvants. They found the organo-silicone adjuvant provided the best droplet retention on the rough and difficult-to-wet leaves at concentrations of 0.75 percent or higher. The polymer-based adjuvant improved droplet retention on easy-to-wet leaves but was ineffective on the difficult-to-wet leaves. The information from this research provided key components for chemical formulators and growers to select or formulate optimal adjuvants to increase chemical retention on plants. (NP305, C1, PS1B, PS1C, PS1D; Project No. 5082-21620-001-000D).</w:t>
      </w:r>
    </w:p>
    <w:p w14:paraId="27D29742"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Identifying weeds in sugarcane fields with remote imagery.</w:t>
      </w:r>
      <w:r w:rsidRPr="00107C19">
        <w:rPr>
          <w:rStyle w:val="title-text"/>
          <w:rFonts w:asciiTheme="minorHAnsi" w:hAnsiTheme="minorHAnsi" w:cstheme="minorHAnsi"/>
          <w:color w:val="000000" w:themeColor="text1"/>
        </w:rPr>
        <w:t xml:space="preserve"> Controlling weeds is critical for profitable sugarcane production systems. ARS scientists in Houma, Louisiana, and cooperators from Louisiana State University and Texas A&amp;M University detected weeds in sugarcane fields using leaf reflectance measurements and pigment analyses. Leaf samples were collected from four commercial Louisiana sugarcane varieties and from nine weed species commonly found in sugarcane fields. In all cases, leaf reflectance data successfully differentiated sugarcane from weeds. The accuracy of the classification varied from 67 percent to 100 percent for individual sugarcane varieties and weed species, and sugarcane was never misclassified as a weed. The successful implementation of this technology as either an airborne system to scout and map weeds or a tractor-based system to identify and spray weeds in real time would offer sugarcane growers a valuable tool to manage their crops. Accurately targeting weeds could reduce total herbicide applications, save growers costs, and reduce environmental impacts. (NP305, C1, PS1A, project No. 6052-21000-017-000D)</w:t>
      </w:r>
    </w:p>
    <w:p w14:paraId="55019704" w14:textId="77777777"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Cold storage evaluated as part of a Varroa management strategy.</w:t>
      </w:r>
      <w:r w:rsidRPr="00107C19">
        <w:rPr>
          <w:rStyle w:val="title-text"/>
          <w:rFonts w:asciiTheme="minorHAnsi" w:hAnsiTheme="minorHAnsi" w:cstheme="minorHAnsi"/>
          <w:color w:val="000000" w:themeColor="text1"/>
        </w:rPr>
        <w:t xml:space="preserve"> Varroa mites feed on developing bees and transmit disease, making them one of the most serious problems in beekeeping. Placing honey bee colonies in cold storage has been proposed as a way to induce a pause in brood production and produce bee colonies with low Varroa mite levels in the spring. ARS researchers in Tucson, Arizona, conducted a 2-year study that exposed colonies to an October cold storage period and/or a subsequent miticide application. They found the full treatment did not reduce spring Varroa levels, but cold storage did stop brood production. Long-term impacts of cold storage on adult bee populations, colony thermoregulation, and stress biomarkers were low compared to nutritional effects resulting from yearly differences in bee forage availability. Although further work is needed to optimize treatment schedules in the late summer and fall, cold storage may be an effective way to reduce brood as part of a Varroa management plan. (NP305, C2, PS2A, Project No. 2022-21000-022-000D)</w:t>
      </w:r>
    </w:p>
    <w:p w14:paraId="390B5EB4" w14:textId="7A114BCF" w:rsidR="007A235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Modified row spacing improves soybean yield in winter camelina/soybean relay cropping system. </w:t>
      </w:r>
      <w:r w:rsidRPr="00107C19">
        <w:rPr>
          <w:rStyle w:val="title-text"/>
          <w:rFonts w:asciiTheme="minorHAnsi" w:hAnsiTheme="minorHAnsi" w:cstheme="minorHAnsi"/>
          <w:color w:val="000000" w:themeColor="text1"/>
        </w:rPr>
        <w:t xml:space="preserve">ARS researchers in Morris, Minnesota, pioneered the development of relay cropping soybean with winter camelina and pennycress. While much is known about biological nitrogen fixation (BNF) in traditional soybean production systems, very little is known about soybean BNF when relay-cropped with camelina. ARS researchers in Morris, Minnesota, showed that nitrogen-fixing bacteria successfully fixed nitrogen in relayed soybean roots. However, competition between camelina and soybean during the relay phase, when soybeans are growing between camelina rows, resulted in lower nitrogen fixation and lower grain yield in relayed production, compared to conventionally grown soybean. Findings from this research suggest that modifying plant spacing to reduce plant-to-plant competition during the relay phase may boost BNF and seed yields in relayed soybean. Results benefit researchers </w:t>
      </w:r>
      <w:r w:rsidRPr="00107C19">
        <w:rPr>
          <w:rStyle w:val="title-text"/>
          <w:rFonts w:asciiTheme="minorHAnsi" w:hAnsiTheme="minorHAnsi" w:cstheme="minorHAnsi"/>
          <w:color w:val="000000" w:themeColor="text1"/>
        </w:rPr>
        <w:lastRenderedPageBreak/>
        <w:t>exploring ways to improve productivity in relay cropping systems, as well as farmers, ag consultants, and extension specialists who are beginning to implement this new cropping system. (NP305, C1, PS 1A; Project No. 5060-21220-007-000D).</w:t>
      </w:r>
    </w:p>
    <w:p w14:paraId="2C93DE47" w14:textId="043CE899" w:rsidR="00144EDD" w:rsidRPr="00107C19" w:rsidRDefault="007A235D" w:rsidP="007A235D">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Water footprint established for blueberries</w:t>
      </w:r>
      <w:r w:rsidRPr="00107C19">
        <w:rPr>
          <w:rStyle w:val="title-text"/>
          <w:rFonts w:asciiTheme="minorHAnsi" w:hAnsiTheme="minorHAnsi" w:cstheme="minorHAnsi"/>
          <w:color w:val="000000" w:themeColor="text1"/>
        </w:rPr>
        <w:t>. A “water footprint” is defined as the amount of water needed to produce a unit of a particular product and measures freshwater resource use for human activities, including agriculture. ARS researchers in Corvallis, Oregon, collaborated with the University of Buenos Ares (Argentina) and the University of Concepción (Chile) and determined the water footprint for three widely grown blueberry cultivars: ‘Star’, ‘Emerald’, and ‘Snowchaser’. The annual footprint of each, which included water utilized from rain, drip irrigation, and sprinklers for frost protection, differed among the cultivars. Star used from 25 to 69 gallons of water to produce a pound of berries, Emerald used from 35 to 118 gallons of water to produce a pound of berries, and Snowchaser used from 64 to 487 gallons of water to produce a pound of berries. Snowchaser bloomed at the beginning of winter and required the most water for frost protection, while Star lost most of its leaves during the winter, flowered late, and consequently used the least amount of water. Irrigation designers can use this information to quantify water requirements for each cultivar and allocate water for irrigation and frost protection accordingly. (NP305, C1, PS1B, Project No. 2072-21000-055-000D)</w:t>
      </w:r>
    </w:p>
    <w:p w14:paraId="298164DA" w14:textId="77777777" w:rsidR="00144EDD" w:rsidRPr="00107C19" w:rsidRDefault="00144EDD" w:rsidP="006F3955">
      <w:pPr>
        <w:pStyle w:val="Heading3"/>
        <w:rPr>
          <w:b/>
          <w:bCs w:val="0"/>
        </w:rPr>
      </w:pPr>
      <w:bookmarkStart w:id="481" w:name="_Toc160186043"/>
      <w:r w:rsidRPr="00107C19">
        <w:rPr>
          <w:b/>
          <w:bCs w:val="0"/>
        </w:rPr>
        <w:t>Nutrition, Food Safety, and Quality</w:t>
      </w:r>
      <w:bookmarkEnd w:id="481"/>
    </w:p>
    <w:p w14:paraId="6F72CEA7" w14:textId="43D8B19C"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Pregnant mother’s physical activity and newborn’s brain development</w:t>
      </w:r>
      <w:r w:rsidRPr="00107C19">
        <w:rPr>
          <w:rStyle w:val="title-text"/>
          <w:rFonts w:asciiTheme="minorHAnsi" w:hAnsiTheme="minorHAnsi" w:cstheme="minorHAnsi"/>
          <w:color w:val="000000" w:themeColor="text1"/>
        </w:rPr>
        <w:t>. ARS-funded researchers in Little Rock, Arkansas, studied how physical activity during pregnancy affects infant brain development. They  tracked six interludes of physical activity by pregnant women and subsequently conducted MRIs on their infants’ brains 2 weeks after birth. Results showed significant relationships between maternal physical activity during the first and second trimester and brain cortical development in newborns. The study also identified that higher physical activity levels were associated with greater brain cortical thickness, suggesting an indication of better cortical development. This study provides the first direct evidence that physical activity during uncomplicated pregnancy may be beneficial for the brain development of offspring. (NP107, C5, PSB, Project No. 6026-51000-012-000D)</w:t>
      </w:r>
    </w:p>
    <w:p w14:paraId="226EC319" w14:textId="6B227AC5"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 new way to reduce eating</w:t>
      </w:r>
      <w:r w:rsidRPr="00107C19">
        <w:rPr>
          <w:rStyle w:val="title-text"/>
          <w:rFonts w:asciiTheme="minorHAnsi" w:hAnsiTheme="minorHAnsi" w:cstheme="minorHAnsi"/>
          <w:color w:val="000000" w:themeColor="text1"/>
        </w:rPr>
        <w:t>. Hunger can drive humans and animals to eat, but in the absence of hunger, eating can also be triggered by the hedonic (pleasant sensations) value of foods. This "pleasure-driven" eating is a contributing factor to obesity. Researchers at the Children's Nutrition Research Center in Houston, Texas, discovered that a certain type of brain cells called 5-hydroxytryptamine (5-HT) neurons can suppress hedonic feeding. They found how 5-HT cells are regulated by nutrient intake and how these cells send signals to regulate feeding behaviors. These significant findings provide a framework to potentially target these specific cells for preventing and/or treating obesity. (NP107, C4, PSA, Project No. 3092-51000-064-000D)</w:t>
      </w:r>
      <w:r w:rsidRPr="00107C19">
        <w:rPr>
          <w:rStyle w:val="title-text"/>
          <w:rFonts w:asciiTheme="minorHAnsi" w:hAnsiTheme="minorHAnsi" w:cstheme="minorHAnsi"/>
          <w:color w:val="000000" w:themeColor="text1"/>
        </w:rPr>
        <w:tab/>
      </w:r>
    </w:p>
    <w:p w14:paraId="0E3F5540" w14:textId="24CCD440"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Detrimental effects of a sugar-rich diet</w:t>
      </w:r>
      <w:r w:rsidRPr="00107C19">
        <w:rPr>
          <w:rStyle w:val="title-text"/>
          <w:rFonts w:asciiTheme="minorHAnsi" w:hAnsiTheme="minorHAnsi" w:cstheme="minorHAnsi"/>
          <w:color w:val="000000" w:themeColor="text1"/>
        </w:rPr>
        <w:t xml:space="preserve">. The executive brain mediates and facilitates a set of cognitive functions, such as decision-making, planning, self- and emotional-regulation, and attention. The executive brain is particularly vulnerable to effects of psychological stress, and chronic stress, executive brain dysfunction, and related age-associated diseases such as Alzheimer’s Disease are a rising public health concern. ARS researchers in Davis, California, compared how different dietary patterns affect </w:t>
      </w:r>
      <w:r w:rsidRPr="00107C19">
        <w:rPr>
          <w:rStyle w:val="title-text"/>
          <w:rFonts w:asciiTheme="minorHAnsi" w:hAnsiTheme="minorHAnsi" w:cstheme="minorHAnsi"/>
          <w:color w:val="000000" w:themeColor="text1"/>
        </w:rPr>
        <w:lastRenderedPageBreak/>
        <w:t>executive brain function by using a cognitive test that specifically probes a person’s ability to effectively weigh short-term reward with long-term consequences. A sugar-rich diet was associated with the lowest decision-making performance, higher self-reported psychological stress exposure, and activity changes in the autonomic nervous system. Diet patterns defined by more fruits, vegetables, or higher omega-3 fatty acids and seafood were associated with lower chronic stress exposure. These results provide new information that further supports the potential importance of whole diet patterns on preventing cognitive disease. (NP107, C4, PSB, Project No. 2032-51530-025-000D)</w:t>
      </w:r>
    </w:p>
    <w:p w14:paraId="1E6D6819" w14:textId="60F75851"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Inadequate vitamin K intakes in the elderly and dementia risks</w:t>
      </w:r>
      <w:r w:rsidRPr="00107C19">
        <w:rPr>
          <w:rStyle w:val="title-text"/>
          <w:rFonts w:asciiTheme="minorHAnsi" w:hAnsiTheme="minorHAnsi" w:cstheme="minorHAnsi"/>
          <w:color w:val="000000" w:themeColor="text1"/>
        </w:rPr>
        <w:t>. As part of the Rush Memory and Aging Project, ARS-funded researchers in Boston, Massachusetts, demonstrated that higher postmortem brain levels of a vitamin K metabolite were associated with better cognitive function prior to death. They also found higher brain vitamin K concentrations were associated with lower odds of dementia or mild cognitive impairment. These findings provide new and compelling evidence implicating vitamin K in neuropathology underlying cognitive decline and dementia. (NP107, C3, PSA, Project No. 8050-51000-099-000D)</w:t>
      </w:r>
    </w:p>
    <w:p w14:paraId="23FB2302" w14:textId="0C03F6B1"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Release of Food Patterns Equivalents Database for Use with WWEIA, NHANES 2017-March 2020. </w:t>
      </w:r>
      <w:r w:rsidRPr="00107C19">
        <w:rPr>
          <w:rStyle w:val="title-text"/>
          <w:rFonts w:asciiTheme="minorHAnsi" w:hAnsiTheme="minorHAnsi" w:cstheme="minorHAnsi"/>
          <w:color w:val="000000" w:themeColor="text1"/>
        </w:rPr>
        <w:t>ARS researchers in Beltsville, Maryland, developed the Food Patterns Equivalents Database (FPED), which provides an alternative to using the Dietary Guidelines for Americans for assessing individual diets. Three sets of FPED tables posted online summarize national dietary survey data conducted from 2017 to March 2020 for food and beverage intakes across the 37 Food Pattern components for 23 age-gender and socio-economic groups. These estimates provide unique data to evaluate food and beverage intakes of Americans, compared to 2020-2025 Dietary Guidelines for Americans recommendations. The FPED for Use with WWEIA, NHANES 2017-March 2020, which converts foods reported in the 2017-March 2020 survey years as well as the Methodology and User Guide for FPED, were also released online and can be accessed at www.ars.usda.gov/nea/bhnrc/fsrg. (NP107, C2, PSB, Project No. 8040-53000-020-000D)</w:t>
      </w:r>
    </w:p>
    <w:p w14:paraId="747AD7CB" w14:textId="77777777"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Diverse dietary monosaccharides associated with a healthier gut</w:t>
      </w:r>
      <w:r w:rsidRPr="00107C19">
        <w:rPr>
          <w:rStyle w:val="title-text"/>
          <w:rFonts w:asciiTheme="minorHAnsi" w:hAnsiTheme="minorHAnsi" w:cstheme="minorHAnsi"/>
          <w:color w:val="000000" w:themeColor="text1"/>
        </w:rPr>
        <w:t>. The human gut microbiome influences health, but more information is needed about dietary factors that support a healthy microbiome. ARS scientists in Davis, California, mapped dietary data of a human cohort to the Davis Food Glycopedia to determine the level of 10 different sugar monomers, or monosaccharides, in the diets of healthy U.S. adults. A higher dietary diversity of monosaccharides was associated with greater gut microbiome diversity and lower gastrointestinal inflammation. Specific food sources were enriched for individual monosaccharides that were associated with specific gut microbes. These results suggest that diets could be tailored to include foods that are rich sources of specific monosaccharides to support the growth of specific gut microbes. This approach, which could provide individual Americans with diets that provide specific health benefits, is a focus of the new USDA initiative Agricultural Science Center of Excellence for Nutrition and Diet for Better Health (ASCEND for Better Health). (NP 107, C3, PSB, Project No. 2032-51530-026-000D)</w:t>
      </w:r>
    </w:p>
    <w:p w14:paraId="063E97B2" w14:textId="77777777"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A new antibody to treat foodborne illness. </w:t>
      </w:r>
      <w:r w:rsidRPr="00107C19">
        <w:rPr>
          <w:rStyle w:val="title-text"/>
          <w:rFonts w:asciiTheme="minorHAnsi" w:hAnsiTheme="minorHAnsi" w:cstheme="minorHAnsi"/>
          <w:color w:val="000000" w:themeColor="text1"/>
        </w:rPr>
        <w:t xml:space="preserve">Shiga toxin (Stx) is the predominant cause of the life-threatening associated hemolytic uremic syndrome (HUS). The toxin is produced by Shiga toxigenic Escherichia coli (STEC), a critical food safety pathogen. Currently there are no U.S. Food and Drug Administration (FDA) approved medical intervention therapies to treat HUS. ARS researchers in Albany, </w:t>
      </w:r>
      <w:r w:rsidRPr="00107C19">
        <w:rPr>
          <w:rStyle w:val="title-text"/>
          <w:rFonts w:asciiTheme="minorHAnsi" w:hAnsiTheme="minorHAnsi" w:cstheme="minorHAnsi"/>
          <w:color w:val="000000" w:themeColor="text1"/>
        </w:rPr>
        <w:lastRenderedPageBreak/>
        <w:t>California, developed a humanized antibody against Stx2, the most lethal variant of the toxin, and determined that this antibody, which caused no allergic reaction, was highly effective in mitigating Stx2 in vitro and in vivo, and  protected mice from mortality and any HUS-related tissue damage. With FDA approval, this discovery should provide a medical therapeutic intervention option to combat the HUS disease in humans, especially infants and children. (NP108, C1, PSD, 2030-42000-053-000D)</w:t>
      </w:r>
    </w:p>
    <w:p w14:paraId="2A4E2B8E" w14:textId="77777777"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Per/Poly-fluoroalkyl substances (PFAS). </w:t>
      </w:r>
      <w:r w:rsidRPr="00107C19">
        <w:rPr>
          <w:rStyle w:val="title-text"/>
          <w:rFonts w:asciiTheme="minorHAnsi" w:hAnsiTheme="minorHAnsi" w:cstheme="minorHAnsi"/>
          <w:color w:val="000000" w:themeColor="text1"/>
        </w:rPr>
        <w:t>PFAS are known as "forever chemicals" due to their persistence in the environment and bioaccumulation in animals, humans, and plants, and can be toxic to human health. Diet has been considered a major source of PFAS exposure, but efficient analytical methods are needed to measure their levels in foods. ARS scientists in Wyndmoor, Pennsylvania, developed a new method to analyze 34 PFAS in foods regulated by the USDA Food Safety Inspection Service (FSIS), including chicken, pork, beef, catfish, and liquid eggs. Results demonstrated the new method is robust, accurate, and precise; it is also fast and simple and outperformed two official methods used by the FDA and FSIS. This method will be readily implemented for routine use by national and international food safety regulatory agencies already analyzing pesticides, veterinary drugs, and environmental contaminants. (NP108, C1, PSD, 8072-42000-088-000D)</w:t>
      </w:r>
    </w:p>
    <w:p w14:paraId="13E9C0A7" w14:textId="77777777"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AI and ML models to predict mycotoxin outbreaks</w:t>
      </w:r>
      <w:r w:rsidRPr="00107C19">
        <w:rPr>
          <w:rStyle w:val="title-text"/>
          <w:rFonts w:asciiTheme="minorHAnsi" w:hAnsiTheme="minorHAnsi" w:cstheme="minorHAnsi"/>
          <w:color w:val="000000" w:themeColor="text1"/>
        </w:rPr>
        <w:t>. In response to requests from the National Corn Growers Association, ARS researchers in New Orleans, Louisiana, and Peoria, Illinois, collaborated with the Illinois Department of Agriculture on using artificial intelligence and machine learning to develop models that predict aflatoxin and fusarium mycotoxin contamination levels in corn. The models were developed using extensive correlation analyses of more than 20 years of mycotoxin contamination data and prevailing historic weather parameters, geospatial and soil physical properties, and satellite-derived vegetation data and land usage. The models forecasted mycotoxin contamination in Illinois-grown corn with more than 95 percent accuracy. ARS is now training the model to use prevailing production parameters in other states to provide corn producers and stakeholders with advance warning about impending contamination. This will enable producers and stakeholders to plan and execute suitable mitigation measures to protect the food supply from mycotoxin contamination. (NP108, C1, PSF, 6054-42000-027-000D)</w:t>
      </w:r>
      <w:r w:rsidRPr="00107C19">
        <w:rPr>
          <w:rStyle w:val="title-text"/>
          <w:rFonts w:asciiTheme="minorHAnsi" w:hAnsiTheme="minorHAnsi" w:cstheme="minorHAnsi"/>
          <w:color w:val="000000" w:themeColor="text1"/>
        </w:rPr>
        <w:tab/>
      </w:r>
    </w:p>
    <w:p w14:paraId="099086E3" w14:textId="77777777"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Predicting pathogens in preharvest leafy greens</w:t>
      </w:r>
      <w:r w:rsidRPr="00107C19">
        <w:rPr>
          <w:rStyle w:val="title-text"/>
          <w:rFonts w:asciiTheme="minorHAnsi" w:hAnsiTheme="minorHAnsi" w:cstheme="minorHAnsi"/>
          <w:color w:val="000000" w:themeColor="text1"/>
        </w:rPr>
        <w:t xml:space="preserve">. Previous studies determined that foodborne illness outbreaks due to </w:t>
      </w:r>
      <w:r w:rsidRPr="00107C19">
        <w:rPr>
          <w:rStyle w:val="title-text"/>
          <w:rFonts w:asciiTheme="minorHAnsi" w:hAnsiTheme="minorHAnsi" w:cstheme="minorHAnsi"/>
          <w:i/>
          <w:iCs/>
          <w:color w:val="000000" w:themeColor="text1"/>
        </w:rPr>
        <w:t xml:space="preserve">Escherichia coli </w:t>
      </w:r>
      <w:r w:rsidRPr="00107C19">
        <w:rPr>
          <w:rStyle w:val="title-text"/>
          <w:rFonts w:asciiTheme="minorHAnsi" w:hAnsiTheme="minorHAnsi" w:cstheme="minorHAnsi"/>
          <w:color w:val="000000" w:themeColor="text1"/>
        </w:rPr>
        <w:t>(</w:t>
      </w:r>
      <w:r w:rsidRPr="00107C19">
        <w:rPr>
          <w:rStyle w:val="title-text"/>
          <w:rFonts w:asciiTheme="minorHAnsi" w:hAnsiTheme="minorHAnsi" w:cstheme="minorHAnsi"/>
          <w:i/>
          <w:iCs/>
          <w:color w:val="000000" w:themeColor="text1"/>
        </w:rPr>
        <w:t>E. coli</w:t>
      </w:r>
      <w:r w:rsidRPr="00107C19">
        <w:rPr>
          <w:rStyle w:val="title-text"/>
          <w:rFonts w:asciiTheme="minorHAnsi" w:hAnsiTheme="minorHAnsi" w:cstheme="minorHAnsi"/>
          <w:color w:val="000000" w:themeColor="text1"/>
        </w:rPr>
        <w:t>) O157:H7 (EcO157) contamination of lettuce show seasonal trends. Contamination in the California Central Coast region is more frequent in autumn, unlike late winter contamination in the Imperial Valley. ARS researchers in Albany, California, and Cleveland State University collaborators developed a mechanistic model based on weather data obtained from California weather stations to predict EcO157 contamination trends on lettuce. The model accurately predicted EcO157 survival rates on young romaine lettuce plants that had been measured in previous field experiments in Salinas, California. This provides a user-friendly model that food safety regulatory agencies can use to develop a weather-based risk assessment tool for the lettuce industry, which is valued at more than $4B annually. (NP108, C1, PSF, 2030-42000-052-000D)</w:t>
      </w:r>
    </w:p>
    <w:p w14:paraId="08935922" w14:textId="77777777"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Cannabinoid residues in beef</w:t>
      </w:r>
      <w:r w:rsidRPr="00107C19">
        <w:rPr>
          <w:rStyle w:val="title-text"/>
          <w:rFonts w:asciiTheme="minorHAnsi" w:hAnsiTheme="minorHAnsi" w:cstheme="minorHAnsi"/>
          <w:color w:val="000000" w:themeColor="text1"/>
        </w:rPr>
        <w:t xml:space="preserve">. Oil can be extracted from industrial hempseed to make hempseed cake, a highly nutritious byproduct for livestock. Although hempseed oil is commonly used in food, health care, and cosmetic products, hempseed cake cannot be used in food animal rations because cannabidiol (CBD) and tetrahydrocannabinol (THC) residue levels in edible tissues had not been </w:t>
      </w:r>
      <w:r w:rsidRPr="00107C19">
        <w:rPr>
          <w:rStyle w:val="title-text"/>
          <w:rFonts w:asciiTheme="minorHAnsi" w:hAnsiTheme="minorHAnsi" w:cstheme="minorHAnsi"/>
          <w:color w:val="000000" w:themeColor="text1"/>
        </w:rPr>
        <w:lastRenderedPageBreak/>
        <w:t>determined. ARS scientists in Fargo, North Dakota, incorporated hempseed cake into a ration fed to cattle for approximately 16 weeks. Cannabinoid residues were sporadically detected in urine and plasma during the feeding period. Low levels (10 parts per billion) of CBD/THC were measured in fat of animals harvested with no withdrawal period, but CBD/THC were below detectable levels in liver, kidney, and muscle. These results suggest it would be very difficult for a human to consume enough fat from cattle fed hempseed cake to exceed conservative dietary THC regulatory thresholds. These data will be valuable to State and Federal officials who regulate industrial hemp byproducts use. (NP108, C1, PSD, 3060-32420-003-000D)</w:t>
      </w:r>
    </w:p>
    <w:p w14:paraId="7E98C8CA" w14:textId="77777777"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 xml:space="preserve">Neutralization of </w:t>
      </w:r>
      <w:r w:rsidRPr="00107C19">
        <w:rPr>
          <w:rStyle w:val="title-text"/>
          <w:rFonts w:asciiTheme="minorHAnsi" w:hAnsiTheme="minorHAnsi" w:cstheme="minorHAnsi"/>
          <w:b/>
          <w:bCs/>
          <w:i/>
          <w:iCs/>
          <w:color w:val="000000" w:themeColor="text1"/>
        </w:rPr>
        <w:t>Clostridium botulinum</w:t>
      </w:r>
      <w:r w:rsidRPr="00107C19">
        <w:rPr>
          <w:rStyle w:val="title-text"/>
          <w:rFonts w:asciiTheme="minorHAnsi" w:hAnsiTheme="minorHAnsi" w:cstheme="minorHAnsi"/>
          <w:b/>
          <w:bCs/>
          <w:color w:val="000000" w:themeColor="text1"/>
        </w:rPr>
        <w:t xml:space="preserve"> G neurotoxin. </w:t>
      </w:r>
      <w:r w:rsidRPr="00107C19">
        <w:rPr>
          <w:rStyle w:val="title-text"/>
          <w:rFonts w:asciiTheme="minorHAnsi" w:hAnsiTheme="minorHAnsi" w:cstheme="minorHAnsi"/>
          <w:i/>
          <w:iCs/>
          <w:color w:val="000000" w:themeColor="text1"/>
        </w:rPr>
        <w:t xml:space="preserve">Botulinum </w:t>
      </w:r>
      <w:r w:rsidRPr="00107C19">
        <w:rPr>
          <w:rStyle w:val="title-text"/>
          <w:rFonts w:asciiTheme="minorHAnsi" w:hAnsiTheme="minorHAnsi" w:cstheme="minorHAnsi"/>
          <w:color w:val="000000" w:themeColor="text1"/>
        </w:rPr>
        <w:t>neurotoxins (BoNT) are some of the most potent toxins known to humans and are public health and food safety concerns. There are at least seven different botulinum neurotoxin serotypes (A-G) and potent neutralizing anti-toxin countermeasures to all serotypes do not exist. ARS researchers in Albany, California, and University of California-San Francisco collaborators developed new recombinant antibodies to BoNT/G. Antibody combinations protected mice from death when they were injected with a mean lethal dose (MLD50) of 10,000 MLD50, a dose that is 10,000 times more than needed to cause death in mice. Regulatory public health agencies can use these antibodies to counteract botulism toxicity in humans. (NP108, C1, PSD, 2030-42000-053-000D)</w:t>
      </w:r>
    </w:p>
    <w:p w14:paraId="7EAADC41" w14:textId="7FADF993"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Compostable food-safe adhesive for fruit and vegetable stickers</w:t>
      </w:r>
      <w:r w:rsidRPr="00107C19">
        <w:rPr>
          <w:rStyle w:val="title-text"/>
          <w:rFonts w:asciiTheme="minorHAnsi" w:hAnsiTheme="minorHAnsi" w:cstheme="minorHAnsi"/>
          <w:color w:val="000000" w:themeColor="text1"/>
        </w:rPr>
        <w:t>. U.S. agricultural exports worth millions of dollars are at risk because several countries/regions, including France, Flanders, and New Zealand, enacted legislation that will require all price look up labels on produce to be certified for home composting. At the request of the Foreign Agricultural Service, ARS researchers in Albany, California, and industry collaborators developed a food-safe, compostable adhesive formulation that solved a key coating issue of uneven spreading on the back of the labels. This formulation was tested on a variety of produce and met the requisite standards. The additive that was identified to solve the coating issue will be submitted in an invention disclosure. Research results will help U.S. fruit and vegetable exporters meet the more stringent international standards. (NP306, C1, PSC, Project No. 2030-41000-068-000D)</w:t>
      </w:r>
    </w:p>
    <w:p w14:paraId="111D9116" w14:textId="504C6A9F"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Novel freezing technology yields safer quality juice products.</w:t>
      </w:r>
      <w:r w:rsidRPr="00107C19">
        <w:rPr>
          <w:rStyle w:val="title-text"/>
          <w:rFonts w:asciiTheme="minorHAnsi" w:hAnsiTheme="minorHAnsi" w:cstheme="minorHAnsi"/>
          <w:color w:val="000000" w:themeColor="text1"/>
        </w:rPr>
        <w:t xml:space="preserve"> Processes for conserving natural juices need new systems that maintain sensory and nutritional quality and prolong shelf life with reduced microbial loads. ARS researchers in Albany, California, discovered that isochoric freezing, a new preservation technology, reduced native microbial loads below detection limits in pomegranate and carrot juice, extended the shelf life of both products, and resulted in better overall juice quality. Isochoric freezing is a promising alternative to conventional pasteurization for addressing key consumer and food safety factors for juice products. (NP306, C1, PSA, Project No. 2030-41000-069-000D)</w:t>
      </w:r>
    </w:p>
    <w:p w14:paraId="414BDD71" w14:textId="1B776F31"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New technology proves walnut dust not explosive</w:t>
      </w:r>
      <w:r w:rsidRPr="00107C19">
        <w:rPr>
          <w:rStyle w:val="title-text"/>
          <w:rFonts w:asciiTheme="minorHAnsi" w:hAnsiTheme="minorHAnsi" w:cstheme="minorHAnsi"/>
          <w:color w:val="000000" w:themeColor="text1"/>
        </w:rPr>
        <w:t xml:space="preserve">. Fires and/or explosions at agricultural facilities have been an issue across the world. Walnut dust is designated as combustible by the U.S. Occupational Safety and Health Administration and some local governments and insurance companies have attempted to apply that designation to dust at walnut huller and sheller facilities. Facilities that generate potentially combustible dusts must abide by National Fire Protection Association standards that require expensive sprinkler systems; however, approved dust control systems can cost from </w:t>
      </w:r>
      <w:r w:rsidRPr="00107C19">
        <w:rPr>
          <w:rStyle w:val="title-text"/>
          <w:rFonts w:asciiTheme="minorHAnsi" w:hAnsiTheme="minorHAnsi" w:cstheme="minorHAnsi"/>
          <w:color w:val="000000" w:themeColor="text1"/>
        </w:rPr>
        <w:lastRenderedPageBreak/>
        <w:t xml:space="preserve">$100,000 to more than $1 million and it can be difficult for facilities to obtain approval for building permits and insurance coverage. At the request of the Western Agricultural Processors Association, ARS researchers in Las Cruces, New Mexico, conducted tests to determine the combustibility of dust from walnut hulling and shelling facilities. These tests showed that walnut dusts were not combustible and therefore not an explosion hazard. These results should enable the industry to keep walnut huller and sheller dusts from being classed as combustible, help clear the way for construction of new walnut processing </w:t>
      </w:r>
      <w:r w:rsidR="00717D71" w:rsidRPr="00107C19">
        <w:rPr>
          <w:rStyle w:val="title-text"/>
          <w:rFonts w:asciiTheme="minorHAnsi" w:hAnsiTheme="minorHAnsi" w:cstheme="minorHAnsi"/>
          <w:color w:val="000000" w:themeColor="text1"/>
        </w:rPr>
        <w:t>plants and</w:t>
      </w:r>
      <w:r w:rsidRPr="00107C19">
        <w:rPr>
          <w:rStyle w:val="title-text"/>
          <w:rFonts w:asciiTheme="minorHAnsi" w:hAnsiTheme="minorHAnsi" w:cstheme="minorHAnsi"/>
          <w:color w:val="000000" w:themeColor="text1"/>
        </w:rPr>
        <w:t xml:space="preserve"> save the industry many thousands of dollars for needless fire and explosion suppression hardware and practices. (NP306, C1, PSA, Project No. 3050-41000-010-000D)</w:t>
      </w:r>
    </w:p>
    <w:p w14:paraId="08F47A51" w14:textId="76856BAE"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First control of blueberry fruit rot</w:t>
      </w:r>
      <w:r w:rsidRPr="00107C19">
        <w:rPr>
          <w:rStyle w:val="title-text"/>
          <w:rFonts w:asciiTheme="minorHAnsi" w:hAnsiTheme="minorHAnsi" w:cstheme="minorHAnsi"/>
          <w:color w:val="000000" w:themeColor="text1"/>
        </w:rPr>
        <w:t>. Postharvest fruit rots are a key factor limiting the storage and shelf life of fresh blueberries. Controlling postharvest fruit rot diseases is important to the domestic and international marketing of fresh blueberries, but no products have been registered in the United States specifically for controlling postharvest fruit rots. ARS researchers in Parlier, California, evaluated natamycin, a biofungicide and food-safe additive already used in the food industry, as a postharvest dipping or spraying treatment for controlling postharvest blueberry rot. They found that it is an effective postharvest control for reducing fruit rot and maintaining fruit quality of fresh blueberries. Data is being used to support a pending registration of natamycin for postharvest use on blueberries. (NP306, C1, PSA, Project No. 2034-43000-041-000D)</w:t>
      </w:r>
    </w:p>
    <w:p w14:paraId="2EB9FAB2" w14:textId="2A4ACDF6"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First plant-based potato sprout inhibitor</w:t>
      </w:r>
      <w:r w:rsidRPr="00107C19">
        <w:rPr>
          <w:rStyle w:val="title-text"/>
          <w:rFonts w:asciiTheme="minorHAnsi" w:hAnsiTheme="minorHAnsi" w:cstheme="minorHAnsi"/>
          <w:color w:val="000000" w:themeColor="text1"/>
        </w:rPr>
        <w:t>. Postharvest potato sprouting can lead to alterations in weight, texture, nutritional value, softening, shrinkage, and the formation of toxic alkaloids, so controlling sprouting is critical during potato storage. The most efficient and cost-effective sprout-inhibiting chemical is Chlorpropham (CIPC); however, its degradation products are hazardous for consumer health and the environment, so it has been banned in the European Union, and some export markets have implemented zero CIPC residue levels. ARS researchers in Oxford, Mississippi, determined that Melissa officinalis L. essential oil compounds suppressed sprouting on three potato cultivars (Ranger Russet, Terra Rosa, and Dakota TrailBlazer). This is the first report on using Melissa officinalis L. essential oils to inhibit sprouting and these findings indicate that the essential oils can be utilized to develop new commercial products for sprout control of potatoes. Such products would reduce toxic chemical residues in potatoes and contribute to improved human and environmental health. (NP306, C1, PSB, Project No. 6060-41000-015-000D)</w:t>
      </w:r>
    </w:p>
    <w:p w14:paraId="5778FB3F" w14:textId="4554BC33" w:rsidR="00E21356" w:rsidRPr="00107C19" w:rsidRDefault="00E21356" w:rsidP="00E21356">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Olive extracts on melons are superior to chlorine for food safety</w:t>
      </w:r>
      <w:r w:rsidRPr="00107C19">
        <w:rPr>
          <w:rStyle w:val="title-text"/>
          <w:rFonts w:asciiTheme="minorHAnsi" w:hAnsiTheme="minorHAnsi" w:cstheme="minorHAnsi"/>
          <w:color w:val="000000" w:themeColor="text1"/>
        </w:rPr>
        <w:t xml:space="preserve">. Melons are a diverse group of desert fruits that include orange or green flesh cantaloupe, honeydew, and mixed hybrid varieties, and they are all difficult to effectively wash, clean and sanitize. The outer rinds of melons are easily contaminated by Salmonella, Listeria, and Escherichia coli (E. coli) while they are </w:t>
      </w:r>
      <w:r w:rsidR="00EA67EA" w:rsidRPr="00107C19">
        <w:rPr>
          <w:rStyle w:val="title-text"/>
          <w:rFonts w:asciiTheme="minorHAnsi" w:hAnsiTheme="minorHAnsi" w:cstheme="minorHAnsi"/>
          <w:color w:val="000000" w:themeColor="text1"/>
        </w:rPr>
        <w:t>growing,</w:t>
      </w:r>
      <w:r w:rsidRPr="00107C19">
        <w:rPr>
          <w:rStyle w:val="title-text"/>
          <w:rFonts w:asciiTheme="minorHAnsi" w:hAnsiTheme="minorHAnsi" w:cstheme="minorHAnsi"/>
          <w:color w:val="000000" w:themeColor="text1"/>
        </w:rPr>
        <w:t xml:space="preserve"> and these foodborne pathogens can be transferred to the edible portions during postharvest cutting and dividing. ARS researchers in Albany, California, applied olive extracts, which contain many bioactive compounds, to melon surfaces and found the extracts were effective for controlling Salmonella, L. monocytogenes and E. coli: The antimicrobial activity of olive extract exceeded the current industry standard of 50 parts per million (ppm) that is achieved with chlorine treatment. These results indicate that compounds from olive byproducts can be used to inactivate foodborne pathogens on melons. (NP306, C1, PSA, Project No. 2030-41440-008-000D)</w:t>
      </w:r>
    </w:p>
    <w:p w14:paraId="32DCD309" w14:textId="77777777" w:rsidR="00144EDD" w:rsidRPr="00107C19" w:rsidRDefault="00144EDD" w:rsidP="006F3955">
      <w:pPr>
        <w:pStyle w:val="Heading3"/>
        <w:rPr>
          <w:b/>
          <w:bCs w:val="0"/>
        </w:rPr>
      </w:pPr>
      <w:bookmarkStart w:id="482" w:name="_Toc160186044"/>
      <w:r w:rsidRPr="00107C19">
        <w:rPr>
          <w:b/>
          <w:bCs w:val="0"/>
        </w:rPr>
        <w:lastRenderedPageBreak/>
        <w:t>National Agricultural Library</w:t>
      </w:r>
      <w:bookmarkEnd w:id="482"/>
      <w:r w:rsidRPr="00107C19">
        <w:rPr>
          <w:b/>
          <w:bCs w:val="0"/>
        </w:rPr>
        <w:t xml:space="preserve"> </w:t>
      </w:r>
    </w:p>
    <w:p w14:paraId="41672EA2" w14:textId="77777777" w:rsidR="0005773F" w:rsidRPr="00107C19" w:rsidRDefault="0005773F" w:rsidP="0005773F">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USDA public access implementation plan and Open Science.</w:t>
      </w:r>
      <w:r w:rsidRPr="00107C19">
        <w:rPr>
          <w:rStyle w:val="title-text"/>
          <w:rFonts w:asciiTheme="minorHAnsi" w:hAnsiTheme="minorHAnsi" w:cstheme="minorHAnsi"/>
          <w:color w:val="000000" w:themeColor="text1"/>
        </w:rPr>
        <w:t xml:space="preserve"> In June 2023 the National Agricultural Library (NAL) in Beltsville, Maryland, on behalf of USDA, published the plan “Implementation Plan to Increase Public Access to USDA-Funded Research Results.” This plan was developed to meet the requirements of the White House Office of Science and Technology Policy (OSTP) memorandum “Ensuring Free, Immediate, and Equitable Access to Federally Funded Research”, issued August 25, 2022, that will reshape public access policy across the U.S. government. During the 4th quarter of FY 2023, NAL published a public notice about the plan’s implementation and began stakeholder listening sessions that will be used to develop and implement new policies ahead of OSTP’s December 2025 deadline.  NAL also launched the Public Access and Open Science at USDA web resource at https://www.nal.usda.gov/services/public-access. </w:t>
      </w:r>
    </w:p>
    <w:p w14:paraId="2E74C130" w14:textId="77777777" w:rsidR="0005773F" w:rsidRPr="00107C19" w:rsidRDefault="0005773F" w:rsidP="0005773F">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Ag Data Commons and Protocols i/o expands public access to USDA-funded research.</w:t>
      </w:r>
      <w:r w:rsidRPr="00107C19">
        <w:rPr>
          <w:rStyle w:val="title-text"/>
          <w:rFonts w:asciiTheme="minorHAnsi" w:hAnsiTheme="minorHAnsi" w:cstheme="minorHAnsi"/>
          <w:color w:val="000000" w:themeColor="text1"/>
        </w:rPr>
        <w:t xml:space="preserve"> The Ag Data Commons is a scientific research data catalog and repository that helps the agricultural research community share and discover data generated from research funded by USDA. The platform is a Federal resource that is open to the public and is available at https://data.nal.usda.gov/. Ag Data Commons works closely with the USDA research community to meet Federal open-access requirements to support scientific integrity and data reuse.  In FY 2023 Ag Data Commons transitioned to the technology platform Figshare to ensure the scalability required for implementing the White House OSTP memorandum “Ensuring Free, Immediate, and Equitable Access to Federally Funded Research.” </w:t>
      </w:r>
    </w:p>
    <w:p w14:paraId="50241B17" w14:textId="77777777" w:rsidR="0005773F" w:rsidRPr="00107C19" w:rsidRDefault="0005773F" w:rsidP="0005773F">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NAL collaborated with the ARS Partnerships for Data Innovation to move production to Protocols.io, a protocols management and access platform</w:t>
      </w:r>
      <w:r w:rsidRPr="00107C19">
        <w:rPr>
          <w:rStyle w:val="title-text"/>
          <w:rFonts w:asciiTheme="minorHAnsi" w:hAnsiTheme="minorHAnsi" w:cstheme="minorHAnsi"/>
          <w:color w:val="000000" w:themeColor="text1"/>
        </w:rPr>
        <w:t xml:space="preserve">. The platform gives ARS researchers a platform to collaborate on developing, maintaining, sharing, and publishing ARS research methods and standard operating procedures. At the end of FY 2023, NAL maintained 265 collaborative workspaces and published 437 protocols (30 via public access) in Protocols.io. These statistics reflect significant increases over FY 2022 productivity. </w:t>
      </w:r>
    </w:p>
    <w:p w14:paraId="1430143B" w14:textId="77777777" w:rsidR="0005773F" w:rsidRPr="00107C19" w:rsidRDefault="0005773F" w:rsidP="0005773F">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Increasing USDA full-text publications and peer reviewed citations.</w:t>
      </w:r>
      <w:r w:rsidRPr="00107C19">
        <w:rPr>
          <w:rStyle w:val="title-text"/>
          <w:rFonts w:asciiTheme="minorHAnsi" w:hAnsiTheme="minorHAnsi" w:cstheme="minorHAnsi"/>
          <w:color w:val="000000" w:themeColor="text1"/>
        </w:rPr>
        <w:t xml:space="preserve"> PubAg is NAL’s search system for USDA-funded scholarly agricultural literature and is available at: https://search.nal.usda.gov/discovery/search?vid=01NAL_INST:MAIN&amp;search_scope=pubag&amp;tab=pubagPubAg contains citations and full-text scholarly articles related to the agricultural sciences. In FY 2023, PubAg contained more than 4.2 million citations to peer-reviewed, agriculture-related scientific articles. NAL also increased the full-text corpus publicly accessible through PubAg by more than 75,000 new full-text articles, for a total of 404,106 full-text articles. NAL staff continuously ingests relevant scholarly agricultural information to PubAg. It is the source for researchers, scientists, and the public to find scientific, peer-reviewed citations and publications related to agriculture.</w:t>
      </w:r>
    </w:p>
    <w:p w14:paraId="1384CADE" w14:textId="77777777" w:rsidR="0005773F" w:rsidRPr="00107C19" w:rsidRDefault="0005773F" w:rsidP="0005773F">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i5K Workspace</w:t>
      </w:r>
      <w:r w:rsidRPr="00107C19">
        <w:rPr>
          <w:rStyle w:val="title-text"/>
          <w:rFonts w:asciiTheme="minorHAnsi" w:hAnsiTheme="minorHAnsi" w:cstheme="minorHAnsi"/>
          <w:color w:val="000000" w:themeColor="text1"/>
        </w:rPr>
        <w:t xml:space="preserve">. The i5K Workspace is a place for arthropod genome communities to curate, visualize, and share data to solve agricultural problems challenging the nation and the world. It is available at: https://i5k.nal.usda.gov/.  The I5k Workspace continued to improve the functional annotation pipeline for arthropod genomes and in FY 2023 released 220 functional genome annotations (an all-time high that was achieved for the second year in a row) to the National Center for Biotechnology Information. </w:t>
      </w:r>
      <w:r w:rsidRPr="00107C19">
        <w:rPr>
          <w:rStyle w:val="title-text"/>
          <w:rFonts w:asciiTheme="minorHAnsi" w:hAnsiTheme="minorHAnsi" w:cstheme="minorHAnsi"/>
          <w:color w:val="000000" w:themeColor="text1"/>
        </w:rPr>
        <w:lastRenderedPageBreak/>
        <w:t>The Ag100Pest project is ARS’ contribution to the Earth BioGenome Project’s efforts to sequence the genome of all extant eukaryotes. ARS i5k Workspace personnel contributed to the Ag100Pest project in FY 2023 by completing content ingest process improvements to meet the increases in genome assembly production by ARS scientists.</w:t>
      </w:r>
    </w:p>
    <w:p w14:paraId="6867594C" w14:textId="77777777" w:rsidR="0005773F" w:rsidRPr="00107C19" w:rsidRDefault="0005773F" w:rsidP="0005773F">
      <w:pPr>
        <w:pStyle w:val="text"/>
        <w:rPr>
          <w:rStyle w:val="title-text"/>
          <w:rFonts w:asciiTheme="minorHAnsi" w:hAnsiTheme="minorHAnsi" w:cstheme="minorHAnsi"/>
          <w:color w:val="000000" w:themeColor="text1"/>
        </w:rPr>
      </w:pPr>
      <w:r w:rsidRPr="00107C19">
        <w:rPr>
          <w:rStyle w:val="title-text"/>
          <w:rFonts w:asciiTheme="minorHAnsi" w:hAnsiTheme="minorHAnsi" w:cstheme="minorHAnsi"/>
          <w:b/>
          <w:bCs/>
          <w:color w:val="000000" w:themeColor="text1"/>
        </w:rPr>
        <w:t>Agricultural Law Partnership</w:t>
      </w:r>
      <w:r w:rsidRPr="00107C19">
        <w:rPr>
          <w:rStyle w:val="title-text"/>
          <w:rFonts w:asciiTheme="minorHAnsi" w:hAnsiTheme="minorHAnsi" w:cstheme="minorHAnsi"/>
          <w:color w:val="000000" w:themeColor="text1"/>
        </w:rPr>
        <w:t xml:space="preserve">. The Agricultural Law Partnership led by NAL supports the agricultural sector in interpreting and navigating agriculture-related legal issues and programs. It delivers guidance on new and emerging topics through open-source agricultural and food law policy resources. This year the Ag Law Partnership, through lead collaborators at the Center for Agriculture and Food Systems (CAFS - https://www.vermontlaw.edu/academics/centers-and-programs/center-for-agriculture-and-food-systems) at Vermont Law and Graduate School and the National Agricultural Law Center (NALC - https://nationalaglawcenter.org) with the University of Arkansas System, provided legal expertise on a wide variety of agricultural law issues. The partners also collaborated on events related to diversity, equity, inclusion, and accessibility in agriculture, including events on heirs’ property, environmental justice and food system security, and nutrition security, and testified before the U.S. Senate Committee on Agriculture, Nutrition, and Forestry regarding “Foreign Agriculture in U.S. Agriculture.” </w:t>
      </w:r>
    </w:p>
    <w:p w14:paraId="660CF48D" w14:textId="5FD9B0B8" w:rsidR="0005773F" w:rsidRPr="00107C19" w:rsidRDefault="0005773F" w:rsidP="0005773F">
      <w:pPr>
        <w:pStyle w:val="text"/>
        <w:rPr>
          <w:rStyle w:val="title-text"/>
          <w:color w:val="000000" w:themeColor="text1"/>
        </w:rPr>
      </w:pPr>
      <w:r w:rsidRPr="00107C19">
        <w:rPr>
          <w:rStyle w:val="title-text"/>
          <w:rFonts w:asciiTheme="minorHAnsi" w:hAnsiTheme="minorHAnsi" w:cstheme="minorHAnsi"/>
          <w:b/>
          <w:bCs/>
          <w:color w:val="000000" w:themeColor="text1"/>
        </w:rPr>
        <w:t>FoodData Central and Other nutrition-related information</w:t>
      </w:r>
      <w:r w:rsidRPr="00107C19">
        <w:rPr>
          <w:rStyle w:val="title-text"/>
          <w:rFonts w:asciiTheme="minorHAnsi" w:hAnsiTheme="minorHAnsi" w:cstheme="minorHAnsi"/>
          <w:color w:val="000000" w:themeColor="text1"/>
        </w:rPr>
        <w:t>. FoodData Central is an integrated data system that provides expanded nutrient profile data and links to related agricultural and experimental research. It is located at: https://fdc.nal.usda.gov/. NAL collaborated with the ARS Beltsville Human Nutrition Research Center and major industry partners to host Food Data Central and provide online access to more than 465,000 different foods with more than 27 million active and historical food component values across 5 data types with more than 2.27 million food components. The FoodData Central platform generated more 15.6 million pageviews by more than 3.2 million user sessions in FY 2023. Application developers made nearly 38 million API (application programming interface) calls against these data products in FY 2023, making the USDA Food Composition Database and the FoodData Central APIs among the most popular in government.</w:t>
      </w:r>
    </w:p>
    <w:p w14:paraId="2B128AF6" w14:textId="77777777" w:rsidR="00AB551B" w:rsidRPr="00107C19" w:rsidRDefault="00AB551B" w:rsidP="00AB551B">
      <w:pPr>
        <w:pStyle w:val="Heading1"/>
        <w:rPr>
          <w:rFonts w:asciiTheme="minorHAnsi" w:hAnsiTheme="minorHAnsi" w:cstheme="minorHAnsi"/>
          <w:b/>
          <w:bCs w:val="0"/>
          <w:color w:val="000000" w:themeColor="text1"/>
        </w:rPr>
      </w:pPr>
      <w:bookmarkStart w:id="483" w:name="_Toc160186045"/>
      <w:bookmarkEnd w:id="468"/>
      <w:r w:rsidRPr="00107C19">
        <w:rPr>
          <w:rFonts w:asciiTheme="minorHAnsi" w:hAnsiTheme="minorHAnsi" w:cstheme="minorHAnsi"/>
          <w:b/>
          <w:bCs w:val="0"/>
          <w:color w:val="000000" w:themeColor="text1"/>
        </w:rPr>
        <w:lastRenderedPageBreak/>
        <w:t>Economic Research Service</w:t>
      </w:r>
      <w:bookmarkEnd w:id="483"/>
    </w:p>
    <w:p w14:paraId="0169B8D7" w14:textId="77777777" w:rsidR="00AB551B" w:rsidRPr="00107C19" w:rsidRDefault="00AB551B" w:rsidP="00AB551B">
      <w:pPr>
        <w:pStyle w:val="Heading2"/>
        <w:rPr>
          <w:rFonts w:asciiTheme="minorHAnsi" w:hAnsiTheme="minorHAnsi" w:cstheme="minorHAnsi"/>
          <w:color w:val="000000" w:themeColor="text1"/>
        </w:rPr>
      </w:pPr>
      <w:bookmarkStart w:id="484" w:name="_Toc114646671"/>
      <w:bookmarkStart w:id="485" w:name="_Toc160186046"/>
      <w:r w:rsidRPr="00107C19">
        <w:rPr>
          <w:rFonts w:asciiTheme="minorHAnsi" w:hAnsiTheme="minorHAnsi" w:cstheme="minorHAnsi"/>
          <w:color w:val="000000" w:themeColor="text1"/>
        </w:rPr>
        <w:t>Mission Statement</w:t>
      </w:r>
      <w:bookmarkEnd w:id="484"/>
      <w:bookmarkEnd w:id="485"/>
    </w:p>
    <w:p w14:paraId="4FE4CFCB"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The Economic Research Service’s (ERS) mission is to anticipate trends and emerging issues in agriculture, food, the environment, and rural America; and to conduct high-quality, objective, economic research to inform and enhance public and private decision making.</w:t>
      </w:r>
    </w:p>
    <w:p w14:paraId="180487B9" w14:textId="77777777" w:rsidR="00AB551B" w:rsidRPr="00107C19" w:rsidRDefault="00AB551B" w:rsidP="00AB551B">
      <w:pPr>
        <w:pStyle w:val="Heading2"/>
        <w:rPr>
          <w:rFonts w:asciiTheme="minorHAnsi" w:hAnsiTheme="minorHAnsi" w:cstheme="minorHAnsi"/>
          <w:color w:val="000000" w:themeColor="text1"/>
        </w:rPr>
      </w:pPr>
      <w:bookmarkStart w:id="486" w:name="_Toc114646672"/>
      <w:bookmarkStart w:id="487" w:name="_Toc160186047"/>
      <w:r w:rsidRPr="00107C19">
        <w:rPr>
          <w:rFonts w:asciiTheme="minorHAnsi" w:hAnsiTheme="minorHAnsi" w:cstheme="minorHAnsi"/>
          <w:color w:val="000000" w:themeColor="text1"/>
        </w:rPr>
        <w:t>Nature and Structure of Program</w:t>
      </w:r>
      <w:bookmarkEnd w:id="486"/>
      <w:bookmarkEnd w:id="487"/>
    </w:p>
    <w:p w14:paraId="00D79582"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The Economic Research Service (ERS) follows the general USDA definition of technology transfer as the adoption of research outcomes for public benefit and, to that end, conducts relevant and objective economic research and policy analyses that inform program and policy decisions. ERS designs its research to demonstrate the consequences of taking alternative policy or programmatic pathways. The agency’s data and market analysis program provide crucial market and trade outlook information to help farmers and agricultural companies run successful businesses and support jobs.</w:t>
      </w:r>
    </w:p>
    <w:p w14:paraId="698F52C6"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ERS is the primary source of economic analysis and statistical indicators that, among other things, gauge the health of the farm sector (including farm income estimates and projections), assess the current and expected performance of the agricultural sector (including trade), and provide measures of food insecurity in the United States and abroad. ERS is one of 13 officially designated (by the Office of Management and Budget) Principle Federal Statistical Agencies.</w:t>
      </w:r>
    </w:p>
    <w:p w14:paraId="3A6758C3" w14:textId="77777777" w:rsidR="00AB551B" w:rsidRPr="00107C19" w:rsidRDefault="00AB551B" w:rsidP="00AB551B">
      <w:pPr>
        <w:pStyle w:val="Heading2"/>
        <w:rPr>
          <w:rFonts w:asciiTheme="minorHAnsi" w:hAnsiTheme="minorHAnsi" w:cstheme="minorHAnsi"/>
          <w:color w:val="000000" w:themeColor="text1"/>
        </w:rPr>
      </w:pPr>
      <w:bookmarkStart w:id="488" w:name="_Toc160186048"/>
      <w:r w:rsidRPr="00107C19">
        <w:rPr>
          <w:rFonts w:asciiTheme="minorHAnsi" w:hAnsiTheme="minorHAnsi" w:cstheme="minorHAnsi"/>
          <w:color w:val="000000" w:themeColor="text1"/>
        </w:rPr>
        <w:t>Dissemination of Findings</w:t>
      </w:r>
      <w:bookmarkEnd w:id="488"/>
    </w:p>
    <w:p w14:paraId="29C5062F"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ERS disseminates its research findings, market information, and statistical indicators in a variety of outlets including:</w:t>
      </w:r>
    </w:p>
    <w:p w14:paraId="068B0EA5" w14:textId="77777777" w:rsidR="00AB551B" w:rsidRPr="00107C19" w:rsidRDefault="00AB551B" w:rsidP="00957FC9">
      <w:pPr>
        <w:pStyle w:val="Bullet2"/>
        <w:numPr>
          <w:ilvl w:val="0"/>
          <w:numId w:val="16"/>
        </w:numPr>
        <w:rPr>
          <w:rFonts w:cstheme="minorHAnsi"/>
          <w:color w:val="000000" w:themeColor="text1"/>
        </w:rPr>
      </w:pPr>
      <w:r w:rsidRPr="00107C19">
        <w:rPr>
          <w:rFonts w:cstheme="minorHAnsi"/>
          <w:color w:val="000000" w:themeColor="text1"/>
        </w:rPr>
        <w:t>Its website, ers.usda.gov;</w:t>
      </w:r>
    </w:p>
    <w:p w14:paraId="1FBD940E" w14:textId="77777777" w:rsidR="00AB551B" w:rsidRPr="00107C19" w:rsidRDefault="00AB551B" w:rsidP="00957FC9">
      <w:pPr>
        <w:pStyle w:val="Bullet2"/>
        <w:numPr>
          <w:ilvl w:val="0"/>
          <w:numId w:val="16"/>
        </w:numPr>
        <w:rPr>
          <w:rFonts w:cstheme="minorHAnsi"/>
          <w:color w:val="000000" w:themeColor="text1"/>
        </w:rPr>
      </w:pPr>
      <w:r w:rsidRPr="00107C19">
        <w:rPr>
          <w:rFonts w:cstheme="minorHAnsi"/>
          <w:color w:val="000000" w:themeColor="text1"/>
        </w:rPr>
        <w:t>Its online magazine, Amber Waves;</w:t>
      </w:r>
    </w:p>
    <w:p w14:paraId="46E594D5" w14:textId="77777777" w:rsidR="00AB551B" w:rsidRPr="00107C19" w:rsidRDefault="00AB551B" w:rsidP="00957FC9">
      <w:pPr>
        <w:pStyle w:val="Bullet2"/>
        <w:numPr>
          <w:ilvl w:val="0"/>
          <w:numId w:val="16"/>
        </w:numPr>
        <w:rPr>
          <w:rFonts w:cstheme="minorHAnsi"/>
          <w:color w:val="000000" w:themeColor="text1"/>
        </w:rPr>
      </w:pPr>
      <w:r w:rsidRPr="00107C19">
        <w:rPr>
          <w:rFonts w:cstheme="minorHAnsi"/>
          <w:color w:val="000000" w:themeColor="text1"/>
        </w:rPr>
        <w:t>Outlook reports for specific commodity sectors;</w:t>
      </w:r>
    </w:p>
    <w:p w14:paraId="708B8E9C" w14:textId="77777777" w:rsidR="00AB551B" w:rsidRPr="00107C19" w:rsidRDefault="00AB551B" w:rsidP="00957FC9">
      <w:pPr>
        <w:pStyle w:val="Bullet2"/>
        <w:numPr>
          <w:ilvl w:val="0"/>
          <w:numId w:val="16"/>
        </w:numPr>
        <w:rPr>
          <w:rFonts w:cstheme="minorHAnsi"/>
          <w:color w:val="000000" w:themeColor="text1"/>
        </w:rPr>
      </w:pPr>
      <w:r w:rsidRPr="00107C19">
        <w:rPr>
          <w:rFonts w:cstheme="minorHAnsi"/>
          <w:color w:val="000000" w:themeColor="text1"/>
        </w:rPr>
        <w:t>Research and information reports;</w:t>
      </w:r>
    </w:p>
    <w:p w14:paraId="34EAF1B5" w14:textId="77777777" w:rsidR="00AB551B" w:rsidRPr="00107C19" w:rsidRDefault="00AB551B" w:rsidP="00957FC9">
      <w:pPr>
        <w:pStyle w:val="Bullet2"/>
        <w:numPr>
          <w:ilvl w:val="0"/>
          <w:numId w:val="16"/>
        </w:numPr>
        <w:rPr>
          <w:rFonts w:cstheme="minorHAnsi"/>
          <w:color w:val="000000" w:themeColor="text1"/>
        </w:rPr>
      </w:pPr>
      <w:r w:rsidRPr="00107C19">
        <w:rPr>
          <w:rFonts w:cstheme="minorHAnsi"/>
          <w:color w:val="000000" w:themeColor="text1"/>
        </w:rPr>
        <w:t>Data products in a variety of forms and formats; and</w:t>
      </w:r>
    </w:p>
    <w:p w14:paraId="34476A1F" w14:textId="77777777" w:rsidR="00AB551B" w:rsidRPr="00107C19" w:rsidRDefault="00AB551B" w:rsidP="00957FC9">
      <w:pPr>
        <w:pStyle w:val="Bullet2"/>
        <w:numPr>
          <w:ilvl w:val="0"/>
          <w:numId w:val="16"/>
        </w:numPr>
        <w:rPr>
          <w:rFonts w:cstheme="minorHAnsi"/>
          <w:color w:val="000000" w:themeColor="text1"/>
        </w:rPr>
      </w:pPr>
      <w:r w:rsidRPr="00107C19">
        <w:rPr>
          <w:rFonts w:cstheme="minorHAnsi"/>
          <w:color w:val="000000" w:themeColor="text1"/>
        </w:rPr>
        <w:t>Refereed journal articles, which ensure the professional credibility of findings.</w:t>
      </w:r>
    </w:p>
    <w:p w14:paraId="32BEF809"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ERS has offices in Kansas City, MO, and Washington, DC, and employs researchers working on economic and related social science research. Additionally, ERS seeks out academic and private-sector collaborators through contracting and cooperative agreements to leverage external expertise and complement the knowledge of our intramural research staff.</w:t>
      </w:r>
    </w:p>
    <w:p w14:paraId="633E43C4" w14:textId="77777777" w:rsidR="00AB551B" w:rsidRPr="00107C19" w:rsidRDefault="00AB551B" w:rsidP="00AB551B">
      <w:pPr>
        <w:pStyle w:val="Heading2"/>
        <w:rPr>
          <w:rFonts w:asciiTheme="minorHAnsi" w:hAnsiTheme="minorHAnsi" w:cstheme="minorHAnsi"/>
          <w:color w:val="000000" w:themeColor="text1"/>
        </w:rPr>
      </w:pPr>
      <w:bookmarkStart w:id="489" w:name="_Toc160186049"/>
      <w:r w:rsidRPr="00107C19">
        <w:rPr>
          <w:rFonts w:asciiTheme="minorHAnsi" w:hAnsiTheme="minorHAnsi" w:cstheme="minorHAnsi"/>
          <w:color w:val="000000" w:themeColor="text1"/>
        </w:rPr>
        <w:lastRenderedPageBreak/>
        <w:t>Current Technology Transfer Goals, Objectives, and Measures of Success (Metrics)</w:t>
      </w:r>
      <w:bookmarkEnd w:id="489"/>
    </w:p>
    <w:p w14:paraId="66BA8F84"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 xml:space="preserve">ERS uses a web-centric approach to communication with customers to convey clear, objective, and transparent research, data, and analysis to decisionmakers, policy officials, industry, non-governmental organizations, and the general public. All ERS research, data, and other information disseminated by the agency are available online 24/7 through the ERS website. ERS measures success of the ERS website and its products and services using a variety of web analytics tools and sources to assess performance, quality, reach, relevance, and impact (Adobe Analytics, Google Digital Analytics Program, Deque axe Monitor, Search.gov, Constant Contact, and the Qualtrics Customer Satisfaction/CSAT survey. The CSAT tracks satisfaction of website users and provides a basis for comparison with similar Government and private-sector websites. The target for this measure is at or above the average rating for Government websites in the Information/News category. </w:t>
      </w:r>
    </w:p>
    <w:p w14:paraId="1E20A893"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The products and tools/services extend and expand access to ERS research findings, market outlook, and data—making the Agency’s information more readily available to and more easily consumable by the public. These items enable USDA to meet its Digital Government Strategy goals to ensure high-value services and systems are available anywhere, any time, and on any device.</w:t>
      </w:r>
    </w:p>
    <w:p w14:paraId="65EFDF46" w14:textId="77777777" w:rsidR="00AB551B" w:rsidRPr="00107C19" w:rsidRDefault="00AB551B" w:rsidP="00AB551B">
      <w:pPr>
        <w:pStyle w:val="Heading3"/>
      </w:pPr>
      <w:bookmarkStart w:id="490" w:name="_Toc160186050"/>
      <w:r w:rsidRPr="00107C19">
        <w:t>Strengthening Current Activities</w:t>
      </w:r>
      <w:bookmarkEnd w:id="490"/>
    </w:p>
    <w:p w14:paraId="3E557265" w14:textId="77777777" w:rsidR="00AB551B" w:rsidRPr="00107C19" w:rsidRDefault="00AB551B" w:rsidP="00AB551B">
      <w:pPr>
        <w:pStyle w:val="BodyText3"/>
        <w:rPr>
          <w:rFonts w:cstheme="minorHAnsi"/>
          <w:color w:val="000000" w:themeColor="text1"/>
        </w:rPr>
      </w:pPr>
      <w:r w:rsidRPr="00107C19">
        <w:rPr>
          <w:rFonts w:cstheme="minorHAnsi"/>
          <w:color w:val="000000" w:themeColor="text1"/>
        </w:rPr>
        <w:t>ERS continues to enhance and update its website. Migration to a common USDA content management system is underway to ensure that agency communications/web technology is integrated across the Department to ensure a consistent customer experience. ERS’s concerted efforts also led to a significant increase in traffic to its website, from 8,571,455 page views in FY2022 to 10,158,606 in FY2023. ERS registered its third highest-ever customer satisfaction score of 76.7. Website Section 508 Accessibility continues to steadily improve.</w:t>
      </w:r>
    </w:p>
    <w:p w14:paraId="6F127118" w14:textId="77777777" w:rsidR="00AB551B" w:rsidRPr="00107C19" w:rsidRDefault="00AB551B" w:rsidP="00AB551B">
      <w:pPr>
        <w:pStyle w:val="Heading3"/>
      </w:pPr>
      <w:bookmarkStart w:id="491" w:name="_Toc160186051"/>
      <w:r w:rsidRPr="00107C19">
        <w:t>Leveraging Nascent Technologies</w:t>
      </w:r>
      <w:bookmarkEnd w:id="491"/>
    </w:p>
    <w:p w14:paraId="31898ED8" w14:textId="77777777" w:rsidR="00AB551B" w:rsidRPr="00107C19" w:rsidRDefault="00AB551B" w:rsidP="00AB551B">
      <w:pPr>
        <w:pStyle w:val="BodyText3"/>
        <w:rPr>
          <w:rFonts w:cstheme="minorHAnsi"/>
          <w:color w:val="000000" w:themeColor="text1"/>
        </w:rPr>
      </w:pPr>
      <w:r w:rsidRPr="00107C19">
        <w:rPr>
          <w:rFonts w:cstheme="minorHAnsi"/>
          <w:color w:val="000000" w:themeColor="text1"/>
        </w:rPr>
        <w:t>ERS continues to make use of social media and new technologies (such as mobile-responsive/device-agnostic and Open Data methodologies) to widen and expand the reach of our information services to the public.  ERS has been a leading innovator in support of Open Data initiatives, providing a wealth of products—including data and information—designed to enhance mission delivery. In FY 2023, ERS continued expanding the use of several tools designed to help consumers more easily access critical programs and stimulate further innovation.</w:t>
      </w:r>
    </w:p>
    <w:p w14:paraId="0539C851" w14:textId="77777777" w:rsidR="00AB551B" w:rsidRPr="00107C19" w:rsidRDefault="00AB551B" w:rsidP="00AB551B">
      <w:pPr>
        <w:pStyle w:val="Heading4"/>
      </w:pPr>
      <w:bookmarkStart w:id="492" w:name="_Toc160186052"/>
      <w:r w:rsidRPr="00107C19">
        <w:t>ERS Social Media</w:t>
      </w:r>
      <w:bookmarkEnd w:id="492"/>
    </w:p>
    <w:p w14:paraId="14C688B8" w14:textId="77777777" w:rsidR="00AB551B" w:rsidRPr="00107C19" w:rsidRDefault="00AB551B" w:rsidP="00AB551B">
      <w:pPr>
        <w:pStyle w:val="BodyText4"/>
        <w:rPr>
          <w:rFonts w:cstheme="minorHAnsi"/>
          <w:color w:val="000000" w:themeColor="text1"/>
        </w:rPr>
      </w:pPr>
      <w:r w:rsidRPr="00107C19">
        <w:rPr>
          <w:rFonts w:cstheme="minorHAnsi"/>
          <w:color w:val="000000" w:themeColor="text1"/>
        </w:rPr>
        <w:t xml:space="preserve">The ERS X (formerly known as Twitter) feed continues to expand the audience for ERS information, growing to over 66,000 followers in FY 2023, up from 54,000 followers in FY 2022 and 45,000 followers in FY21. ERS has more than 6,000 followers on LinkedIn in FY23.  </w:t>
      </w:r>
    </w:p>
    <w:p w14:paraId="1F77C4A7" w14:textId="77777777" w:rsidR="00AB551B" w:rsidRPr="00107C19" w:rsidRDefault="00AB551B" w:rsidP="00AB551B">
      <w:pPr>
        <w:pStyle w:val="Heading4"/>
      </w:pPr>
      <w:bookmarkStart w:id="493" w:name="_Toc160186053"/>
      <w:r w:rsidRPr="00107C19">
        <w:lastRenderedPageBreak/>
        <w:t>Responsive, Device-Agnostic Design</w:t>
      </w:r>
      <w:bookmarkEnd w:id="493"/>
    </w:p>
    <w:p w14:paraId="50BFEAEC" w14:textId="77777777" w:rsidR="00AB551B" w:rsidRPr="00107C19" w:rsidRDefault="00AB551B" w:rsidP="00AB551B">
      <w:pPr>
        <w:pStyle w:val="BodyText4"/>
        <w:rPr>
          <w:rFonts w:cstheme="minorHAnsi"/>
          <w:color w:val="000000" w:themeColor="text1"/>
        </w:rPr>
      </w:pPr>
      <w:r w:rsidRPr="00107C19">
        <w:rPr>
          <w:rFonts w:cstheme="minorHAnsi"/>
          <w:color w:val="000000" w:themeColor="text1"/>
        </w:rPr>
        <w:t>ERS continues to optimize its website for mobile users, providing fast, easily navigable, mobile-friendly pages that automatically adapt to the user’s computer, tablet, and smartphone —ensuring the website is available anywhere, anytime, from any device.  This method also provides internal efficiencies in design/production (versus developing multiple style sheets for individual devices/platforms).</w:t>
      </w:r>
    </w:p>
    <w:p w14:paraId="6DA438AC" w14:textId="77777777" w:rsidR="00AB551B" w:rsidRPr="00107C19" w:rsidRDefault="00AB551B" w:rsidP="00AB551B">
      <w:pPr>
        <w:pStyle w:val="Heading4"/>
      </w:pPr>
      <w:bookmarkStart w:id="494" w:name="_Toc160186054"/>
      <w:r w:rsidRPr="00107C19">
        <w:t>Data Visualizations</w:t>
      </w:r>
      <w:bookmarkEnd w:id="494"/>
    </w:p>
    <w:p w14:paraId="501F0FA0" w14:textId="77777777" w:rsidR="00AB551B" w:rsidRPr="00107C19" w:rsidRDefault="00AB551B" w:rsidP="00AB551B">
      <w:pPr>
        <w:pStyle w:val="BodyText4"/>
        <w:rPr>
          <w:rFonts w:cstheme="minorHAnsi"/>
          <w:color w:val="000000" w:themeColor="text1"/>
        </w:rPr>
      </w:pPr>
      <w:r w:rsidRPr="00107C19">
        <w:rPr>
          <w:rFonts w:cstheme="minorHAnsi"/>
          <w:color w:val="000000" w:themeColor="text1"/>
        </w:rPr>
        <w:t>ERS continues to offer data visualizations via interactive charts, maps, and graphs to deliver data more effectively in ways that are more meaningful, useful, and easier for customers to use. ERS implemented ESRI story maps that integrate maps, legends, text, photos, and video to help users explore geospatially connected themes.</w:t>
      </w:r>
    </w:p>
    <w:p w14:paraId="52A751C1" w14:textId="77777777" w:rsidR="00AB551B" w:rsidRPr="00107C19" w:rsidRDefault="00AB551B" w:rsidP="00AB551B">
      <w:pPr>
        <w:pStyle w:val="Heading5"/>
      </w:pPr>
      <w:r w:rsidRPr="00107C19">
        <w:t xml:space="preserve"> </w:t>
      </w:r>
      <w:bookmarkStart w:id="495" w:name="_Toc160186055"/>
      <w:r w:rsidRPr="00107C19">
        <w:t>Charts of Note</w:t>
      </w:r>
      <w:bookmarkEnd w:id="495"/>
    </w:p>
    <w:p w14:paraId="77F830C7"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ERS continues to provide Charts of Note, with easily digestible research highlights, sent by email to subscribers and posted to the website. ERS updates the Ag and Food Statistics: Charting the Essentials quarterly, providing the basics of food, farming, and rural America via a series of charts and maps covering key information about the farm and food sectors, including agricultural markets and trade, farm income, food prices and consumption, food security, rural economies, and the interaction of agriculture and natural resources. The ERS Charts of Note native mobile app delivers charts from the latest ERS research straight to subscribers’ mobile devices, and provides a full, searchable of library of more than 3,00 charts.</w:t>
      </w:r>
    </w:p>
    <w:p w14:paraId="07743011" w14:textId="77777777" w:rsidR="00AB551B" w:rsidRPr="00107C19" w:rsidRDefault="00AB551B" w:rsidP="00AB551B">
      <w:pPr>
        <w:pStyle w:val="Heading5"/>
      </w:pPr>
      <w:r w:rsidRPr="00107C19">
        <w:t xml:space="preserve"> </w:t>
      </w:r>
      <w:bookmarkStart w:id="496" w:name="_Toc160186056"/>
      <w:r w:rsidRPr="00107C19">
        <w:t>Web Content Application Programming Interface (API)</w:t>
      </w:r>
      <w:bookmarkEnd w:id="496"/>
    </w:p>
    <w:p w14:paraId="0F64B3B3"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ERS continues to offer web content APIs offering digital professionals with dynamic access to and a machine-readable option for accessing publications, charts, and other website content. ERS also provides programming tools, or “widgets,” pre-built off the APIs, that enable digital professionals to easily embed charts from the ERS webpage (such as the popular daily Charts of Note) into their websites/projects.</w:t>
      </w:r>
    </w:p>
    <w:p w14:paraId="254EA45C" w14:textId="77777777" w:rsidR="00AB551B" w:rsidRPr="00107C19" w:rsidRDefault="00AB551B" w:rsidP="00AB551B">
      <w:pPr>
        <w:pStyle w:val="Heading5"/>
      </w:pPr>
      <w:r w:rsidRPr="00107C19">
        <w:t xml:space="preserve"> </w:t>
      </w:r>
      <w:bookmarkStart w:id="497" w:name="_Toc160186057"/>
      <w:r w:rsidRPr="00107C19">
        <w:t>Geospatial APIs</w:t>
      </w:r>
      <w:bookmarkEnd w:id="497"/>
    </w:p>
    <w:p w14:paraId="55041817"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ERS continues to offer APIs for select data and geospatial/mapping applications, enabling researchers and developers to build applications using ERS data and processes for additional insights.</w:t>
      </w:r>
    </w:p>
    <w:p w14:paraId="191D0CD0" w14:textId="77777777" w:rsidR="00AB551B" w:rsidRPr="00107C19" w:rsidRDefault="00AB551B" w:rsidP="00AB551B">
      <w:pPr>
        <w:pStyle w:val="Heading5"/>
      </w:pPr>
      <w:r w:rsidRPr="00107C19">
        <w:lastRenderedPageBreak/>
        <w:t xml:space="preserve"> </w:t>
      </w:r>
      <w:bookmarkStart w:id="498" w:name="_Toc160186058"/>
      <w:r w:rsidRPr="00107C19">
        <w:t>Open-Source Methodologies</w:t>
      </w:r>
      <w:bookmarkEnd w:id="498"/>
    </w:p>
    <w:p w14:paraId="0A8154F8"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 xml:space="preserve">ERS continues to find ways to share data, improve tools and services, and return value.  </w:t>
      </w:r>
    </w:p>
    <w:p w14:paraId="1EA5538F" w14:textId="77777777" w:rsidR="00AB551B" w:rsidRPr="00107C19" w:rsidRDefault="00AB551B" w:rsidP="00AB551B">
      <w:pPr>
        <w:pStyle w:val="Heading3"/>
      </w:pPr>
      <w:bookmarkStart w:id="499" w:name="_Toc160186059"/>
      <w:r w:rsidRPr="00107C19">
        <w:t>Metrics &amp; Analytics</w:t>
      </w:r>
      <w:bookmarkEnd w:id="499"/>
    </w:p>
    <w:p w14:paraId="478367E5" w14:textId="77777777" w:rsidR="00AB551B" w:rsidRPr="00107C19" w:rsidRDefault="00AB551B" w:rsidP="00AB551B">
      <w:pPr>
        <w:pStyle w:val="BodyText3"/>
        <w:rPr>
          <w:rFonts w:cstheme="minorHAnsi"/>
          <w:color w:val="000000" w:themeColor="text1"/>
        </w:rPr>
      </w:pPr>
      <w:r w:rsidRPr="00107C19">
        <w:rPr>
          <w:rFonts w:cstheme="minorHAnsi"/>
          <w:color w:val="000000" w:themeColor="text1"/>
        </w:rPr>
        <w:t>ERS has developed metrics to quantify the impact of its economic social science research and analysis, including measurement of briefings for senior policy officials, citations of ERS research in Government policy and decision-making documents, technical citations in the scientific literature, media citations, and customer use of information published on the ERS website. These metrics are updated annually and are a standard component of ERS budget and accomplishments reporting.  ERS is developing innovative ways to provide real-time tracking of metrics and other activities using innovative technical tools that will enable to agency to better manage and engage in reporting of accomplishments.</w:t>
      </w:r>
    </w:p>
    <w:p w14:paraId="173598F5" w14:textId="77777777" w:rsidR="00AB551B" w:rsidRPr="00107C19" w:rsidRDefault="00AB551B" w:rsidP="00AB551B">
      <w:pPr>
        <w:pStyle w:val="Heading2"/>
        <w:rPr>
          <w:rFonts w:asciiTheme="minorHAnsi" w:hAnsiTheme="minorHAnsi" w:cstheme="minorHAnsi"/>
          <w:color w:val="000000" w:themeColor="text1"/>
        </w:rPr>
      </w:pPr>
      <w:bookmarkStart w:id="500" w:name="_Toc160186060"/>
      <w:r w:rsidRPr="00107C19">
        <w:rPr>
          <w:rFonts w:asciiTheme="minorHAnsi" w:hAnsiTheme="minorHAnsi" w:cstheme="minorHAnsi"/>
          <w:color w:val="000000" w:themeColor="text1"/>
        </w:rPr>
        <w:t>Downstream Outcomes</w:t>
      </w:r>
      <w:bookmarkEnd w:id="500"/>
    </w:p>
    <w:p w14:paraId="7E399D88"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ERS data products encompass estimates, forecasts, economic and statistical indicators, and data compiled from diverse sources where ERS adds value in the form of recompilation and/or subject-matter expertise.</w:t>
      </w:r>
    </w:p>
    <w:p w14:paraId="035D62E5" w14:textId="77777777" w:rsidR="00AB551B" w:rsidRPr="00107C19" w:rsidRDefault="00AB551B" w:rsidP="00AB551B">
      <w:pPr>
        <w:pStyle w:val="Heading5"/>
      </w:pPr>
      <w:r w:rsidRPr="00107C19">
        <w:t xml:space="preserve"> </w:t>
      </w:r>
      <w:bookmarkStart w:id="501" w:name="_Toc160186061"/>
      <w:r w:rsidRPr="00107C19">
        <w:t>USDA’s National Household Food Acquisition and Purchase Survey (FoodAPS)</w:t>
      </w:r>
      <w:bookmarkEnd w:id="501"/>
    </w:p>
    <w:p w14:paraId="30A7A1AA"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ERS has developed a unique source of data on details of Americans’ food purchases and acquisitions – USDA’s National Household Food Acquisition and Purchase Survey or FoodAPS. Two versions of the data are being made available to the public. The restricted version, which contains all the data elements at the individual level, can be accessed by researchers from academic institutions and government agencies through a secure Data Enclave and is available via the government-wide Standard Application Portal. The public-use version of FoodAPS, that masks identities of survey respondents, enables access by all interested members of the public to the valuable data for research and planning. FoodAPS is designed to fill a critical knowledge gap to support an evidence-based approach to Federal food assistance policies and programs. It is the only source of data to explain food choice behaviors of Americans that integrates multiple types of information from multiple sources on food, economics, nutrition, health, program participation, and environmental factors. The data are being used to address a range of questions such as where households acquire food in a typical week, which foods they acquire, how much they pay for the food and how the acquired foods match recommendations for a healthy diet. FoodAPS protocol are being improved for the second round to enhance the data quality and accuracy while reducing burden through electronic collection of the information.</w:t>
      </w:r>
    </w:p>
    <w:p w14:paraId="29F1D29F" w14:textId="77777777" w:rsidR="00AB551B" w:rsidRPr="00107C19" w:rsidRDefault="00AB551B" w:rsidP="00AB551B">
      <w:pPr>
        <w:pStyle w:val="Heading5"/>
      </w:pPr>
      <w:r w:rsidRPr="00107C19">
        <w:lastRenderedPageBreak/>
        <w:t xml:space="preserve"> </w:t>
      </w:r>
      <w:bookmarkStart w:id="502" w:name="_Toc160186062"/>
      <w:r w:rsidRPr="00107C19">
        <w:t>ERS Atlas of Rural and Small-town America</w:t>
      </w:r>
      <w:bookmarkEnd w:id="502"/>
    </w:p>
    <w:p w14:paraId="3D29EBC3"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Policymakers and the public are provided with easily accessible data on rural areas and issues through the ERS Atlas of Rural and Small-town America. The online mapping tool provides county-level information on over 110 statistical indicators on the people, jobs, agriculture, and county characteristics of rural (nonmetropolitan) America. The Atlas helps State and local decision makers pinpoint the needs of particular areas, recognize their diversity, and develop strategies to build on their assets by using location-based data on population, age structure, race and ethnicity, income, employment, indicators of well-being, and other measures. In FY 2018, the Atlas was updated with the most recent information on veterans, education, migration, and income from the American Community Survey. In FY 2019, the Atlas was updated with the most recent county-level information on population, employment, poverty, veterans, education, migration, and income from the Census Bureau and the Bureau of Labor Statistics.  In FY 2020, ERS continued to update the Atlas to include annual unemployment and employment data for 2019.  New features were added to improve functionality and users’ ability to delineate rural and urban data for reporting and analysis. In FY2021, ERS created new ESRI Story map for the public website presenting another medium to share the Food Access and Research Atlas (FARA) data.</w:t>
      </w:r>
    </w:p>
    <w:p w14:paraId="0C46750E" w14:textId="77777777" w:rsidR="00AB551B" w:rsidRPr="00107C19" w:rsidRDefault="00AB551B" w:rsidP="00AB551B">
      <w:pPr>
        <w:pStyle w:val="Heading5"/>
      </w:pPr>
      <w:r w:rsidRPr="00107C19">
        <w:t xml:space="preserve"> </w:t>
      </w:r>
      <w:bookmarkStart w:id="503" w:name="_Toc160186063"/>
      <w:r w:rsidRPr="00107C19">
        <w:t>ERS Food Environment Atlas</w:t>
      </w:r>
      <w:bookmarkEnd w:id="503"/>
    </w:p>
    <w:p w14:paraId="06054C11"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 xml:space="preserve">Local officials throughout the country can easily gauge the characteristics of their food environment and target actions that alleviate problems with the availability of healthy food options for the people in their counties or State using the ERS Food Environment Atlas. The Atlas includes over 275 indicators of the food environments in U.S. counties and States – from the number of fast-food outlets per capita, to average food prices for various products, and the rate of obesity. Because ERS determined the location and derived the characteristics of neighborhoods that lack access to sources of healthy and affordable food, national, State, and local governments can target food access investments so that people with low access will have better choices and better access to healthy, affordable food.  </w:t>
      </w:r>
    </w:p>
    <w:p w14:paraId="1443E193" w14:textId="77777777" w:rsidR="00AB551B" w:rsidRPr="00107C19" w:rsidRDefault="00AB551B" w:rsidP="00AB551B">
      <w:pPr>
        <w:pStyle w:val="Heading5"/>
      </w:pPr>
      <w:r w:rsidRPr="00107C19">
        <w:t xml:space="preserve"> </w:t>
      </w:r>
      <w:bookmarkStart w:id="504" w:name="_Toc160186064"/>
      <w:r w:rsidRPr="00107C19">
        <w:t>ERS Insights Webinar Series</w:t>
      </w:r>
      <w:bookmarkEnd w:id="504"/>
    </w:p>
    <w:p w14:paraId="0B317D20" w14:textId="77777777" w:rsidR="00AB551B" w:rsidRPr="00107C19" w:rsidRDefault="00AB551B" w:rsidP="00AB551B">
      <w:pPr>
        <w:pStyle w:val="BodyText5"/>
        <w:rPr>
          <w:rFonts w:cstheme="minorHAnsi"/>
          <w:color w:val="000000" w:themeColor="text1"/>
        </w:rPr>
      </w:pPr>
      <w:r w:rsidRPr="00107C19">
        <w:rPr>
          <w:rFonts w:cstheme="minorHAnsi"/>
          <w:color w:val="000000" w:themeColor="text1"/>
        </w:rPr>
        <w:t>ERS continued to expand the use of webinars to more directly connect to customers at the time of release of new research and data. As part of the ERS Insights and Data Training Webinar Series, ERS presented 13 webinars in FY 2023 on topics including farm income, rural America, and household food security in the United States. These webinars both inform ERS audiences about complex topics in an easy-to-understand format and allow participants to ask questions to ERS economic experts.  Audiences typically include media, agricultural policy staff, agricultural and financial industry analysts, interest groups, nonprofits, and academia.  On average, more than 100 people participated in each of these webinars in FY 2023. ERS records, close-captions, and transcribes each webinar and posts them on the website for those who want to view them later.</w:t>
      </w:r>
    </w:p>
    <w:p w14:paraId="0499FB5C" w14:textId="77777777" w:rsidR="00AB551B" w:rsidRPr="00107C19" w:rsidRDefault="00AB551B" w:rsidP="00AB551B">
      <w:pPr>
        <w:pStyle w:val="Heading2"/>
        <w:rPr>
          <w:rFonts w:asciiTheme="minorHAnsi" w:hAnsiTheme="minorHAnsi" w:cstheme="minorHAnsi"/>
          <w:color w:val="000000" w:themeColor="text1"/>
        </w:rPr>
      </w:pPr>
      <w:bookmarkStart w:id="505" w:name="_Toc160186065"/>
      <w:r w:rsidRPr="00107C19">
        <w:rPr>
          <w:rFonts w:asciiTheme="minorHAnsi" w:hAnsiTheme="minorHAnsi" w:cstheme="minorHAnsi"/>
          <w:color w:val="000000" w:themeColor="text1"/>
        </w:rPr>
        <w:lastRenderedPageBreak/>
        <w:t>Publications</w:t>
      </w:r>
      <w:bookmarkEnd w:id="505"/>
    </w:p>
    <w:p w14:paraId="224CBDE2" w14:textId="77777777" w:rsidR="00AB551B" w:rsidRPr="00107C19" w:rsidRDefault="00AB551B" w:rsidP="00AB551B">
      <w:pPr>
        <w:pStyle w:val="BodyText2"/>
        <w:rPr>
          <w:rFonts w:cstheme="minorHAnsi"/>
          <w:color w:val="000000" w:themeColor="text1"/>
        </w:rPr>
      </w:pPr>
      <w:r w:rsidRPr="00107C19">
        <w:rPr>
          <w:rFonts w:cstheme="minorHAnsi"/>
          <w:color w:val="000000" w:themeColor="text1"/>
        </w:rPr>
        <w:t>The results of ERS research are freely available on the agency website, provided in a variety of forms and formats. In FY 2022, ERS produced 156 peer-reviewed research reports and Outlook reports.</w:t>
      </w:r>
    </w:p>
    <w:tbl>
      <w:tblPr>
        <w:tblStyle w:val="TableGrid"/>
        <w:tblW w:w="5000" w:type="pct"/>
        <w:tblLook w:val="04A0" w:firstRow="1" w:lastRow="0" w:firstColumn="1" w:lastColumn="0" w:noHBand="0" w:noVBand="1"/>
        <w:tblDescription w:val="Sample table for template instructions"/>
      </w:tblPr>
      <w:tblGrid>
        <w:gridCol w:w="2585"/>
        <w:gridCol w:w="831"/>
        <w:gridCol w:w="832"/>
        <w:gridCol w:w="832"/>
        <w:gridCol w:w="832"/>
        <w:gridCol w:w="832"/>
        <w:gridCol w:w="832"/>
        <w:gridCol w:w="832"/>
        <w:gridCol w:w="832"/>
        <w:gridCol w:w="830"/>
      </w:tblGrid>
      <w:tr w:rsidR="00107C19" w:rsidRPr="00107C19" w14:paraId="4F48A044" w14:textId="77777777" w:rsidTr="004D2F73">
        <w:trPr>
          <w:tblHeader/>
        </w:trPr>
        <w:tc>
          <w:tcPr>
            <w:tcW w:w="1284" w:type="pct"/>
            <w:shd w:val="clear" w:color="auto" w:fill="D9D9D9" w:themeFill="background1" w:themeFillShade="D9"/>
          </w:tcPr>
          <w:p w14:paraId="751D492F" w14:textId="77777777" w:rsidR="00AB551B" w:rsidRPr="00107C19" w:rsidRDefault="00AB551B" w:rsidP="004D2F73">
            <w:pPr>
              <w:pStyle w:val="TableHeading"/>
              <w:rPr>
                <w:color w:val="000000" w:themeColor="text1"/>
                <w:sz w:val="20"/>
              </w:rPr>
            </w:pPr>
            <w:bookmarkStart w:id="506" w:name="_Hlk133232748"/>
          </w:p>
        </w:tc>
        <w:tc>
          <w:tcPr>
            <w:tcW w:w="413" w:type="pct"/>
            <w:shd w:val="clear" w:color="auto" w:fill="D9D9D9" w:themeFill="background1" w:themeFillShade="D9"/>
          </w:tcPr>
          <w:p w14:paraId="7F8D9837" w14:textId="77777777" w:rsidR="00AB551B" w:rsidRPr="00107C19" w:rsidRDefault="00AB551B" w:rsidP="004D2F73">
            <w:pPr>
              <w:pStyle w:val="TableHeading"/>
              <w:rPr>
                <w:color w:val="000000" w:themeColor="text1"/>
                <w:sz w:val="20"/>
              </w:rPr>
            </w:pPr>
            <w:r w:rsidRPr="00107C19">
              <w:rPr>
                <w:color w:val="000000" w:themeColor="text1"/>
                <w:sz w:val="20"/>
              </w:rPr>
              <w:t>FY 2014</w:t>
            </w:r>
          </w:p>
        </w:tc>
        <w:tc>
          <w:tcPr>
            <w:tcW w:w="413" w:type="pct"/>
            <w:shd w:val="clear" w:color="auto" w:fill="D9D9D9" w:themeFill="background1" w:themeFillShade="D9"/>
          </w:tcPr>
          <w:p w14:paraId="761577D4" w14:textId="77777777" w:rsidR="00AB551B" w:rsidRPr="00107C19" w:rsidRDefault="00AB551B" w:rsidP="004D2F73">
            <w:pPr>
              <w:pStyle w:val="TableHeading"/>
              <w:rPr>
                <w:color w:val="000000" w:themeColor="text1"/>
                <w:sz w:val="20"/>
              </w:rPr>
            </w:pPr>
            <w:r w:rsidRPr="00107C19">
              <w:rPr>
                <w:color w:val="000000" w:themeColor="text1"/>
                <w:sz w:val="20"/>
              </w:rPr>
              <w:t>FY 2015</w:t>
            </w:r>
          </w:p>
        </w:tc>
        <w:tc>
          <w:tcPr>
            <w:tcW w:w="413" w:type="pct"/>
            <w:shd w:val="clear" w:color="auto" w:fill="D9D9D9" w:themeFill="background1" w:themeFillShade="D9"/>
          </w:tcPr>
          <w:p w14:paraId="30A2F7FA" w14:textId="77777777" w:rsidR="00AB551B" w:rsidRPr="00107C19" w:rsidRDefault="00AB551B" w:rsidP="004D2F73">
            <w:pPr>
              <w:pStyle w:val="TableHeading"/>
              <w:rPr>
                <w:color w:val="000000" w:themeColor="text1"/>
                <w:sz w:val="20"/>
              </w:rPr>
            </w:pPr>
            <w:r w:rsidRPr="00107C19">
              <w:rPr>
                <w:color w:val="000000" w:themeColor="text1"/>
                <w:sz w:val="20"/>
              </w:rPr>
              <w:t>FY 2017</w:t>
            </w:r>
          </w:p>
        </w:tc>
        <w:tc>
          <w:tcPr>
            <w:tcW w:w="413" w:type="pct"/>
            <w:shd w:val="clear" w:color="auto" w:fill="D9D9D9" w:themeFill="background1" w:themeFillShade="D9"/>
          </w:tcPr>
          <w:p w14:paraId="77100450" w14:textId="77777777" w:rsidR="00AB551B" w:rsidRPr="00107C19" w:rsidRDefault="00AB551B" w:rsidP="004D2F73">
            <w:pPr>
              <w:pStyle w:val="TableHeading"/>
              <w:rPr>
                <w:color w:val="000000" w:themeColor="text1"/>
                <w:sz w:val="20"/>
              </w:rPr>
            </w:pPr>
            <w:r w:rsidRPr="00107C19">
              <w:rPr>
                <w:color w:val="000000" w:themeColor="text1"/>
                <w:sz w:val="20"/>
              </w:rPr>
              <w:t>FY 2018</w:t>
            </w:r>
          </w:p>
        </w:tc>
        <w:tc>
          <w:tcPr>
            <w:tcW w:w="413" w:type="pct"/>
            <w:shd w:val="clear" w:color="auto" w:fill="D9D9D9" w:themeFill="background1" w:themeFillShade="D9"/>
          </w:tcPr>
          <w:p w14:paraId="3C8270BE" w14:textId="77777777" w:rsidR="00AB551B" w:rsidRPr="00107C19" w:rsidRDefault="00AB551B" w:rsidP="004D2F73">
            <w:pPr>
              <w:pStyle w:val="TableHeading"/>
              <w:rPr>
                <w:color w:val="000000" w:themeColor="text1"/>
                <w:sz w:val="20"/>
              </w:rPr>
            </w:pPr>
            <w:r w:rsidRPr="00107C19">
              <w:rPr>
                <w:color w:val="000000" w:themeColor="text1"/>
                <w:sz w:val="20"/>
              </w:rPr>
              <w:t>FY 2019</w:t>
            </w:r>
          </w:p>
        </w:tc>
        <w:tc>
          <w:tcPr>
            <w:tcW w:w="413" w:type="pct"/>
            <w:shd w:val="clear" w:color="auto" w:fill="D9D9D9" w:themeFill="background1" w:themeFillShade="D9"/>
          </w:tcPr>
          <w:p w14:paraId="732BF047" w14:textId="77777777" w:rsidR="00AB551B" w:rsidRPr="00107C19" w:rsidRDefault="00AB551B" w:rsidP="004D2F73">
            <w:pPr>
              <w:pStyle w:val="TableHeading"/>
              <w:rPr>
                <w:color w:val="000000" w:themeColor="text1"/>
                <w:sz w:val="20"/>
              </w:rPr>
            </w:pPr>
            <w:r w:rsidRPr="00107C19">
              <w:rPr>
                <w:color w:val="000000" w:themeColor="text1"/>
                <w:sz w:val="20"/>
              </w:rPr>
              <w:t>FY 2020</w:t>
            </w:r>
          </w:p>
        </w:tc>
        <w:tc>
          <w:tcPr>
            <w:tcW w:w="413" w:type="pct"/>
            <w:shd w:val="clear" w:color="auto" w:fill="D9D9D9" w:themeFill="background1" w:themeFillShade="D9"/>
          </w:tcPr>
          <w:p w14:paraId="77ADCA07" w14:textId="77777777" w:rsidR="00AB551B" w:rsidRPr="00107C19" w:rsidRDefault="00AB551B" w:rsidP="004D2F73">
            <w:pPr>
              <w:pStyle w:val="TableHeading"/>
              <w:rPr>
                <w:color w:val="000000" w:themeColor="text1"/>
                <w:sz w:val="20"/>
              </w:rPr>
            </w:pPr>
            <w:r w:rsidRPr="00107C19">
              <w:rPr>
                <w:color w:val="000000" w:themeColor="text1"/>
                <w:sz w:val="20"/>
              </w:rPr>
              <w:t>FY 2021</w:t>
            </w:r>
          </w:p>
        </w:tc>
        <w:tc>
          <w:tcPr>
            <w:tcW w:w="413" w:type="pct"/>
            <w:shd w:val="clear" w:color="auto" w:fill="D9D9D9" w:themeFill="background1" w:themeFillShade="D9"/>
          </w:tcPr>
          <w:p w14:paraId="612C60A8" w14:textId="77777777" w:rsidR="00AB551B" w:rsidRPr="00107C19" w:rsidRDefault="00AB551B" w:rsidP="004D2F73">
            <w:pPr>
              <w:pStyle w:val="TableHeading"/>
              <w:rPr>
                <w:color w:val="000000" w:themeColor="text1"/>
                <w:sz w:val="20"/>
              </w:rPr>
            </w:pPr>
            <w:r w:rsidRPr="00107C19">
              <w:rPr>
                <w:color w:val="000000" w:themeColor="text1"/>
                <w:sz w:val="20"/>
              </w:rPr>
              <w:t>FY 2022</w:t>
            </w:r>
          </w:p>
        </w:tc>
        <w:tc>
          <w:tcPr>
            <w:tcW w:w="412" w:type="pct"/>
            <w:shd w:val="clear" w:color="auto" w:fill="D9D9D9" w:themeFill="background1" w:themeFillShade="D9"/>
          </w:tcPr>
          <w:p w14:paraId="7E84FF71" w14:textId="77777777" w:rsidR="00AB551B" w:rsidRPr="00107C19" w:rsidRDefault="00AB551B" w:rsidP="004D2F73">
            <w:pPr>
              <w:pStyle w:val="TableHeading"/>
              <w:rPr>
                <w:color w:val="000000" w:themeColor="text1"/>
                <w:sz w:val="20"/>
              </w:rPr>
            </w:pPr>
            <w:r w:rsidRPr="00107C19">
              <w:rPr>
                <w:color w:val="000000" w:themeColor="text1"/>
                <w:sz w:val="20"/>
              </w:rPr>
              <w:t>FY 2023</w:t>
            </w:r>
          </w:p>
        </w:tc>
      </w:tr>
      <w:tr w:rsidR="00AB551B" w:rsidRPr="00107C19" w14:paraId="5286D4FE" w14:textId="77777777" w:rsidTr="00AB210C">
        <w:trPr>
          <w:tblHeader/>
        </w:trPr>
        <w:tc>
          <w:tcPr>
            <w:tcW w:w="1284" w:type="pct"/>
            <w:vAlign w:val="center"/>
          </w:tcPr>
          <w:p w14:paraId="30392141" w14:textId="77777777" w:rsidR="00AB551B" w:rsidRPr="00107C19" w:rsidRDefault="00AB551B" w:rsidP="004D2F73">
            <w:pPr>
              <w:pStyle w:val="TableText"/>
              <w:rPr>
                <w:color w:val="000000" w:themeColor="text1"/>
              </w:rPr>
            </w:pPr>
            <w:r w:rsidRPr="00107C19">
              <w:rPr>
                <w:color w:val="000000" w:themeColor="text1"/>
              </w:rPr>
              <w:t>Peer- Reviewed Research Reports</w:t>
            </w:r>
          </w:p>
        </w:tc>
        <w:tc>
          <w:tcPr>
            <w:tcW w:w="413" w:type="pct"/>
            <w:vAlign w:val="center"/>
          </w:tcPr>
          <w:p w14:paraId="1ABD7835" w14:textId="77777777" w:rsidR="00AB551B" w:rsidRPr="00107C19" w:rsidRDefault="00AB551B" w:rsidP="004D2F73">
            <w:pPr>
              <w:pStyle w:val="TableText"/>
              <w:jc w:val="center"/>
              <w:rPr>
                <w:color w:val="000000" w:themeColor="text1"/>
              </w:rPr>
            </w:pPr>
            <w:r w:rsidRPr="00107C19">
              <w:rPr>
                <w:color w:val="000000" w:themeColor="text1"/>
              </w:rPr>
              <w:t>147</w:t>
            </w:r>
          </w:p>
        </w:tc>
        <w:tc>
          <w:tcPr>
            <w:tcW w:w="413" w:type="pct"/>
            <w:vAlign w:val="center"/>
          </w:tcPr>
          <w:p w14:paraId="71B94891" w14:textId="77777777" w:rsidR="00AB551B" w:rsidRPr="00107C19" w:rsidRDefault="00AB551B" w:rsidP="004D2F73">
            <w:pPr>
              <w:pStyle w:val="TableText"/>
              <w:jc w:val="center"/>
              <w:rPr>
                <w:color w:val="000000" w:themeColor="text1"/>
              </w:rPr>
            </w:pPr>
            <w:r w:rsidRPr="00107C19">
              <w:rPr>
                <w:color w:val="000000" w:themeColor="text1"/>
              </w:rPr>
              <w:t>145</w:t>
            </w:r>
          </w:p>
        </w:tc>
        <w:tc>
          <w:tcPr>
            <w:tcW w:w="413" w:type="pct"/>
            <w:vAlign w:val="center"/>
          </w:tcPr>
          <w:p w14:paraId="6C21CF2B" w14:textId="77777777" w:rsidR="00AB551B" w:rsidRPr="00107C19" w:rsidRDefault="00AB551B" w:rsidP="004D2F73">
            <w:pPr>
              <w:pStyle w:val="TableText"/>
              <w:jc w:val="center"/>
              <w:rPr>
                <w:color w:val="000000" w:themeColor="text1"/>
              </w:rPr>
            </w:pPr>
            <w:r w:rsidRPr="00107C19">
              <w:rPr>
                <w:color w:val="000000" w:themeColor="text1"/>
              </w:rPr>
              <w:t>152</w:t>
            </w:r>
          </w:p>
        </w:tc>
        <w:tc>
          <w:tcPr>
            <w:tcW w:w="413" w:type="pct"/>
            <w:vAlign w:val="center"/>
          </w:tcPr>
          <w:p w14:paraId="6815A56C" w14:textId="77777777" w:rsidR="00AB551B" w:rsidRPr="00107C19" w:rsidRDefault="00AB551B" w:rsidP="004D2F73">
            <w:pPr>
              <w:pStyle w:val="TableText"/>
              <w:jc w:val="center"/>
              <w:rPr>
                <w:color w:val="000000" w:themeColor="text1"/>
              </w:rPr>
            </w:pPr>
            <w:r w:rsidRPr="00107C19">
              <w:rPr>
                <w:color w:val="000000" w:themeColor="text1"/>
              </w:rPr>
              <w:t>151</w:t>
            </w:r>
          </w:p>
        </w:tc>
        <w:tc>
          <w:tcPr>
            <w:tcW w:w="413" w:type="pct"/>
            <w:vAlign w:val="center"/>
          </w:tcPr>
          <w:p w14:paraId="2178035E" w14:textId="77777777" w:rsidR="00AB551B" w:rsidRPr="00107C19" w:rsidRDefault="00AB551B" w:rsidP="004D2F73">
            <w:pPr>
              <w:pStyle w:val="TableText"/>
              <w:jc w:val="center"/>
              <w:rPr>
                <w:color w:val="000000" w:themeColor="text1"/>
              </w:rPr>
            </w:pPr>
            <w:r w:rsidRPr="00107C19">
              <w:rPr>
                <w:color w:val="000000" w:themeColor="text1"/>
              </w:rPr>
              <w:t>132</w:t>
            </w:r>
          </w:p>
        </w:tc>
        <w:tc>
          <w:tcPr>
            <w:tcW w:w="413" w:type="pct"/>
            <w:vAlign w:val="center"/>
          </w:tcPr>
          <w:p w14:paraId="1425EC8A" w14:textId="77777777" w:rsidR="00AB551B" w:rsidRPr="00107C19" w:rsidRDefault="00AB551B" w:rsidP="004D2F73">
            <w:pPr>
              <w:pStyle w:val="TableText"/>
              <w:jc w:val="center"/>
              <w:rPr>
                <w:color w:val="000000" w:themeColor="text1"/>
              </w:rPr>
            </w:pPr>
            <w:r w:rsidRPr="00107C19">
              <w:rPr>
                <w:color w:val="000000" w:themeColor="text1"/>
              </w:rPr>
              <w:t>130</w:t>
            </w:r>
          </w:p>
        </w:tc>
        <w:tc>
          <w:tcPr>
            <w:tcW w:w="413" w:type="pct"/>
            <w:vAlign w:val="center"/>
          </w:tcPr>
          <w:p w14:paraId="0DF0373D" w14:textId="77777777" w:rsidR="00AB551B" w:rsidRPr="00107C19" w:rsidRDefault="00AB551B" w:rsidP="004D2F73">
            <w:pPr>
              <w:pStyle w:val="TableText"/>
              <w:jc w:val="center"/>
              <w:rPr>
                <w:color w:val="000000" w:themeColor="text1"/>
              </w:rPr>
            </w:pPr>
            <w:r w:rsidRPr="00107C19">
              <w:rPr>
                <w:color w:val="000000" w:themeColor="text1"/>
              </w:rPr>
              <w:t>151</w:t>
            </w:r>
          </w:p>
        </w:tc>
        <w:tc>
          <w:tcPr>
            <w:tcW w:w="413" w:type="pct"/>
            <w:vAlign w:val="center"/>
          </w:tcPr>
          <w:p w14:paraId="5383CF1D" w14:textId="77777777" w:rsidR="00AB551B" w:rsidRPr="00107C19" w:rsidRDefault="00AB551B" w:rsidP="004D2F73">
            <w:pPr>
              <w:pStyle w:val="TableText"/>
              <w:jc w:val="center"/>
              <w:rPr>
                <w:color w:val="000000" w:themeColor="text1"/>
              </w:rPr>
            </w:pPr>
            <w:r w:rsidRPr="00107C19">
              <w:rPr>
                <w:color w:val="000000" w:themeColor="text1"/>
              </w:rPr>
              <w:t>156</w:t>
            </w:r>
          </w:p>
        </w:tc>
        <w:tc>
          <w:tcPr>
            <w:tcW w:w="412" w:type="pct"/>
            <w:vAlign w:val="center"/>
          </w:tcPr>
          <w:p w14:paraId="02AD6EF8" w14:textId="77777777" w:rsidR="00AB551B" w:rsidRPr="00107C19" w:rsidRDefault="00AB551B" w:rsidP="004D2F73">
            <w:pPr>
              <w:pStyle w:val="TableText"/>
              <w:jc w:val="center"/>
              <w:rPr>
                <w:color w:val="000000" w:themeColor="text1"/>
              </w:rPr>
            </w:pPr>
            <w:r w:rsidRPr="00107C19">
              <w:rPr>
                <w:color w:val="000000" w:themeColor="text1"/>
              </w:rPr>
              <w:t>169</w:t>
            </w:r>
          </w:p>
        </w:tc>
      </w:tr>
      <w:bookmarkEnd w:id="506"/>
    </w:tbl>
    <w:p w14:paraId="19A5F742" w14:textId="77777777" w:rsidR="00AB551B" w:rsidRPr="00107C19" w:rsidRDefault="00AB551B" w:rsidP="00AB551B">
      <w:pPr>
        <w:spacing w:before="0" w:after="200" w:line="276" w:lineRule="auto"/>
        <w:jc w:val="both"/>
        <w:rPr>
          <w:rFonts w:eastAsia="Times New Roman" w:cstheme="minorHAnsi"/>
          <w:color w:val="000000" w:themeColor="text1"/>
          <w:szCs w:val="24"/>
        </w:rPr>
      </w:pPr>
    </w:p>
    <w:p w14:paraId="5E35D4A8" w14:textId="77777777" w:rsidR="0010664B" w:rsidRDefault="0010664B">
      <w:pPr>
        <w:spacing w:before="0" w:after="200" w:line="276" w:lineRule="auto"/>
        <w:rPr>
          <w:rFonts w:eastAsia="Times New Roman" w:cstheme="minorHAnsi"/>
          <w:b/>
          <w:color w:val="000000" w:themeColor="text1"/>
          <w:kern w:val="32"/>
          <w:sz w:val="36"/>
          <w:szCs w:val="32"/>
        </w:rPr>
      </w:pPr>
      <w:r>
        <w:rPr>
          <w:rFonts w:cstheme="minorHAnsi"/>
          <w:b/>
          <w:bCs/>
          <w:color w:val="000000" w:themeColor="text1"/>
        </w:rPr>
        <w:br w:type="page"/>
      </w:r>
    </w:p>
    <w:p w14:paraId="562FD497" w14:textId="77777777" w:rsidR="0010664B" w:rsidRPr="0010664B" w:rsidRDefault="0010664B" w:rsidP="0010664B">
      <w:pPr>
        <w:pageBreakBefore/>
        <w:numPr>
          <w:ilvl w:val="0"/>
          <w:numId w:val="14"/>
        </w:numPr>
        <w:tabs>
          <w:tab w:val="num" w:pos="360"/>
        </w:tabs>
        <w:autoSpaceDE w:val="0"/>
        <w:autoSpaceDN w:val="0"/>
        <w:adjustRightInd w:val="0"/>
        <w:spacing w:before="240" w:after="240" w:line="264" w:lineRule="auto"/>
        <w:ind w:left="0" w:firstLine="0"/>
        <w:outlineLvl w:val="0"/>
        <w:rPr>
          <w:rFonts w:ascii="Calibri" w:eastAsia="Times New Roman" w:hAnsi="Calibri" w:cs="Calibri"/>
          <w:b/>
          <w:color w:val="000000"/>
          <w:kern w:val="32"/>
          <w:sz w:val="36"/>
          <w:szCs w:val="32"/>
        </w:rPr>
      </w:pPr>
      <w:bookmarkStart w:id="507" w:name="_Toc160186066"/>
      <w:bookmarkStart w:id="508" w:name="_Toc126759990"/>
      <w:r w:rsidRPr="0010664B">
        <w:rPr>
          <w:rFonts w:ascii="Calibri" w:eastAsia="Times New Roman" w:hAnsi="Calibri" w:cs="Calibri"/>
          <w:b/>
          <w:color w:val="000000"/>
          <w:kern w:val="32"/>
          <w:sz w:val="36"/>
          <w:szCs w:val="32"/>
        </w:rPr>
        <w:lastRenderedPageBreak/>
        <w:t>Food Safety and Inspection Service</w:t>
      </w:r>
      <w:bookmarkEnd w:id="507"/>
    </w:p>
    <w:p w14:paraId="03FB9A92" w14:textId="77777777" w:rsidR="0010664B" w:rsidRPr="0010664B" w:rsidRDefault="0010664B" w:rsidP="0010664B">
      <w:pPr>
        <w:rPr>
          <w:rFonts w:ascii="Calibri" w:hAnsi="Calibri"/>
          <w:color w:val="000000"/>
        </w:rPr>
      </w:pPr>
      <w:r w:rsidRPr="0010664B">
        <w:rPr>
          <w:rFonts w:ascii="Calibri" w:hAnsi="Calibri"/>
          <w:noProof/>
        </w:rPr>
        <w:drawing>
          <wp:inline distT="0" distB="0" distL="0" distR="0" wp14:anchorId="079774E5" wp14:editId="586C2A2A">
            <wp:extent cx="2214563" cy="1476375"/>
            <wp:effectExtent l="0" t="0" r="0" b="0"/>
            <wp:docPr id="479294596" name="Picture 479294596" descr="An FSIS inspector performs inspection tasks in a hog slaughter establishment.&#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808459" name="Picture 465808459" descr="An FSIS inspector performs inspection tasks in a hog slaughter establishment.&#10;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14563" cy="1476375"/>
                    </a:xfrm>
                    <a:prstGeom prst="rect">
                      <a:avLst/>
                    </a:prstGeom>
                  </pic:spPr>
                </pic:pic>
              </a:graphicData>
            </a:graphic>
          </wp:inline>
        </w:drawing>
      </w:r>
      <w:r w:rsidRPr="0010664B">
        <w:rPr>
          <w:rFonts w:ascii="Calibri" w:hAnsi="Calibri"/>
          <w:noProof/>
        </w:rPr>
        <w:drawing>
          <wp:inline distT="0" distB="0" distL="0" distR="0" wp14:anchorId="489A7735" wp14:editId="68DBFFF2">
            <wp:extent cx="1587247" cy="1479999"/>
            <wp:effectExtent l="0" t="0" r="0" b="0"/>
            <wp:docPr id="247660581" name="Picture 247660581" descr="An FSIS staff member makes a food safety presentation to schoolchildren, alongside Thermy the Food Thermometer masc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62000" name="Picture 1340762000" descr="An FSIS staff member makes a food safety presentation to schoolchildren, alongside Thermy the Food Thermometer mascot."/>
                    <pic:cNvPicPr/>
                  </pic:nvPicPr>
                  <pic:blipFill>
                    <a:blip r:embed="rId24" cstate="print">
                      <a:extLst>
                        <a:ext uri="{28A0092B-C50C-407E-A947-70E740481C1C}">
                          <a14:useLocalDpi xmlns:a14="http://schemas.microsoft.com/office/drawing/2010/main" val="0"/>
                        </a:ext>
                      </a:extLst>
                    </a:blip>
                    <a:srcRect t="3124"/>
                    <a:stretch>
                      <a:fillRect/>
                    </a:stretch>
                  </pic:blipFill>
                  <pic:spPr>
                    <a:xfrm>
                      <a:off x="0" y="0"/>
                      <a:ext cx="1587247" cy="1479999"/>
                    </a:xfrm>
                    <a:prstGeom prst="rect">
                      <a:avLst/>
                    </a:prstGeom>
                  </pic:spPr>
                </pic:pic>
              </a:graphicData>
            </a:graphic>
          </wp:inline>
        </w:drawing>
      </w:r>
      <w:r w:rsidRPr="0010664B">
        <w:rPr>
          <w:rFonts w:ascii="Calibri" w:hAnsi="Calibri"/>
          <w:noProof/>
        </w:rPr>
        <w:drawing>
          <wp:inline distT="0" distB="0" distL="0" distR="0" wp14:anchorId="5AF6E2FE" wp14:editId="4C6F22AF">
            <wp:extent cx="2096861" cy="1483976"/>
            <wp:effectExtent l="0" t="0" r="0" b="0"/>
            <wp:docPr id="824317696" name="Picture 824317696" descr="An FSIS scientist conducts a laboratory test to ensure product is not contaminated.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09959" name="Picture 437009959" descr="An FSIS scientist conducts a laboratory test to ensure product is not contaminated. &#10;&#10;"/>
                    <pic:cNvPicPr/>
                  </pic:nvPicPr>
                  <pic:blipFill>
                    <a:blip r:embed="rId25" cstate="print">
                      <a:extLst>
                        <a:ext uri="{28A0092B-C50C-407E-A947-70E740481C1C}">
                          <a14:useLocalDpi xmlns:a14="http://schemas.microsoft.com/office/drawing/2010/main" val="0"/>
                        </a:ext>
                      </a:extLst>
                    </a:blip>
                    <a:srcRect t="1808" r="7503"/>
                    <a:stretch>
                      <a:fillRect/>
                    </a:stretch>
                  </pic:blipFill>
                  <pic:spPr>
                    <a:xfrm>
                      <a:off x="0" y="0"/>
                      <a:ext cx="2096861" cy="1483976"/>
                    </a:xfrm>
                    <a:prstGeom prst="rect">
                      <a:avLst/>
                    </a:prstGeom>
                  </pic:spPr>
                </pic:pic>
              </a:graphicData>
            </a:graphic>
          </wp:inline>
        </w:drawing>
      </w:r>
    </w:p>
    <w:p w14:paraId="6665943A" w14:textId="77777777" w:rsidR="0010664B" w:rsidRPr="0010664B" w:rsidRDefault="0010664B" w:rsidP="0010664B">
      <w:pPr>
        <w:rPr>
          <w:rFonts w:ascii="Calibri" w:hAnsi="Calibri"/>
          <w:color w:val="000000"/>
        </w:rPr>
      </w:pPr>
    </w:p>
    <w:p w14:paraId="61F44FF5" w14:textId="77777777" w:rsidR="0010664B" w:rsidRPr="0010664B" w:rsidRDefault="0010664B" w:rsidP="0010664B">
      <w:pPr>
        <w:rPr>
          <w:rFonts w:ascii="Calibri" w:hAnsi="Calibri"/>
          <w:color w:val="000000"/>
        </w:rPr>
      </w:pPr>
      <w:r w:rsidRPr="0010664B">
        <w:rPr>
          <w:rFonts w:ascii="Calibri" w:hAnsi="Calibri"/>
          <w:color w:val="000000"/>
        </w:rPr>
        <w:t xml:space="preserve">Photo 1 (left): A USDA FSIS Inspector in protective gear performs inspection tasks at a hog slaughter establishment. Photo 2 (center): A USDA FSIS staff member provides a food safety presentation at an elementary school alongside Thermy the Food Thermometer mascot. Photo 3 (right): A USDA FSIS food safety staff member conducts a laboratory test. </w:t>
      </w:r>
      <w:bookmarkStart w:id="509" w:name="_Toc119662611"/>
      <w:bookmarkStart w:id="510" w:name="_Toc583145759"/>
      <w:bookmarkStart w:id="511" w:name="_Toc365948505"/>
    </w:p>
    <w:p w14:paraId="74AC5081" w14:textId="77777777" w:rsidR="0010664B" w:rsidRPr="0010664B" w:rsidRDefault="0010664B" w:rsidP="0010664B">
      <w:pPr>
        <w:keepNext/>
        <w:numPr>
          <w:ilvl w:val="1"/>
          <w:numId w:val="14"/>
        </w:numPr>
        <w:tabs>
          <w:tab w:val="num" w:pos="360"/>
        </w:tabs>
        <w:spacing w:before="240" w:after="240" w:line="264" w:lineRule="auto"/>
        <w:ind w:left="0" w:firstLine="0"/>
        <w:outlineLvl w:val="1"/>
        <w:rPr>
          <w:rFonts w:ascii="Calibri" w:eastAsia="Times New Roman" w:hAnsi="Calibri" w:cs="Calibri"/>
          <w:iCs/>
          <w:color w:val="000000"/>
          <w:kern w:val="32"/>
          <w:sz w:val="32"/>
          <w:szCs w:val="28"/>
        </w:rPr>
      </w:pPr>
      <w:bookmarkStart w:id="512" w:name="_Toc119662612"/>
      <w:bookmarkStart w:id="513" w:name="_Toc43110859"/>
      <w:bookmarkStart w:id="514" w:name="_Toc1963186506"/>
      <w:bookmarkStart w:id="515" w:name="_Toc126759991"/>
      <w:bookmarkStart w:id="516" w:name="_Toc160186067"/>
      <w:bookmarkEnd w:id="508"/>
      <w:bookmarkEnd w:id="509"/>
      <w:bookmarkEnd w:id="510"/>
      <w:bookmarkEnd w:id="511"/>
      <w:r w:rsidRPr="0010664B">
        <w:rPr>
          <w:rFonts w:ascii="Calibri" w:eastAsia="Times New Roman" w:hAnsi="Calibri" w:cs="Calibri"/>
          <w:iCs/>
          <w:color w:val="000000"/>
          <w:kern w:val="32"/>
          <w:sz w:val="32"/>
          <w:szCs w:val="28"/>
        </w:rPr>
        <w:t>Mission Statement</w:t>
      </w:r>
      <w:bookmarkEnd w:id="512"/>
      <w:bookmarkEnd w:id="513"/>
      <w:bookmarkEnd w:id="514"/>
      <w:bookmarkEnd w:id="515"/>
      <w:bookmarkEnd w:id="516"/>
    </w:p>
    <w:p w14:paraId="1199514A" w14:textId="77777777" w:rsidR="0010664B" w:rsidRPr="0010664B" w:rsidRDefault="0010664B" w:rsidP="0010664B">
      <w:pPr>
        <w:rPr>
          <w:rFonts w:ascii="Calibri" w:eastAsia="Times New Roman" w:hAnsi="Calibri" w:cs="Calibri"/>
          <w:color w:val="000000"/>
          <w:szCs w:val="24"/>
        </w:rPr>
      </w:pPr>
      <w:r w:rsidRPr="0010664B">
        <w:rPr>
          <w:rFonts w:ascii="Calibri" w:eastAsia="Times New Roman" w:hAnsi="Calibri"/>
          <w:szCs w:val="24"/>
        </w:rPr>
        <w:t xml:space="preserve">The Food Safety and Inspection Service (FSIS) is the public health regulatory agency of the U.S. Department of Agriculture (USDA) responsible for ensuring that domestic and imported meat, poultry, and egg products are safe, wholesome, and properly labeled. FSIS’ mission is to protect public health by preventing foodborne illness from meat, poultry, and egg products. </w:t>
      </w:r>
      <w:r w:rsidRPr="0010664B">
        <w:rPr>
          <w:rFonts w:ascii="Calibri" w:eastAsia="Times New Roman" w:hAnsi="Calibri" w:cs="Calibri"/>
          <w:color w:val="000000"/>
          <w:szCs w:val="24"/>
        </w:rPr>
        <w:t>FSIS ensures food safety through the authorities of the Federal Meat Inspection Act, the Poultry Products Inspection Act, and the Egg Products Inspection Act, as well as humane animal handling through the Humane Methods of Slaughter Act.</w:t>
      </w:r>
    </w:p>
    <w:p w14:paraId="41D03111" w14:textId="77777777" w:rsidR="0010664B" w:rsidRPr="0010664B" w:rsidRDefault="0010664B" w:rsidP="0010664B">
      <w:pPr>
        <w:keepNext/>
        <w:numPr>
          <w:ilvl w:val="1"/>
          <w:numId w:val="14"/>
        </w:numPr>
        <w:tabs>
          <w:tab w:val="num" w:pos="360"/>
        </w:tabs>
        <w:spacing w:before="240" w:after="240" w:line="264" w:lineRule="auto"/>
        <w:ind w:left="0" w:firstLine="0"/>
        <w:outlineLvl w:val="1"/>
        <w:rPr>
          <w:rFonts w:ascii="Calibri" w:eastAsia="Times New Roman" w:hAnsi="Calibri" w:cs="Calibri"/>
          <w:iCs/>
          <w:color w:val="000000"/>
          <w:kern w:val="32"/>
          <w:sz w:val="32"/>
          <w:szCs w:val="28"/>
        </w:rPr>
      </w:pPr>
      <w:bookmarkStart w:id="517" w:name="_Toc119662613"/>
      <w:bookmarkStart w:id="518" w:name="_Toc1078542815"/>
      <w:bookmarkStart w:id="519" w:name="_Toc44982548"/>
      <w:bookmarkStart w:id="520" w:name="_Toc126759992"/>
      <w:bookmarkStart w:id="521" w:name="_Toc160186068"/>
      <w:r w:rsidRPr="0010664B">
        <w:rPr>
          <w:rFonts w:ascii="Calibri" w:eastAsia="Times New Roman" w:hAnsi="Calibri" w:cs="Calibri"/>
          <w:iCs/>
          <w:color w:val="000000"/>
          <w:kern w:val="32"/>
          <w:sz w:val="32"/>
          <w:szCs w:val="28"/>
        </w:rPr>
        <w:t>Nature and Structure of Programs</w:t>
      </w:r>
      <w:bookmarkEnd w:id="517"/>
      <w:bookmarkEnd w:id="518"/>
      <w:bookmarkEnd w:id="519"/>
      <w:bookmarkEnd w:id="520"/>
      <w:bookmarkEnd w:id="521"/>
    </w:p>
    <w:p w14:paraId="6AF720F4" w14:textId="77777777" w:rsidR="0010664B" w:rsidRPr="0010664B" w:rsidRDefault="0010664B" w:rsidP="0010664B">
      <w:pPr>
        <w:rPr>
          <w:rFonts w:ascii="Calibri" w:eastAsia="Times New Roman" w:hAnsi="Calibri" w:cs="Calibri"/>
          <w:color w:val="000000"/>
          <w:szCs w:val="24"/>
        </w:rPr>
      </w:pPr>
      <w:r w:rsidRPr="0010664B">
        <w:rPr>
          <w:rFonts w:ascii="Calibri" w:eastAsia="Times New Roman" w:hAnsi="Calibri" w:cs="Calibri"/>
          <w:color w:val="000000"/>
          <w:szCs w:val="24"/>
        </w:rPr>
        <w:t xml:space="preserve">FSIS laboratories use the latest methods to test for chemical, </w:t>
      </w:r>
      <w:r w:rsidRPr="0010664B">
        <w:rPr>
          <w:rFonts w:ascii="Calibri" w:hAnsi="Calibri" w:cs="Calibri"/>
          <w:color w:val="000000"/>
          <w:szCs w:val="24"/>
        </w:rPr>
        <w:t>microbiological,</w:t>
      </w:r>
      <w:r w:rsidRPr="0010664B">
        <w:rPr>
          <w:rFonts w:ascii="Calibri" w:eastAsia="Times New Roman" w:hAnsi="Calibri" w:cs="Calibri"/>
          <w:color w:val="000000"/>
          <w:szCs w:val="24"/>
        </w:rPr>
        <w:t xml:space="preserve"> and physical contaminants in meat, poultry, and egg products. </w:t>
      </w:r>
      <w:r w:rsidRPr="0010664B">
        <w:rPr>
          <w:rFonts w:ascii="Calibri" w:eastAsia="Times New Roman" w:hAnsi="Calibri" w:cs="Calibri"/>
          <w:color w:val="000000"/>
          <w:szCs w:val="24"/>
          <w:shd w:val="clear" w:color="auto" w:fill="FFFFFF"/>
        </w:rPr>
        <w:t>Sampling data generated by FSIS laboratories supports regulatory enforcement, policy development, foodborne outbreak response, and scientific</w:t>
      </w:r>
      <w:r w:rsidRPr="0010664B">
        <w:rPr>
          <w:rFonts w:ascii="Calibri" w:eastAsia="Times New Roman" w:hAnsi="Calibri" w:cs="Calibri"/>
          <w:color w:val="000000"/>
          <w:szCs w:val="24"/>
        </w:rPr>
        <w:t xml:space="preserve"> partnerships with Federal agencies, universities, and industry. FSIS-generated data can be found on the Agency’s website: </w:t>
      </w:r>
    </w:p>
    <w:p w14:paraId="25B8314B" w14:textId="77777777" w:rsidR="0010664B" w:rsidRPr="0010664B" w:rsidRDefault="00B2178E" w:rsidP="0010664B">
      <w:pPr>
        <w:rPr>
          <w:rFonts w:ascii="Calibri" w:eastAsia="Times New Roman" w:hAnsi="Calibri" w:cs="Calibri"/>
          <w:color w:val="000000"/>
          <w:szCs w:val="24"/>
        </w:rPr>
      </w:pPr>
      <w:hyperlink r:id="rId26" w:history="1">
        <w:r w:rsidR="0010664B" w:rsidRPr="0010664B">
          <w:rPr>
            <w:rFonts w:ascii="Calibri" w:hAnsi="Calibri"/>
            <w:color w:val="0000FF"/>
            <w:szCs w:val="24"/>
            <w:u w:val="single"/>
          </w:rPr>
          <w:t>https://www.fsis.usda.gov/science-data</w:t>
        </w:r>
      </w:hyperlink>
      <w:r w:rsidR="0010664B" w:rsidRPr="0010664B">
        <w:rPr>
          <w:rFonts w:ascii="Calibri" w:hAnsi="Calibri"/>
          <w:color w:val="000000"/>
          <w:szCs w:val="24"/>
        </w:rPr>
        <w:t>.</w:t>
      </w:r>
    </w:p>
    <w:p w14:paraId="2E53B9AF" w14:textId="77777777" w:rsidR="0010664B" w:rsidRPr="0010664B" w:rsidRDefault="0010664B" w:rsidP="0010664B">
      <w:pPr>
        <w:rPr>
          <w:rFonts w:ascii="Calibri" w:eastAsia="Times New Roman" w:hAnsi="Calibri"/>
          <w:color w:val="000000"/>
          <w:szCs w:val="24"/>
        </w:rPr>
      </w:pPr>
      <w:r w:rsidRPr="0010664B">
        <w:rPr>
          <w:rFonts w:ascii="Calibri" w:eastAsia="Times New Roman" w:hAnsi="Calibri"/>
          <w:color w:val="000000"/>
          <w:szCs w:val="24"/>
          <w:shd w:val="clear" w:color="auto" w:fill="FFFFFF"/>
        </w:rPr>
        <w:t xml:space="preserve">FSIS reviews new technologies that establishments employ to ensure that their use is consistent with Agency regulations and will not adversely affect product safety, inspection procedures, or the safety of FSIS inspection personnel. </w:t>
      </w:r>
      <w:r w:rsidRPr="0010664B">
        <w:rPr>
          <w:rFonts w:ascii="Calibri" w:eastAsia="Times New Roman" w:hAnsi="Calibri"/>
          <w:color w:val="000000"/>
          <w:szCs w:val="24"/>
        </w:rPr>
        <w:t>In addition, the Agency leverages various strategies and technologies to conduct educational outreach to consumers (see section 3.3.3).</w:t>
      </w:r>
    </w:p>
    <w:p w14:paraId="5D073AED" w14:textId="77777777" w:rsidR="0010664B" w:rsidRPr="0010664B" w:rsidRDefault="0010664B" w:rsidP="0010664B">
      <w:pPr>
        <w:rPr>
          <w:rFonts w:ascii="Calibri" w:eastAsia="Times New Roman" w:hAnsi="Calibri" w:cs="Calibri"/>
          <w:color w:val="000000"/>
          <w:szCs w:val="24"/>
        </w:rPr>
      </w:pPr>
    </w:p>
    <w:p w14:paraId="796C7375" w14:textId="77777777" w:rsidR="0010664B" w:rsidRPr="0010664B" w:rsidRDefault="0010664B" w:rsidP="0010664B">
      <w:pPr>
        <w:keepNext/>
        <w:numPr>
          <w:ilvl w:val="1"/>
          <w:numId w:val="14"/>
        </w:numPr>
        <w:tabs>
          <w:tab w:val="num" w:pos="360"/>
        </w:tabs>
        <w:spacing w:before="240" w:after="240" w:line="264" w:lineRule="auto"/>
        <w:ind w:left="0" w:firstLine="0"/>
        <w:outlineLvl w:val="1"/>
        <w:rPr>
          <w:rFonts w:ascii="Calibri" w:eastAsia="Times New Roman" w:hAnsi="Calibri" w:cs="Calibri"/>
          <w:i/>
          <w:iCs/>
          <w:color w:val="000000"/>
          <w:kern w:val="32"/>
          <w:sz w:val="32"/>
          <w:szCs w:val="28"/>
        </w:rPr>
      </w:pPr>
      <w:bookmarkStart w:id="522" w:name="_Toc119662614"/>
      <w:bookmarkStart w:id="523" w:name="_Toc126759993"/>
      <w:bookmarkStart w:id="524" w:name="_Toc160186069"/>
      <w:r w:rsidRPr="0010664B">
        <w:rPr>
          <w:rFonts w:ascii="Calibri" w:eastAsia="Times New Roman" w:hAnsi="Calibri" w:cs="Calibri"/>
          <w:iCs/>
          <w:color w:val="000000"/>
          <w:kern w:val="32"/>
          <w:sz w:val="32"/>
          <w:szCs w:val="28"/>
          <w:bdr w:val="none" w:sz="0" w:space="0" w:color="auto" w:frame="1"/>
        </w:rPr>
        <w:lastRenderedPageBreak/>
        <w:t>Activities in FY 202</w:t>
      </w:r>
      <w:bookmarkEnd w:id="522"/>
      <w:bookmarkEnd w:id="523"/>
      <w:r w:rsidRPr="0010664B">
        <w:rPr>
          <w:rFonts w:ascii="Calibri" w:eastAsia="Times New Roman" w:hAnsi="Calibri" w:cs="Calibri"/>
          <w:iCs/>
          <w:color w:val="000000"/>
          <w:kern w:val="32"/>
          <w:sz w:val="32"/>
          <w:szCs w:val="28"/>
          <w:bdr w:val="none" w:sz="0" w:space="0" w:color="auto" w:frame="1"/>
        </w:rPr>
        <w:t>3</w:t>
      </w:r>
      <w:bookmarkEnd w:id="524"/>
    </w:p>
    <w:p w14:paraId="509635C8" w14:textId="77777777" w:rsidR="0010664B" w:rsidRPr="0010664B" w:rsidRDefault="0010664B" w:rsidP="0010664B">
      <w:pPr>
        <w:keepNext/>
        <w:numPr>
          <w:ilvl w:val="2"/>
          <w:numId w:val="14"/>
        </w:numPr>
        <w:tabs>
          <w:tab w:val="num" w:pos="360"/>
        </w:tabs>
        <w:spacing w:before="240" w:after="240" w:line="264" w:lineRule="auto"/>
        <w:ind w:left="0" w:firstLine="0"/>
        <w:outlineLvl w:val="2"/>
        <w:rPr>
          <w:rFonts w:ascii="Calibri" w:eastAsia="Times New Roman" w:hAnsi="Calibri" w:cs="Calibri"/>
          <w:bCs/>
          <w:iCs/>
          <w:color w:val="000000"/>
          <w:kern w:val="32"/>
          <w:sz w:val="28"/>
          <w:szCs w:val="26"/>
        </w:rPr>
      </w:pPr>
      <w:bookmarkStart w:id="525" w:name="_Toc119662615"/>
      <w:bookmarkStart w:id="526" w:name="_Toc508181223"/>
      <w:bookmarkStart w:id="527" w:name="_Toc1609014679"/>
      <w:bookmarkStart w:id="528" w:name="_Toc126759994"/>
      <w:bookmarkStart w:id="529" w:name="_Toc160186070"/>
      <w:r w:rsidRPr="0010664B">
        <w:rPr>
          <w:rFonts w:ascii="Calibri" w:eastAsia="Times New Roman" w:hAnsi="Calibri" w:cs="Calibri"/>
          <w:bCs/>
          <w:iCs/>
          <w:color w:val="000000"/>
          <w:kern w:val="32"/>
          <w:sz w:val="28"/>
          <w:szCs w:val="26"/>
        </w:rPr>
        <w:t>Facilitating the Application of New Food Safety Technologies to Food Production</w:t>
      </w:r>
      <w:bookmarkEnd w:id="525"/>
      <w:bookmarkEnd w:id="526"/>
      <w:bookmarkEnd w:id="527"/>
      <w:bookmarkEnd w:id="528"/>
      <w:bookmarkEnd w:id="529"/>
    </w:p>
    <w:p w14:paraId="2D9A1140" w14:textId="77777777" w:rsidR="0010664B" w:rsidRPr="0010664B" w:rsidRDefault="0010664B" w:rsidP="0010664B">
      <w:pPr>
        <w:spacing w:before="60" w:after="60"/>
        <w:rPr>
          <w:rFonts w:ascii="Calibri" w:eastAsia="Times New Roman" w:hAnsi="Calibri"/>
          <w:color w:val="000000"/>
          <w:szCs w:val="24"/>
          <w:bdr w:val="none" w:sz="0" w:space="0" w:color="auto" w:frame="1"/>
        </w:rPr>
      </w:pPr>
      <w:r w:rsidRPr="0010664B">
        <w:rPr>
          <w:rFonts w:ascii="Calibri" w:eastAsia="Times New Roman" w:hAnsi="Calibri"/>
          <w:color w:val="000000"/>
          <w:szCs w:val="24"/>
          <w:bdr w:val="none" w:sz="0" w:space="0" w:color="auto" w:frame="1"/>
        </w:rPr>
        <w:t>During fiscal year (FY) 2023, FSIS evaluated </w:t>
      </w:r>
      <w:r w:rsidRPr="0010664B">
        <w:rPr>
          <w:rFonts w:ascii="Calibri" w:eastAsia="Times New Roman" w:hAnsi="Calibri"/>
          <w:color w:val="000000"/>
          <w:szCs w:val="24"/>
        </w:rPr>
        <w:t xml:space="preserve">48 </w:t>
      </w:r>
      <w:r w:rsidRPr="0010664B">
        <w:rPr>
          <w:rFonts w:ascii="Calibri" w:eastAsia="Times New Roman" w:hAnsi="Calibri"/>
          <w:color w:val="000000"/>
          <w:szCs w:val="24"/>
          <w:bdr w:val="none" w:sz="0" w:space="0" w:color="auto" w:frame="1"/>
        </w:rPr>
        <w:t xml:space="preserve">new technologies designed to enhance food safety, including new commercial pathogen control interventions, process innovations, and the use of new ingredients. FSIS posts brief summaries of the technologies in the </w:t>
      </w:r>
      <w:hyperlink r:id="rId27" w:history="1">
        <w:r w:rsidRPr="0010664B">
          <w:rPr>
            <w:rFonts w:ascii="Calibri" w:eastAsia="Times New Roman" w:hAnsi="Calibri"/>
            <w:color w:val="0000FF"/>
            <w:szCs w:val="24"/>
            <w:u w:val="single"/>
            <w:bdr w:val="none" w:sz="0" w:space="0" w:color="auto" w:frame="1"/>
          </w:rPr>
          <w:t>FSIS New Technology Table</w:t>
        </w:r>
      </w:hyperlink>
      <w:r w:rsidRPr="0010664B">
        <w:rPr>
          <w:rFonts w:ascii="Calibri" w:eastAsia="Times New Roman" w:hAnsi="Calibri"/>
          <w:color w:val="000000"/>
          <w:szCs w:val="24"/>
          <w:bdr w:val="none" w:sz="0" w:space="0" w:color="auto" w:frame="1"/>
        </w:rPr>
        <w:t xml:space="preserve"> to increase public and industry awareness of available new technologies.</w:t>
      </w:r>
    </w:p>
    <w:p w14:paraId="0A9484B1" w14:textId="77777777" w:rsidR="0010664B" w:rsidRPr="0010664B" w:rsidRDefault="0010664B" w:rsidP="0010664B">
      <w:pPr>
        <w:keepNext/>
        <w:numPr>
          <w:ilvl w:val="2"/>
          <w:numId w:val="14"/>
        </w:numPr>
        <w:tabs>
          <w:tab w:val="num" w:pos="360"/>
        </w:tabs>
        <w:spacing w:before="240" w:after="240" w:line="264" w:lineRule="auto"/>
        <w:ind w:left="0" w:firstLine="0"/>
        <w:outlineLvl w:val="2"/>
        <w:rPr>
          <w:rFonts w:ascii="Calibri" w:eastAsia="Times New Roman" w:hAnsi="Calibri" w:cs="Calibri"/>
          <w:bCs/>
          <w:iCs/>
          <w:color w:val="000000"/>
          <w:kern w:val="32"/>
          <w:sz w:val="28"/>
          <w:szCs w:val="26"/>
        </w:rPr>
      </w:pPr>
      <w:bookmarkStart w:id="530" w:name="_Toc119662616"/>
      <w:bookmarkStart w:id="531" w:name="_Toc126759995"/>
      <w:bookmarkStart w:id="532" w:name="_Toc160186071"/>
      <w:bookmarkStart w:id="533" w:name="_Toc787102907"/>
      <w:bookmarkStart w:id="534" w:name="_Toc736813848"/>
      <w:r w:rsidRPr="0010664B">
        <w:rPr>
          <w:rFonts w:ascii="Calibri" w:eastAsia="Times New Roman" w:hAnsi="Calibri" w:cs="Calibri"/>
          <w:bCs/>
          <w:iCs/>
          <w:color w:val="000000"/>
          <w:kern w:val="32"/>
          <w:sz w:val="28"/>
          <w:szCs w:val="26"/>
        </w:rPr>
        <w:t>Guidance for Industry on Safe Food Production</w:t>
      </w:r>
      <w:bookmarkEnd w:id="530"/>
      <w:bookmarkEnd w:id="531"/>
      <w:bookmarkEnd w:id="532"/>
      <w:r w:rsidRPr="0010664B">
        <w:rPr>
          <w:rFonts w:ascii="Calibri" w:eastAsia="Times New Roman" w:hAnsi="Calibri" w:cs="Calibri"/>
          <w:bCs/>
          <w:iCs/>
          <w:color w:val="000000"/>
          <w:kern w:val="32"/>
          <w:sz w:val="28"/>
          <w:szCs w:val="26"/>
        </w:rPr>
        <w:t xml:space="preserve">  </w:t>
      </w:r>
      <w:bookmarkEnd w:id="533"/>
      <w:bookmarkEnd w:id="534"/>
    </w:p>
    <w:p w14:paraId="7EB335DE" w14:textId="77777777" w:rsidR="0010664B" w:rsidRPr="0010664B" w:rsidRDefault="0010664B" w:rsidP="0010664B">
      <w:pPr>
        <w:spacing w:after="0"/>
        <w:rPr>
          <w:rFonts w:ascii="Calibri" w:hAnsi="Calibri"/>
          <w:color w:val="000000"/>
        </w:rPr>
      </w:pPr>
      <w:r w:rsidRPr="0010664B">
        <w:rPr>
          <w:rFonts w:ascii="Calibri" w:hAnsi="Calibri"/>
          <w:color w:val="000000"/>
          <w:lang w:val="en"/>
        </w:rPr>
        <w:t>The Agency</w:t>
      </w:r>
      <w:r w:rsidRPr="0010664B">
        <w:rPr>
          <w:rFonts w:ascii="Calibri" w:hAnsi="Calibri"/>
          <w:color w:val="000000"/>
        </w:rPr>
        <w:t xml:space="preserve"> released five guidance documents, including:</w:t>
      </w:r>
    </w:p>
    <w:p w14:paraId="3C266F00" w14:textId="77777777" w:rsidR="0010664B" w:rsidRPr="0010664B" w:rsidRDefault="00B2178E" w:rsidP="00695E0D">
      <w:pPr>
        <w:numPr>
          <w:ilvl w:val="0"/>
          <w:numId w:val="27"/>
        </w:numPr>
        <w:spacing w:before="0" w:after="160" w:line="259" w:lineRule="auto"/>
        <w:contextualSpacing/>
        <w:rPr>
          <w:rFonts w:ascii="Calibri" w:hAnsi="Calibri"/>
          <w:kern w:val="2"/>
          <w:szCs w:val="24"/>
          <w14:ligatures w14:val="standardContextual"/>
        </w:rPr>
      </w:pPr>
      <w:hyperlink r:id="rId28" w:history="1">
        <w:r w:rsidR="0010664B" w:rsidRPr="0010664B">
          <w:rPr>
            <w:rFonts w:ascii="Calibri" w:hAnsi="Calibri"/>
            <w:color w:val="0000FF"/>
            <w:kern w:val="2"/>
            <w:szCs w:val="24"/>
            <w:u w:val="single"/>
            <w14:ligatures w14:val="standardContextual"/>
          </w:rPr>
          <w:t>FSIS Guideline for Label Approval</w:t>
        </w:r>
      </w:hyperlink>
    </w:p>
    <w:p w14:paraId="297D1577" w14:textId="77777777" w:rsidR="0010664B" w:rsidRPr="0010664B" w:rsidRDefault="0010664B" w:rsidP="00695E0D">
      <w:pPr>
        <w:numPr>
          <w:ilvl w:val="1"/>
          <w:numId w:val="27"/>
        </w:numPr>
        <w:spacing w:before="0" w:after="160" w:line="259" w:lineRule="auto"/>
        <w:contextualSpacing/>
        <w:rPr>
          <w:rFonts w:ascii="Calibri" w:hAnsi="Calibri"/>
          <w:kern w:val="2"/>
          <w:szCs w:val="24"/>
          <w14:ligatures w14:val="standardContextual"/>
        </w:rPr>
      </w:pPr>
      <w:r w:rsidRPr="0010664B">
        <w:rPr>
          <w:rFonts w:ascii="Calibri" w:hAnsi="Calibri"/>
          <w:kern w:val="2"/>
          <w:szCs w:val="24"/>
          <w14:ligatures w14:val="standardContextual"/>
        </w:rPr>
        <w:t>Note: This revision reflects changes to generic labelling approval eligibility established by the final rule, “Prior Label Approval System: Expansion of Generic Label Approval” (88 FR 2798). The final rule expanded generic approval to products only intended for export that deviated from domestic labeling requirements and permitted generic approval of the labels of products that receive voluntary FSIS inspection.</w:t>
      </w:r>
    </w:p>
    <w:p w14:paraId="3EAD2E21" w14:textId="77777777" w:rsidR="0010664B" w:rsidRPr="0010664B" w:rsidRDefault="00B2178E" w:rsidP="00695E0D">
      <w:pPr>
        <w:numPr>
          <w:ilvl w:val="0"/>
          <w:numId w:val="27"/>
        </w:numPr>
        <w:spacing w:before="0" w:after="160" w:line="259" w:lineRule="auto"/>
        <w:contextualSpacing/>
        <w:rPr>
          <w:rFonts w:ascii="Calibri" w:hAnsi="Calibri"/>
          <w:kern w:val="2"/>
          <w:szCs w:val="24"/>
          <w14:ligatures w14:val="standardContextual"/>
        </w:rPr>
      </w:pPr>
      <w:hyperlink r:id="rId29" w:history="1">
        <w:r w:rsidR="0010664B" w:rsidRPr="0010664B">
          <w:rPr>
            <w:rFonts w:ascii="Calibri" w:hAnsi="Calibri"/>
            <w:color w:val="0000FF"/>
            <w:kern w:val="2"/>
            <w:szCs w:val="24"/>
            <w:u w:val="single"/>
            <w14:ligatures w14:val="standardContextual"/>
          </w:rPr>
          <w:t>FSIS Ready-to-Eat Fermented, Salt-Cured, and Dried Products Guideline | Food Safety and Inspection Service (usda.gov)</w:t>
        </w:r>
      </w:hyperlink>
    </w:p>
    <w:p w14:paraId="14CF6ECC" w14:textId="77777777" w:rsidR="0010664B" w:rsidRPr="0010664B" w:rsidRDefault="00B2178E" w:rsidP="00695E0D">
      <w:pPr>
        <w:numPr>
          <w:ilvl w:val="0"/>
          <w:numId w:val="27"/>
        </w:numPr>
        <w:spacing w:before="0" w:after="160" w:line="259" w:lineRule="auto"/>
        <w:contextualSpacing/>
        <w:rPr>
          <w:rFonts w:ascii="Calibri" w:hAnsi="Calibri"/>
          <w:kern w:val="2"/>
          <w:szCs w:val="24"/>
          <w14:ligatures w14:val="standardContextual"/>
        </w:rPr>
      </w:pPr>
      <w:hyperlink r:id="rId30" w:history="1">
        <w:r w:rsidR="0010664B" w:rsidRPr="0010664B">
          <w:rPr>
            <w:rFonts w:ascii="Calibri" w:hAnsi="Calibri"/>
            <w:color w:val="0000FF"/>
            <w:kern w:val="2"/>
            <w:szCs w:val="24"/>
            <w:u w:val="single"/>
            <w14:ligatures w14:val="standardContextual"/>
          </w:rPr>
          <w:t xml:space="preserve">FSIS Guideline to Control </w:t>
        </w:r>
        <w:r w:rsidR="0010664B" w:rsidRPr="0010664B">
          <w:rPr>
            <w:rFonts w:ascii="Calibri" w:hAnsi="Calibri"/>
            <w:i/>
            <w:iCs/>
            <w:color w:val="0000FF"/>
            <w:kern w:val="2"/>
            <w:szCs w:val="24"/>
            <w:u w:val="single"/>
            <w14:ligatures w14:val="standardContextual"/>
          </w:rPr>
          <w:t>Salmonella</w:t>
        </w:r>
        <w:r w:rsidR="0010664B" w:rsidRPr="0010664B">
          <w:rPr>
            <w:rFonts w:ascii="Calibri" w:hAnsi="Calibri"/>
            <w:color w:val="0000FF"/>
            <w:kern w:val="2"/>
            <w:szCs w:val="24"/>
            <w:u w:val="single"/>
            <w14:ligatures w14:val="standardContextual"/>
          </w:rPr>
          <w:t xml:space="preserve"> in Swine Slaughter and Pork Processing Establishments | Food Safety and Inspection Service (usda.gov)</w:t>
        </w:r>
      </w:hyperlink>
    </w:p>
    <w:p w14:paraId="74DA5489" w14:textId="77777777" w:rsidR="0010664B" w:rsidRPr="0010664B" w:rsidRDefault="00B2178E" w:rsidP="00695E0D">
      <w:pPr>
        <w:numPr>
          <w:ilvl w:val="0"/>
          <w:numId w:val="27"/>
        </w:numPr>
        <w:spacing w:before="0" w:after="160" w:line="259" w:lineRule="auto"/>
        <w:contextualSpacing/>
        <w:rPr>
          <w:rFonts w:ascii="Calibri" w:hAnsi="Calibri"/>
          <w:kern w:val="2"/>
          <w:szCs w:val="24"/>
          <w14:ligatures w14:val="standardContextual"/>
        </w:rPr>
      </w:pPr>
      <w:hyperlink r:id="rId31" w:history="1">
        <w:r w:rsidR="0010664B" w:rsidRPr="0010664B">
          <w:rPr>
            <w:rFonts w:ascii="Calibri" w:hAnsi="Calibri"/>
            <w:color w:val="0000FF"/>
            <w:kern w:val="2"/>
            <w:szCs w:val="24"/>
            <w:u w:val="single"/>
            <w14:ligatures w14:val="standardContextual"/>
          </w:rPr>
          <w:t xml:space="preserve">Best Practices Guidance for Controlling </w:t>
        </w:r>
        <w:r w:rsidR="0010664B" w:rsidRPr="0010664B">
          <w:rPr>
            <w:rFonts w:ascii="Calibri" w:hAnsi="Calibri"/>
            <w:i/>
            <w:iCs/>
            <w:color w:val="0000FF"/>
            <w:kern w:val="2"/>
            <w:szCs w:val="24"/>
            <w:u w:val="single"/>
            <w14:ligatures w14:val="standardContextual"/>
          </w:rPr>
          <w:t>Listeria monocytogenes</w:t>
        </w:r>
        <w:r w:rsidR="0010664B" w:rsidRPr="0010664B">
          <w:rPr>
            <w:rFonts w:ascii="Calibri" w:hAnsi="Calibri"/>
            <w:color w:val="0000FF"/>
            <w:kern w:val="2"/>
            <w:szCs w:val="24"/>
            <w:u w:val="single"/>
            <w14:ligatures w14:val="standardContextual"/>
          </w:rPr>
          <w:t xml:space="preserve"> in Retail Delicatessens | Food Safety and Inspection Service (usda.gov)</w:t>
        </w:r>
      </w:hyperlink>
    </w:p>
    <w:p w14:paraId="76E9F018" w14:textId="77777777" w:rsidR="0010664B" w:rsidRPr="0010664B" w:rsidRDefault="00B2178E" w:rsidP="00695E0D">
      <w:pPr>
        <w:numPr>
          <w:ilvl w:val="0"/>
          <w:numId w:val="27"/>
        </w:numPr>
        <w:spacing w:before="0" w:after="160" w:line="259" w:lineRule="auto"/>
        <w:contextualSpacing/>
        <w:rPr>
          <w:rFonts w:ascii="Calibri" w:hAnsi="Calibri"/>
          <w:kern w:val="2"/>
          <w:szCs w:val="24"/>
          <w14:ligatures w14:val="standardContextual"/>
        </w:rPr>
      </w:pPr>
      <w:hyperlink r:id="rId32" w:history="1">
        <w:r w:rsidR="0010664B" w:rsidRPr="0010664B">
          <w:rPr>
            <w:rFonts w:ascii="Calibri" w:hAnsi="Calibri"/>
            <w:color w:val="0000FF"/>
            <w:kern w:val="2"/>
            <w:szCs w:val="24"/>
            <w:u w:val="single"/>
            <w14:ligatures w14:val="standardContextual"/>
          </w:rPr>
          <w:t>Food Defense Guidance for Large Scale Events | Food Safety and Inspection Service (usda.gov)</w:t>
        </w:r>
      </w:hyperlink>
    </w:p>
    <w:p w14:paraId="07ACD151" w14:textId="77777777" w:rsidR="0010664B" w:rsidRPr="0010664B" w:rsidRDefault="0010664B" w:rsidP="0010664B">
      <w:pPr>
        <w:spacing w:after="0"/>
        <w:rPr>
          <w:rFonts w:ascii="Calibri" w:hAnsi="Calibri" w:cs="Calibri"/>
          <w:color w:val="000000"/>
          <w:szCs w:val="24"/>
        </w:rPr>
      </w:pPr>
      <w:r w:rsidRPr="0010664B">
        <w:rPr>
          <w:rFonts w:ascii="Calibri" w:hAnsi="Calibri" w:cs="Calibri"/>
          <w:color w:val="000000"/>
        </w:rPr>
        <w:t xml:space="preserve"> </w:t>
      </w:r>
      <w:r w:rsidRPr="0010664B">
        <w:rPr>
          <w:rFonts w:ascii="Calibri" w:hAnsi="Calibri" w:cs="Calibri"/>
          <w:color w:val="000000"/>
          <w:szCs w:val="24"/>
        </w:rPr>
        <w:t xml:space="preserve">Additional information on guidance documents can be found on the FSIS </w:t>
      </w:r>
      <w:hyperlink r:id="rId33" w:history="1">
        <w:r w:rsidRPr="0010664B">
          <w:rPr>
            <w:rFonts w:ascii="Calibri" w:hAnsi="Calibri" w:cs="Calibri"/>
            <w:szCs w:val="24"/>
            <w:u w:val="single"/>
          </w:rPr>
          <w:t>Guidelines</w:t>
        </w:r>
      </w:hyperlink>
      <w:r w:rsidRPr="0010664B">
        <w:rPr>
          <w:rFonts w:ascii="Calibri" w:hAnsi="Calibri" w:cs="Calibri"/>
          <w:color w:val="000000"/>
          <w:szCs w:val="24"/>
        </w:rPr>
        <w:t xml:space="preserve"> webpage.</w:t>
      </w:r>
    </w:p>
    <w:p w14:paraId="2FB9BDCC" w14:textId="77777777" w:rsidR="0010664B" w:rsidRPr="0010664B" w:rsidRDefault="0010664B" w:rsidP="0010664B">
      <w:pPr>
        <w:keepNext/>
        <w:numPr>
          <w:ilvl w:val="2"/>
          <w:numId w:val="14"/>
        </w:numPr>
        <w:tabs>
          <w:tab w:val="num" w:pos="360"/>
        </w:tabs>
        <w:spacing w:before="240" w:after="240" w:line="264" w:lineRule="auto"/>
        <w:ind w:left="0" w:firstLine="0"/>
        <w:outlineLvl w:val="2"/>
        <w:rPr>
          <w:rFonts w:ascii="Calibri" w:eastAsia="Times New Roman" w:hAnsi="Calibri" w:cs="Calibri"/>
          <w:bCs/>
          <w:iCs/>
          <w:color w:val="000000"/>
          <w:kern w:val="32"/>
          <w:sz w:val="28"/>
          <w:szCs w:val="26"/>
        </w:rPr>
      </w:pPr>
      <w:bookmarkStart w:id="535" w:name="_Toc119662617"/>
      <w:bookmarkStart w:id="536" w:name="_Toc985491269"/>
      <w:bookmarkStart w:id="537" w:name="_Toc1250528972"/>
      <w:bookmarkStart w:id="538" w:name="_Toc126759996"/>
      <w:bookmarkStart w:id="539" w:name="_Toc160186072"/>
      <w:r w:rsidRPr="0010664B">
        <w:rPr>
          <w:rFonts w:ascii="Calibri" w:eastAsia="Times New Roman" w:hAnsi="Calibri" w:cs="Calibri"/>
          <w:bCs/>
          <w:iCs/>
          <w:color w:val="000000"/>
          <w:kern w:val="32"/>
          <w:sz w:val="28"/>
          <w:szCs w:val="26"/>
        </w:rPr>
        <w:t>Educating Consumers and Other Stakeholders on Science-Based Food Safety</w:t>
      </w:r>
      <w:bookmarkEnd w:id="535"/>
      <w:bookmarkEnd w:id="536"/>
      <w:bookmarkEnd w:id="537"/>
      <w:bookmarkEnd w:id="538"/>
      <w:bookmarkEnd w:id="539"/>
    </w:p>
    <w:p w14:paraId="03B308D0" w14:textId="77777777" w:rsidR="0010664B" w:rsidRPr="0010664B" w:rsidRDefault="0010664B" w:rsidP="0010664B">
      <w:pPr>
        <w:spacing w:after="60"/>
        <w:contextualSpacing/>
        <w:rPr>
          <w:rFonts w:ascii="Calibri" w:hAnsi="Calibri"/>
          <w:color w:val="000000"/>
        </w:rPr>
      </w:pPr>
      <w:r w:rsidRPr="0010664B">
        <w:rPr>
          <w:rFonts w:ascii="Calibri" w:hAnsi="Calibri"/>
          <w:b/>
          <w:bCs/>
        </w:rPr>
        <w:t>Consumer Engagement</w:t>
      </w:r>
      <w:r w:rsidRPr="0010664B">
        <w:rPr>
          <w:rFonts w:ascii="Calibri" w:hAnsi="Calibri"/>
          <w:b/>
          <w:bCs/>
          <w:color w:val="000000"/>
        </w:rPr>
        <w:t>:</w:t>
      </w:r>
      <w:r w:rsidRPr="0010664B">
        <w:rPr>
          <w:rFonts w:ascii="Calibri" w:hAnsi="Calibri"/>
          <w:color w:val="000000"/>
        </w:rPr>
        <w:t xml:space="preserve"> FSIS continued its annual consumer education efforts to gain an in-depth understanding of food safety behaviors by evaluating consumers who were cooking breakfast foods such as raw sausage in a test kitchen. The </w:t>
      </w:r>
      <w:hyperlink r:id="rId34" w:history="1">
        <w:r w:rsidRPr="0010664B">
          <w:rPr>
            <w:rFonts w:ascii="Calibri" w:hAnsi="Calibri"/>
            <w:color w:val="0000FF"/>
            <w:u w:val="single"/>
          </w:rPr>
          <w:t>observational study</w:t>
        </w:r>
      </w:hyperlink>
      <w:hyperlink r:id="rId35" w:history="1"/>
      <w:r w:rsidRPr="0010664B">
        <w:rPr>
          <w:rFonts w:ascii="Calibri" w:hAnsi="Calibri"/>
          <w:color w:val="000000"/>
          <w:u w:val="single"/>
        </w:rPr>
        <w:t>,</w:t>
      </w:r>
      <w:r w:rsidRPr="0010664B">
        <w:rPr>
          <w:rFonts w:ascii="Calibri" w:hAnsi="Calibri"/>
          <w:color w:val="000000"/>
        </w:rPr>
        <w:t xml:space="preserve"> released on September 14, 2023, explored the impact of including food safety instructions as part of the manufacturer’s cooking instructions to positively influence participants’ food safety practices. </w:t>
      </w:r>
    </w:p>
    <w:p w14:paraId="0665D4E7" w14:textId="77777777" w:rsidR="0010664B" w:rsidRPr="0010664B" w:rsidRDefault="0010664B" w:rsidP="0010664B">
      <w:pPr>
        <w:spacing w:after="60"/>
        <w:contextualSpacing/>
        <w:rPr>
          <w:rFonts w:ascii="Calibri" w:hAnsi="Calibri" w:cs="Calibri"/>
          <w:color w:val="000000"/>
        </w:rPr>
      </w:pPr>
    </w:p>
    <w:p w14:paraId="0BA56462" w14:textId="77777777" w:rsidR="0010664B" w:rsidRPr="0010664B" w:rsidRDefault="0010664B" w:rsidP="0010664B">
      <w:pPr>
        <w:spacing w:after="60"/>
        <w:contextualSpacing/>
        <w:rPr>
          <w:rFonts w:ascii="Calibri" w:hAnsi="Calibri" w:cs="Calibri"/>
          <w:color w:val="000000"/>
        </w:rPr>
      </w:pPr>
      <w:r w:rsidRPr="0010664B">
        <w:rPr>
          <w:rFonts w:ascii="Calibri" w:hAnsi="Calibri" w:cs="Calibri"/>
          <w:color w:val="000000"/>
        </w:rPr>
        <w:t xml:space="preserve">Our study shows that people skip basic food safety practices like handwashing and using a food thermometer. </w:t>
      </w:r>
    </w:p>
    <w:p w14:paraId="6308BB7F" w14:textId="77777777" w:rsidR="0010664B" w:rsidRPr="0010664B" w:rsidRDefault="0010664B" w:rsidP="0010664B">
      <w:pPr>
        <w:spacing w:after="60"/>
        <w:contextualSpacing/>
        <w:rPr>
          <w:rFonts w:ascii="Calibri" w:hAnsi="Calibri" w:cs="Calibri"/>
          <w:color w:val="000000"/>
        </w:rPr>
      </w:pPr>
      <w:r w:rsidRPr="0010664B">
        <w:rPr>
          <w:rFonts w:ascii="Calibri" w:hAnsi="Calibri" w:cs="Calibri"/>
          <w:color w:val="000000"/>
        </w:rPr>
        <w:t>A few key insights include:</w:t>
      </w:r>
    </w:p>
    <w:p w14:paraId="610DE44E" w14:textId="77777777" w:rsidR="0010664B" w:rsidRPr="0010664B" w:rsidRDefault="0010664B" w:rsidP="00695E0D">
      <w:pPr>
        <w:numPr>
          <w:ilvl w:val="0"/>
          <w:numId w:val="28"/>
        </w:numPr>
        <w:spacing w:after="60"/>
        <w:contextualSpacing/>
        <w:rPr>
          <w:rFonts w:ascii="Calibri" w:hAnsi="Calibri"/>
          <w:color w:val="000000"/>
        </w:rPr>
      </w:pPr>
      <w:r w:rsidRPr="0010664B">
        <w:rPr>
          <w:rFonts w:ascii="Calibri" w:hAnsi="Calibri"/>
          <w:color w:val="000000"/>
        </w:rPr>
        <w:t>56 percent of participants didn’t attempt to wash their hands before meal preparation.  Additionally, handwashing was not attempted 83 percent of the time when it should have been done (e.g., touching raw sausage, contaminated equipment or surfaces, or while cracking eggs).</w:t>
      </w:r>
    </w:p>
    <w:p w14:paraId="6CFC7720" w14:textId="77777777" w:rsidR="0010664B" w:rsidRPr="0010664B" w:rsidRDefault="0010664B" w:rsidP="00695E0D">
      <w:pPr>
        <w:numPr>
          <w:ilvl w:val="0"/>
          <w:numId w:val="28"/>
        </w:numPr>
        <w:spacing w:after="60"/>
        <w:contextualSpacing/>
        <w:rPr>
          <w:rFonts w:ascii="Calibri" w:hAnsi="Calibri"/>
          <w:color w:val="000000"/>
        </w:rPr>
      </w:pPr>
      <w:r w:rsidRPr="0010664B">
        <w:rPr>
          <w:rFonts w:ascii="Calibri" w:hAnsi="Calibri"/>
          <w:color w:val="000000"/>
        </w:rPr>
        <w:lastRenderedPageBreak/>
        <w:t xml:space="preserve">In addition to reduced handwashing, roughly 96 percent of participants failed to wash their hands properly. The most common reason for unsuccessful handwashing in our study was failing to rub hands with soap for at least 20 seconds, followed by not wetting hands with water as a first step. </w:t>
      </w:r>
    </w:p>
    <w:p w14:paraId="2C72EAF5" w14:textId="77777777" w:rsidR="0010664B" w:rsidRPr="0010664B" w:rsidRDefault="0010664B" w:rsidP="00695E0D">
      <w:pPr>
        <w:numPr>
          <w:ilvl w:val="0"/>
          <w:numId w:val="28"/>
        </w:numPr>
        <w:spacing w:after="60"/>
        <w:contextualSpacing/>
        <w:rPr>
          <w:rFonts w:ascii="Calibri" w:hAnsi="Calibri"/>
          <w:color w:val="000000"/>
        </w:rPr>
      </w:pPr>
      <w:r w:rsidRPr="0010664B">
        <w:rPr>
          <w:rFonts w:ascii="Calibri" w:hAnsi="Calibri"/>
          <w:color w:val="000000"/>
        </w:rPr>
        <w:t>Among participants using a thermometer, 92 percent of participants who used a food thermometer failed to insert the thermometer in the proper location of the sausage patties.</w:t>
      </w:r>
    </w:p>
    <w:p w14:paraId="4FAC74DF" w14:textId="77777777" w:rsidR="0010664B" w:rsidRPr="0010664B" w:rsidRDefault="0010664B" w:rsidP="0010664B">
      <w:pPr>
        <w:rPr>
          <w:rFonts w:ascii="Calibri" w:hAnsi="Calibri" w:cs="Calibri"/>
          <w:color w:val="000000"/>
        </w:rPr>
      </w:pPr>
      <w:r w:rsidRPr="0010664B">
        <w:rPr>
          <w:rFonts w:ascii="Calibri" w:hAnsi="Calibri" w:cs="Calibri"/>
          <w:color w:val="000000"/>
        </w:rPr>
        <w:t>The results offer unique insights into consumer behavior. The data gleaned from the study is being incorporated into consumer food safety messages to educate consumers and reduce foodborne illness.</w:t>
      </w:r>
    </w:p>
    <w:p w14:paraId="260C6DDF" w14:textId="77777777" w:rsidR="0010664B" w:rsidRPr="0010664B" w:rsidRDefault="0010664B" w:rsidP="0010664B">
      <w:pPr>
        <w:spacing w:after="0"/>
        <w:rPr>
          <w:rFonts w:ascii="Calibri" w:eastAsia="Times New Roman" w:hAnsi="Calibri"/>
          <w:b/>
          <w:bCs/>
          <w:color w:val="000000"/>
          <w:u w:val="single"/>
        </w:rPr>
      </w:pPr>
      <w:r w:rsidRPr="0010664B">
        <w:rPr>
          <w:rFonts w:ascii="Calibri" w:hAnsi="Calibri"/>
          <w:b/>
          <w:bCs/>
        </w:rPr>
        <w:t>Agency Communications</w:t>
      </w:r>
      <w:r w:rsidRPr="0010664B">
        <w:rPr>
          <w:rFonts w:ascii="Calibri" w:hAnsi="Calibri"/>
          <w:b/>
          <w:bCs/>
          <w:color w:val="000000"/>
        </w:rPr>
        <w:t>:</w:t>
      </w:r>
      <w:r w:rsidRPr="0010664B">
        <w:rPr>
          <w:rFonts w:ascii="Calibri" w:eastAsia="Times New Roman" w:hAnsi="Calibri"/>
          <w:b/>
          <w:bCs/>
          <w:color w:val="000000"/>
        </w:rPr>
        <w:t xml:space="preserve"> </w:t>
      </w:r>
      <w:r w:rsidRPr="0010664B">
        <w:rPr>
          <w:rFonts w:ascii="Calibri" w:eastAsia="Times New Roman" w:hAnsi="Calibri"/>
          <w:color w:val="000000"/>
        </w:rPr>
        <w:t>In FY 2023, FSIS implemented more than 20 updates and deployments to improve the user experience and data options for its public website. The updates focused on enhancing accessibility and usability by creating a centralized eforms library, improving search indexing throughout the site, and restructuring content into plain language and logical order. The new eforms library allows site users, including employees, to sort and search for forms more easily and includes links to related materials like HR policies, instructions, and other resources to help internal and external stakeholders understand how to complete and submit forms more easily. Administrative tools were added to better structure translated materials and identify and eliminate broken links. In addition to these improvements, thorough section 508 compliance testing was conducted on the website, and overall compliance was raised to 97.5 percent. FSIS also released its first public Application Programming Interface, making food safety recall data more available and accessible to app developers and public health researchers in a real-time and on-demand format.</w:t>
      </w:r>
    </w:p>
    <w:p w14:paraId="45DFDC34" w14:textId="77777777" w:rsidR="0010664B" w:rsidRPr="0010664B" w:rsidRDefault="0010664B" w:rsidP="0010664B">
      <w:pPr>
        <w:spacing w:after="0"/>
        <w:rPr>
          <w:rFonts w:ascii="Calibri" w:eastAsia="Times New Roman" w:hAnsi="Calibri"/>
          <w:color w:val="000000"/>
        </w:rPr>
      </w:pPr>
      <w:r w:rsidRPr="0010664B">
        <w:rPr>
          <w:rFonts w:ascii="Calibri" w:hAnsi="Calibri"/>
          <w:b/>
          <w:bCs/>
        </w:rPr>
        <w:t>Social Media and Outreach</w:t>
      </w:r>
      <w:r w:rsidRPr="0010664B">
        <w:rPr>
          <w:rFonts w:ascii="Calibri" w:hAnsi="Calibri"/>
          <w:b/>
          <w:bCs/>
          <w:color w:val="000000"/>
        </w:rPr>
        <w:t>:</w:t>
      </w:r>
      <w:r w:rsidRPr="0010664B">
        <w:rPr>
          <w:rFonts w:ascii="Calibri" w:eastAsia="Times New Roman" w:hAnsi="Calibri"/>
          <w:color w:val="000000"/>
        </w:rPr>
        <w:t xml:space="preserve"> </w:t>
      </w:r>
      <w:r w:rsidRPr="0010664B">
        <w:rPr>
          <w:rFonts w:ascii="Calibri" w:hAnsi="Calibri"/>
          <w:color w:val="000000"/>
        </w:rPr>
        <w:t xml:space="preserve">During FY 2023, FSIS used a variety of social media platforms—X (formerly known as Twitter) in English and Spanish, Facebook, LinkedIn, and Instagram—to broaden engagement with key stakeholders and amplify Agency messaging on food recalls, foodborne illness, and safe food handling practices. The FSIS X account is the largest of all USDA X accounts with more than 1 million followers. FSIS is also one of the top USDA agencies contributing to the Department’s Instagram account, designing 19 high-performing campaigns during the fiscal year. While </w:t>
      </w:r>
      <w:hyperlink r:id="rId36" w:history="1">
        <w:r w:rsidRPr="0010664B">
          <w:rPr>
            <w:rFonts w:ascii="Calibri" w:hAnsi="Calibri"/>
            <w:color w:val="0000FF"/>
            <w:u w:val="single"/>
          </w:rPr>
          <w:t>FoodSafety.gov</w:t>
        </w:r>
      </w:hyperlink>
      <w:r w:rsidRPr="0010664B">
        <w:rPr>
          <w:rFonts w:ascii="Calibri" w:hAnsi="Calibri"/>
          <w:color w:val="000000"/>
        </w:rPr>
        <w:t xml:space="preserve"> is a collaborative effort with the </w:t>
      </w:r>
      <w:r w:rsidRPr="0010664B">
        <w:rPr>
          <w:rFonts w:ascii="Calibri" w:eastAsia="Times New Roman" w:hAnsi="Calibri"/>
          <w:color w:val="000000"/>
        </w:rPr>
        <w:t>Centers for Disease Control and Prevention and the Food and Drug Administration</w:t>
      </w:r>
      <w:r w:rsidRPr="0010664B">
        <w:rPr>
          <w:rFonts w:ascii="Calibri" w:hAnsi="Calibri"/>
          <w:color w:val="000000"/>
        </w:rPr>
        <w:t>, FSIS manages the FoodSafety.gov Facebook account. The account’s audience continues to grow each year.</w:t>
      </w:r>
    </w:p>
    <w:p w14:paraId="380F88B7" w14:textId="77777777" w:rsidR="0010664B" w:rsidRPr="0010664B" w:rsidRDefault="0010664B" w:rsidP="0010664B">
      <w:pPr>
        <w:spacing w:after="0"/>
        <w:rPr>
          <w:rFonts w:ascii="Calibri" w:hAnsi="Calibri"/>
          <w:color w:val="000000"/>
        </w:rPr>
      </w:pPr>
      <w:r w:rsidRPr="0010664B">
        <w:rPr>
          <w:rFonts w:ascii="Calibri" w:hAnsi="Calibri"/>
          <w:color w:val="000000"/>
        </w:rPr>
        <w:t xml:space="preserve">FSIS customer service representatives on the USDA Meat and Poultry Hotline receive and respond to inquiries from consumers about how to keep their food safe. FSIS hotline representatives respond to inquiries in English and Spanish through a toll-free phone number, live chat, email, and self-service information database. During FY 2023, FSIS responded to 11,740 inquiries, and more than 7.9 million customers accessed the self-service resource database. The database streamlines functionality across all platforms by allowing consumers to find answers to common questions at their own pace. </w:t>
      </w:r>
    </w:p>
    <w:p w14:paraId="46FC9571" w14:textId="77777777" w:rsidR="0010664B" w:rsidRPr="0010664B" w:rsidRDefault="0010664B" w:rsidP="0010664B">
      <w:pPr>
        <w:spacing w:after="0"/>
        <w:rPr>
          <w:rFonts w:ascii="Calibri" w:hAnsi="Calibri"/>
          <w:color w:val="000000"/>
        </w:rPr>
      </w:pPr>
      <w:r w:rsidRPr="0010664B">
        <w:rPr>
          <w:rFonts w:ascii="Calibri" w:hAnsi="Calibri"/>
        </w:rPr>
        <w:t xml:space="preserve">FSIS’ FoodKeeper mobile app remains a relevant, useful, and effective tool to educate consumers on proper food storage of more than 680 foods, safe food handling behaviors, and food waste. </w:t>
      </w:r>
      <w:bookmarkStart w:id="540" w:name="_Toc119662618"/>
      <w:bookmarkStart w:id="541" w:name="_Toc1709299369"/>
      <w:bookmarkStart w:id="542" w:name="_Toc950037845"/>
      <w:r w:rsidRPr="0010664B">
        <w:rPr>
          <w:rFonts w:ascii="Calibri" w:hAnsi="Calibri"/>
        </w:rPr>
        <w:t xml:space="preserve"> </w:t>
      </w:r>
      <w:bookmarkStart w:id="543" w:name="_Toc126759997"/>
    </w:p>
    <w:p w14:paraId="62FDFC65" w14:textId="77777777" w:rsidR="0010664B" w:rsidRPr="0010664B" w:rsidRDefault="0010664B" w:rsidP="0010664B">
      <w:pPr>
        <w:keepNext/>
        <w:numPr>
          <w:ilvl w:val="2"/>
          <w:numId w:val="14"/>
        </w:numPr>
        <w:tabs>
          <w:tab w:val="num" w:pos="360"/>
        </w:tabs>
        <w:spacing w:before="240" w:after="240" w:line="264" w:lineRule="auto"/>
        <w:ind w:left="0" w:firstLine="0"/>
        <w:outlineLvl w:val="2"/>
        <w:rPr>
          <w:rFonts w:ascii="Calibri" w:eastAsia="Times New Roman" w:hAnsi="Calibri" w:cs="Calibri"/>
          <w:bCs/>
          <w:iCs/>
          <w:color w:val="000000"/>
          <w:kern w:val="32"/>
          <w:sz w:val="28"/>
          <w:szCs w:val="26"/>
        </w:rPr>
      </w:pPr>
      <w:bookmarkStart w:id="544" w:name="_Toc160186073"/>
      <w:r w:rsidRPr="0010664B">
        <w:rPr>
          <w:rFonts w:ascii="Calibri" w:eastAsia="Times New Roman" w:hAnsi="Calibri" w:cs="Calibri"/>
          <w:bCs/>
          <w:iCs/>
          <w:color w:val="000000"/>
          <w:kern w:val="32"/>
          <w:sz w:val="28"/>
          <w:szCs w:val="26"/>
        </w:rPr>
        <w:lastRenderedPageBreak/>
        <w:t>Analytical Method Updates in FSIS Laboratories</w:t>
      </w:r>
      <w:bookmarkEnd w:id="540"/>
      <w:bookmarkEnd w:id="543"/>
      <w:bookmarkEnd w:id="544"/>
      <w:r w:rsidRPr="0010664B">
        <w:rPr>
          <w:rFonts w:ascii="Calibri" w:eastAsia="Times New Roman" w:hAnsi="Calibri" w:cs="Calibri"/>
          <w:bCs/>
          <w:iCs/>
          <w:color w:val="000000"/>
          <w:kern w:val="32"/>
          <w:sz w:val="28"/>
          <w:szCs w:val="26"/>
        </w:rPr>
        <w:t xml:space="preserve"> </w:t>
      </w:r>
      <w:bookmarkEnd w:id="541"/>
      <w:bookmarkEnd w:id="542"/>
    </w:p>
    <w:p w14:paraId="44C8A18E" w14:textId="77777777" w:rsidR="0010664B" w:rsidRPr="0010664B" w:rsidRDefault="0010664B" w:rsidP="0010664B">
      <w:pPr>
        <w:spacing w:after="0"/>
        <w:rPr>
          <w:rFonts w:ascii="Calibri" w:eastAsia="Times New Roman" w:hAnsi="Calibri"/>
          <w:color w:val="000000"/>
        </w:rPr>
      </w:pPr>
      <w:r w:rsidRPr="0010664B">
        <w:rPr>
          <w:rFonts w:ascii="Calibri" w:eastAsia="Times New Roman" w:hAnsi="Calibri"/>
          <w:color w:val="000000"/>
        </w:rPr>
        <w:t xml:space="preserve">The FSIS Field Service Laboratories support the mission of the Agency to protect public health by performing analyses of samples collected from meat, poultry, and egg products. In FY 2023 the FSIS laboratory system completed five comprehensive, in-house method updates: three microbiology methods and two chemistry methods. Additionally, FSIS implemented testing on cell-cultured poultry products. More information on these methodologies can be found on the FSIS website:  </w:t>
      </w:r>
    </w:p>
    <w:p w14:paraId="5FEAAFE2" w14:textId="77777777" w:rsidR="0010664B" w:rsidRPr="0010664B" w:rsidRDefault="0010664B" w:rsidP="0010664B">
      <w:pPr>
        <w:spacing w:after="0"/>
        <w:rPr>
          <w:rFonts w:ascii="Calibri" w:eastAsia="Times New Roman" w:hAnsi="Calibri" w:cs="Calibri"/>
          <w:color w:val="000000"/>
          <w:szCs w:val="24"/>
        </w:rPr>
      </w:pPr>
      <w:r w:rsidRPr="0010664B">
        <w:rPr>
          <w:rFonts w:ascii="Calibri" w:eastAsia="Times New Roman" w:hAnsi="Calibri" w:cs="Calibri"/>
          <w:color w:val="000000"/>
          <w:szCs w:val="24"/>
        </w:rPr>
        <w:t>Microbiology methods:</w:t>
      </w:r>
    </w:p>
    <w:p w14:paraId="496A4F23" w14:textId="77777777" w:rsidR="0010664B" w:rsidRPr="0010664B" w:rsidRDefault="0010664B" w:rsidP="0010664B">
      <w:pPr>
        <w:rPr>
          <w:rFonts w:ascii="Calibri" w:hAnsi="Calibri" w:cs="Calibri"/>
          <w:color w:val="000000"/>
          <w:sz w:val="22"/>
        </w:rPr>
      </w:pPr>
      <w:r w:rsidRPr="0010664B">
        <w:rPr>
          <w:rFonts w:ascii="Calibri" w:hAnsi="Calibri"/>
        </w:rPr>
        <w:t xml:space="preserve"> </w:t>
      </w:r>
      <w:hyperlink r:id="rId37" w:history="1">
        <w:r w:rsidRPr="0010664B">
          <w:rPr>
            <w:rFonts w:ascii="Calibri" w:hAnsi="Calibri" w:cs="Calibri"/>
            <w:color w:val="0000FF"/>
            <w:u w:val="single"/>
          </w:rPr>
          <w:t>https://www.fsis.usda.gov/news-events/publications/microbiology-laboratory-guidebook</w:t>
        </w:r>
      </w:hyperlink>
      <w:r w:rsidRPr="0010664B">
        <w:rPr>
          <w:rFonts w:ascii="Calibri" w:hAnsi="Calibri" w:cs="Calibri"/>
          <w:color w:val="000000"/>
          <w:u w:val="single"/>
        </w:rPr>
        <w:t xml:space="preserve"> </w:t>
      </w:r>
    </w:p>
    <w:p w14:paraId="0E6AC9FC" w14:textId="77777777" w:rsidR="0010664B" w:rsidRPr="0010664B" w:rsidRDefault="0010664B" w:rsidP="0010664B">
      <w:pPr>
        <w:rPr>
          <w:rFonts w:ascii="Calibri" w:hAnsi="Calibri" w:cs="Calibri"/>
          <w:color w:val="000000"/>
        </w:rPr>
      </w:pPr>
      <w:r w:rsidRPr="0010664B">
        <w:rPr>
          <w:rFonts w:ascii="Calibri" w:hAnsi="Calibri" w:cs="Calibri"/>
          <w:color w:val="000000"/>
        </w:rPr>
        <w:t>Chemistry methods:</w:t>
      </w:r>
    </w:p>
    <w:p w14:paraId="31D37AFA" w14:textId="77777777" w:rsidR="0010664B" w:rsidRPr="0010664B" w:rsidRDefault="0010664B" w:rsidP="0010664B">
      <w:pPr>
        <w:rPr>
          <w:rFonts w:ascii="Calibri" w:hAnsi="Calibri" w:cs="Calibri"/>
          <w:color w:val="000000"/>
          <w:u w:val="single"/>
        </w:rPr>
      </w:pPr>
      <w:r w:rsidRPr="0010664B">
        <w:rPr>
          <w:rFonts w:ascii="Calibri" w:hAnsi="Calibri"/>
        </w:rPr>
        <w:t xml:space="preserve"> </w:t>
      </w:r>
      <w:hyperlink r:id="rId38" w:history="1">
        <w:r w:rsidRPr="0010664B">
          <w:rPr>
            <w:rFonts w:ascii="Calibri" w:hAnsi="Calibri" w:cs="Calibri"/>
            <w:color w:val="0000FF"/>
            <w:u w:val="single"/>
          </w:rPr>
          <w:t>https://www.fsis.usda.gov/news-events/publications/chemistry-laboratory-guidebook</w:t>
        </w:r>
      </w:hyperlink>
    </w:p>
    <w:p w14:paraId="3611911E" w14:textId="77777777" w:rsidR="0010664B" w:rsidRPr="0010664B" w:rsidRDefault="0010664B" w:rsidP="0010664B">
      <w:pPr>
        <w:keepNext/>
        <w:numPr>
          <w:ilvl w:val="3"/>
          <w:numId w:val="14"/>
        </w:numPr>
        <w:tabs>
          <w:tab w:val="num" w:pos="360"/>
        </w:tabs>
        <w:spacing w:before="240" w:after="240" w:line="264" w:lineRule="auto"/>
        <w:ind w:left="1152" w:firstLine="0"/>
        <w:outlineLvl w:val="3"/>
        <w:rPr>
          <w:rFonts w:ascii="Calibri" w:eastAsia="Times New Roman" w:hAnsi="Calibri" w:cs="Calibri"/>
          <w:bCs/>
          <w:iCs/>
          <w:color w:val="000000"/>
          <w:kern w:val="32"/>
          <w:sz w:val="28"/>
          <w:szCs w:val="26"/>
        </w:rPr>
      </w:pPr>
      <w:bookmarkStart w:id="545" w:name="_Toc119662619"/>
      <w:bookmarkStart w:id="546" w:name="_Toc202223696"/>
      <w:bookmarkStart w:id="547" w:name="_Toc1114076100"/>
      <w:bookmarkStart w:id="548" w:name="_Toc126759998"/>
      <w:bookmarkStart w:id="549" w:name="_Toc160186074"/>
      <w:r w:rsidRPr="0010664B">
        <w:rPr>
          <w:rFonts w:ascii="Calibri" w:eastAsia="Times New Roman" w:hAnsi="Calibri" w:cs="Calibri"/>
          <w:bCs/>
          <w:iCs/>
          <w:color w:val="000000"/>
          <w:kern w:val="32"/>
          <w:sz w:val="28"/>
          <w:szCs w:val="26"/>
        </w:rPr>
        <w:t>Microbiology Methods</w:t>
      </w:r>
      <w:bookmarkEnd w:id="545"/>
      <w:bookmarkEnd w:id="546"/>
      <w:bookmarkEnd w:id="547"/>
      <w:bookmarkEnd w:id="548"/>
      <w:bookmarkEnd w:id="549"/>
    </w:p>
    <w:p w14:paraId="5AF8F4E1" w14:textId="0459AE45" w:rsidR="0010664B" w:rsidRDefault="00EF7C9E" w:rsidP="0010664B">
      <w:pPr>
        <w:tabs>
          <w:tab w:val="num" w:pos="360"/>
        </w:tabs>
        <w:spacing w:after="60"/>
        <w:ind w:left="360" w:hanging="360"/>
        <w:contextualSpacing/>
        <w:rPr>
          <w:rFonts w:ascii="Calibri" w:hAnsi="Calibri"/>
          <w:color w:val="000000"/>
        </w:rPr>
      </w:pPr>
      <w:r>
        <w:rPr>
          <w:rFonts w:ascii="Calibri" w:hAnsi="Calibri"/>
          <w:color w:val="000000"/>
        </w:rPr>
        <w:tab/>
      </w:r>
      <w:r w:rsidR="0010664B" w:rsidRPr="0010664B">
        <w:rPr>
          <w:rFonts w:ascii="Calibri" w:hAnsi="Calibri"/>
          <w:color w:val="000000"/>
        </w:rPr>
        <w:t xml:space="preserve">Shiga toxin-producing </w:t>
      </w:r>
      <w:r w:rsidR="0010664B" w:rsidRPr="0010664B">
        <w:rPr>
          <w:rFonts w:ascii="Calibri" w:hAnsi="Calibri"/>
          <w:i/>
          <w:iCs/>
          <w:color w:val="000000"/>
        </w:rPr>
        <w:t>Escherichia coli</w:t>
      </w:r>
      <w:r w:rsidR="0010664B" w:rsidRPr="0010664B">
        <w:rPr>
          <w:rFonts w:ascii="Calibri" w:hAnsi="Calibri"/>
          <w:color w:val="000000"/>
        </w:rPr>
        <w:t xml:space="preserve"> (STEC) testing of non-O157 STEC adulterants (O26, O45, O103, O111, O121, and O145) was expanded to raw ground beef, bench trim, and other raw ground beef components in addition to O157. Previously, only beef manufacturing trimmings were tested for all seven STEC strains. Testing additional products provides greater assurance of food safety. For more information see: Microbiology Laboratory Guidebook (MLG) 5C.03: “Detection, Isolation and Identification of Top Seven Shiga Toxin-Producing </w:t>
      </w:r>
      <w:r w:rsidR="0010664B" w:rsidRPr="0010664B">
        <w:rPr>
          <w:rFonts w:ascii="Calibri" w:hAnsi="Calibri"/>
          <w:i/>
          <w:iCs/>
          <w:color w:val="000000"/>
        </w:rPr>
        <w:t>Escherichia coli</w:t>
      </w:r>
      <w:r w:rsidR="0010664B" w:rsidRPr="0010664B">
        <w:rPr>
          <w:rFonts w:ascii="Calibri" w:hAnsi="Calibri"/>
          <w:color w:val="000000"/>
        </w:rPr>
        <w:t xml:space="preserve"> (STECs) from Meat Products and Carcass and Environmental Sponges”</w:t>
      </w:r>
    </w:p>
    <w:p w14:paraId="5D40CA28" w14:textId="77777777" w:rsidR="00EF7C9E" w:rsidRPr="0010664B" w:rsidRDefault="00EF7C9E" w:rsidP="0010664B">
      <w:pPr>
        <w:tabs>
          <w:tab w:val="num" w:pos="360"/>
        </w:tabs>
        <w:spacing w:after="60"/>
        <w:ind w:left="360" w:hanging="360"/>
        <w:contextualSpacing/>
        <w:rPr>
          <w:rFonts w:ascii="Calibri" w:hAnsi="Calibri"/>
          <w:color w:val="000000"/>
        </w:rPr>
      </w:pPr>
    </w:p>
    <w:p w14:paraId="1BD7326F" w14:textId="1998574C" w:rsidR="0010664B" w:rsidRDefault="00EF7C9E" w:rsidP="0010664B">
      <w:pPr>
        <w:tabs>
          <w:tab w:val="num" w:pos="360"/>
        </w:tabs>
        <w:spacing w:after="60"/>
        <w:ind w:left="360" w:hanging="360"/>
        <w:contextualSpacing/>
        <w:rPr>
          <w:rFonts w:ascii="Calibri" w:hAnsi="Calibri"/>
          <w:color w:val="000000"/>
          <w:szCs w:val="24"/>
        </w:rPr>
      </w:pPr>
      <w:r>
        <w:rPr>
          <w:rFonts w:ascii="Calibri" w:hAnsi="Calibri"/>
          <w:color w:val="000000"/>
          <w:szCs w:val="24"/>
        </w:rPr>
        <w:tab/>
      </w:r>
      <w:r w:rsidR="0010664B" w:rsidRPr="0010664B">
        <w:rPr>
          <w:rFonts w:ascii="Calibri" w:hAnsi="Calibri"/>
          <w:color w:val="000000"/>
          <w:szCs w:val="24"/>
        </w:rPr>
        <w:t xml:space="preserve">“N60” excision sampling of domestic beef manufacturing trimmings and bench trim was replaced with a non-destructive surface cloth sampling method. This is a more rapid and simpler sampling method, saving FSIS Inspectors time and reducing the likelihood of injury from knives. Current </w:t>
      </w:r>
      <w:r w:rsidR="0010664B" w:rsidRPr="0010664B">
        <w:rPr>
          <w:rFonts w:ascii="Calibri" w:hAnsi="Calibri"/>
          <w:i/>
          <w:iCs/>
          <w:color w:val="000000"/>
          <w:szCs w:val="24"/>
        </w:rPr>
        <w:t>E. coli</w:t>
      </w:r>
      <w:r w:rsidR="0010664B" w:rsidRPr="0010664B">
        <w:rPr>
          <w:rFonts w:ascii="Calibri" w:hAnsi="Calibri"/>
          <w:color w:val="000000"/>
          <w:szCs w:val="24"/>
        </w:rPr>
        <w:t xml:space="preserve"> and </w:t>
      </w:r>
      <w:r w:rsidR="0010664B" w:rsidRPr="0010664B">
        <w:rPr>
          <w:rFonts w:ascii="Calibri" w:hAnsi="Calibri"/>
          <w:i/>
          <w:iCs/>
          <w:color w:val="000000"/>
          <w:szCs w:val="24"/>
        </w:rPr>
        <w:t>Salmonella</w:t>
      </w:r>
      <w:r w:rsidR="0010664B" w:rsidRPr="0010664B">
        <w:rPr>
          <w:rFonts w:ascii="Calibri" w:hAnsi="Calibri"/>
          <w:color w:val="000000"/>
          <w:szCs w:val="24"/>
        </w:rPr>
        <w:t xml:space="preserve"> methods were updated to include sampling preparation instructions for this new sample matrix.</w:t>
      </w:r>
    </w:p>
    <w:p w14:paraId="065949E7" w14:textId="77777777" w:rsidR="00EF7C9E" w:rsidRPr="0010664B" w:rsidRDefault="00EF7C9E" w:rsidP="0010664B">
      <w:pPr>
        <w:tabs>
          <w:tab w:val="num" w:pos="360"/>
        </w:tabs>
        <w:spacing w:after="60"/>
        <w:ind w:left="360" w:hanging="360"/>
        <w:contextualSpacing/>
        <w:rPr>
          <w:rFonts w:ascii="Calibri" w:hAnsi="Calibri"/>
          <w:color w:val="000000"/>
          <w:szCs w:val="24"/>
        </w:rPr>
      </w:pPr>
    </w:p>
    <w:p w14:paraId="29B685DF" w14:textId="6653D970" w:rsidR="0010664B" w:rsidRPr="0010664B" w:rsidRDefault="00EF7C9E" w:rsidP="0010664B">
      <w:pPr>
        <w:tabs>
          <w:tab w:val="num" w:pos="360"/>
        </w:tabs>
        <w:spacing w:after="60"/>
        <w:ind w:left="360" w:hanging="360"/>
        <w:contextualSpacing/>
        <w:rPr>
          <w:rFonts w:ascii="Calibri" w:hAnsi="Calibri"/>
          <w:color w:val="000000"/>
        </w:rPr>
      </w:pPr>
      <w:r>
        <w:rPr>
          <w:rFonts w:ascii="Calibri" w:hAnsi="Calibri"/>
          <w:color w:val="000000"/>
        </w:rPr>
        <w:tab/>
      </w:r>
      <w:r w:rsidR="0010664B" w:rsidRPr="0010664B">
        <w:rPr>
          <w:rFonts w:ascii="Calibri" w:hAnsi="Calibri"/>
          <w:color w:val="000000"/>
        </w:rPr>
        <w:t xml:space="preserve">Enumeration (i.e., quantification) of </w:t>
      </w:r>
      <w:r w:rsidR="0010664B" w:rsidRPr="0010664B">
        <w:rPr>
          <w:rFonts w:ascii="Calibri" w:hAnsi="Calibri"/>
          <w:i/>
          <w:iCs/>
          <w:color w:val="000000"/>
        </w:rPr>
        <w:t>Salmonella</w:t>
      </w:r>
      <w:r w:rsidR="0010664B" w:rsidRPr="0010664B">
        <w:rPr>
          <w:rFonts w:ascii="Calibri" w:hAnsi="Calibri"/>
          <w:color w:val="000000"/>
        </w:rPr>
        <w:t xml:space="preserve"> was expanded to comminuted poultry, chicken carcasses and parts, in addition to poultry rinsates (See MLG Chapter 4.14). This will provide additional data to inform decision making. </w:t>
      </w:r>
    </w:p>
    <w:p w14:paraId="5A3A82AB" w14:textId="77777777" w:rsidR="0010664B" w:rsidRPr="0010664B" w:rsidRDefault="0010664B" w:rsidP="0010664B">
      <w:pPr>
        <w:keepNext/>
        <w:numPr>
          <w:ilvl w:val="3"/>
          <w:numId w:val="14"/>
        </w:numPr>
        <w:tabs>
          <w:tab w:val="num" w:pos="360"/>
        </w:tabs>
        <w:spacing w:before="240" w:after="240" w:line="264" w:lineRule="auto"/>
        <w:ind w:left="1152" w:firstLine="0"/>
        <w:outlineLvl w:val="3"/>
        <w:rPr>
          <w:rFonts w:ascii="Calibri" w:eastAsia="Times New Roman" w:hAnsi="Calibri" w:cs="Calibri"/>
          <w:bCs/>
          <w:iCs/>
          <w:color w:val="000000"/>
          <w:kern w:val="32"/>
          <w:sz w:val="28"/>
          <w:szCs w:val="26"/>
        </w:rPr>
      </w:pPr>
      <w:bookmarkStart w:id="550" w:name="_Toc119662620"/>
      <w:bookmarkStart w:id="551" w:name="_Toc708661712"/>
      <w:bookmarkStart w:id="552" w:name="_Toc1781516175"/>
      <w:bookmarkStart w:id="553" w:name="_Toc126759999"/>
      <w:bookmarkStart w:id="554" w:name="_Toc160186075"/>
      <w:r w:rsidRPr="0010664B">
        <w:rPr>
          <w:rFonts w:ascii="Calibri" w:eastAsia="Times New Roman" w:hAnsi="Calibri" w:cs="Calibri"/>
          <w:bCs/>
          <w:iCs/>
          <w:color w:val="000000"/>
          <w:kern w:val="32"/>
          <w:sz w:val="28"/>
          <w:szCs w:val="26"/>
        </w:rPr>
        <w:t>Chemistry Methods</w:t>
      </w:r>
      <w:bookmarkEnd w:id="550"/>
      <w:bookmarkEnd w:id="551"/>
      <w:bookmarkEnd w:id="552"/>
      <w:bookmarkEnd w:id="553"/>
      <w:bookmarkEnd w:id="554"/>
    </w:p>
    <w:p w14:paraId="11B3BEFA" w14:textId="0672995A" w:rsidR="0010664B" w:rsidRDefault="00EF7C9E" w:rsidP="0010664B">
      <w:pPr>
        <w:tabs>
          <w:tab w:val="num" w:pos="360"/>
        </w:tabs>
        <w:spacing w:after="60"/>
        <w:ind w:left="360" w:hanging="360"/>
        <w:contextualSpacing/>
        <w:rPr>
          <w:rFonts w:ascii="Calibri" w:hAnsi="Calibri"/>
        </w:rPr>
      </w:pPr>
      <w:r>
        <w:rPr>
          <w:rFonts w:ascii="Calibri" w:hAnsi="Calibri"/>
        </w:rPr>
        <w:tab/>
      </w:r>
      <w:r w:rsidR="0010664B" w:rsidRPr="0010664B">
        <w:rPr>
          <w:rFonts w:ascii="Calibri" w:hAnsi="Calibri"/>
        </w:rPr>
        <w:t>A new method for veterinary drug residue analysis in bovine muscle samples was introduced into FSIS laboratories, which simultaneously quantitates multiple residues, and decreases the time to result for presumptive positive residues. For more information see CLG-MRQ1.00: “Quantitation of Animal Drug Residues by HRAM LC-MS.” This increased laboratory efficiency and enabled FSIS to archive several single analyte and traditional bioassay quantitation methods.</w:t>
      </w:r>
    </w:p>
    <w:p w14:paraId="37B24307" w14:textId="7571D86D" w:rsidR="0010664B" w:rsidRPr="0010664B" w:rsidRDefault="00EF7C9E" w:rsidP="0010664B">
      <w:pPr>
        <w:tabs>
          <w:tab w:val="num" w:pos="360"/>
        </w:tabs>
        <w:spacing w:after="60"/>
        <w:ind w:left="360" w:hanging="360"/>
        <w:contextualSpacing/>
        <w:rPr>
          <w:rFonts w:ascii="Calibri" w:hAnsi="Calibri"/>
        </w:rPr>
      </w:pPr>
      <w:r>
        <w:rPr>
          <w:rFonts w:ascii="Calibri" w:hAnsi="Calibri"/>
        </w:rPr>
        <w:lastRenderedPageBreak/>
        <w:tab/>
      </w:r>
      <w:r w:rsidR="0010664B" w:rsidRPr="0010664B">
        <w:rPr>
          <w:rFonts w:ascii="Calibri" w:hAnsi="Calibri"/>
        </w:rPr>
        <w:t>A new multi-residue method for screening toxins in FSIS-regulated processed products was introduced into the laboratory. For more information see CLG-TOX2.00: “Screening of Toxins by LC-MS-MS.”</w:t>
      </w:r>
    </w:p>
    <w:p w14:paraId="4CC244F3" w14:textId="77777777" w:rsidR="0010664B" w:rsidRPr="0010664B" w:rsidRDefault="0010664B" w:rsidP="0010664B">
      <w:pPr>
        <w:keepNext/>
        <w:numPr>
          <w:ilvl w:val="3"/>
          <w:numId w:val="14"/>
        </w:numPr>
        <w:tabs>
          <w:tab w:val="num" w:pos="360"/>
        </w:tabs>
        <w:spacing w:before="240" w:after="240" w:line="264" w:lineRule="auto"/>
        <w:ind w:left="1152" w:firstLine="0"/>
        <w:outlineLvl w:val="3"/>
        <w:rPr>
          <w:rFonts w:ascii="Calibri" w:eastAsia="Times New Roman" w:hAnsi="Calibri" w:cs="Calibri"/>
          <w:bCs/>
          <w:iCs/>
          <w:color w:val="000000"/>
          <w:kern w:val="32"/>
          <w:sz w:val="28"/>
          <w:szCs w:val="26"/>
        </w:rPr>
      </w:pPr>
      <w:bookmarkStart w:id="555" w:name="_Toc160186076"/>
      <w:r w:rsidRPr="0010664B">
        <w:rPr>
          <w:rFonts w:ascii="Calibri" w:eastAsia="Times New Roman" w:hAnsi="Calibri" w:cs="Calibri"/>
          <w:bCs/>
          <w:iCs/>
          <w:color w:val="000000"/>
          <w:kern w:val="32"/>
          <w:sz w:val="28"/>
          <w:szCs w:val="26"/>
        </w:rPr>
        <w:t>Cell Cultured Poultry Product Testing</w:t>
      </w:r>
      <w:bookmarkEnd w:id="555"/>
      <w:r w:rsidRPr="0010664B">
        <w:rPr>
          <w:rFonts w:ascii="Calibri" w:eastAsia="Times New Roman" w:hAnsi="Calibri" w:cs="Calibri"/>
          <w:bCs/>
          <w:iCs/>
          <w:color w:val="000000"/>
          <w:kern w:val="32"/>
          <w:sz w:val="28"/>
          <w:szCs w:val="26"/>
        </w:rPr>
        <w:t xml:space="preserve"> </w:t>
      </w:r>
    </w:p>
    <w:p w14:paraId="53DBFD36" w14:textId="30A0087E" w:rsidR="0010664B" w:rsidRPr="0010664B" w:rsidRDefault="00EF7C9E" w:rsidP="0010664B">
      <w:pPr>
        <w:tabs>
          <w:tab w:val="num" w:pos="360"/>
        </w:tabs>
        <w:spacing w:after="60"/>
        <w:ind w:left="360" w:hanging="360"/>
        <w:contextualSpacing/>
        <w:rPr>
          <w:rFonts w:ascii="Calibri" w:hAnsi="Calibri"/>
        </w:rPr>
      </w:pPr>
      <w:r>
        <w:rPr>
          <w:rFonts w:ascii="Calibri" w:eastAsia="Times New Roman" w:hAnsi="Calibri"/>
          <w:color w:val="000000"/>
        </w:rPr>
        <w:tab/>
      </w:r>
      <w:r w:rsidR="0010664B" w:rsidRPr="0010664B">
        <w:rPr>
          <w:rFonts w:ascii="Calibri" w:eastAsia="Times New Roman" w:hAnsi="Calibri"/>
          <w:color w:val="000000"/>
        </w:rPr>
        <w:t>FSIS developed and implemented testing for cell cultured poultry products, analyzing both raw and ready-to-eat (RTE) product samples for aerobic count (AC), chemical residues, speciation, and histopathology (to verify the identity of cultured cells), with additional analyses of the raw products for Salmonella and RTE products for Listeria monocytogenes. Testing additionally includes analysis of environmental and food contact surface swab samples from establishments producing raw products for AC and Salmonella, and RTE establishments for AC and Listeria monocytogenes. For more information</w:t>
      </w:r>
      <w:r w:rsidR="0010664B" w:rsidRPr="0010664B">
        <w:rPr>
          <w:rFonts w:ascii="Calibri" w:hAnsi="Calibri"/>
          <w:color w:val="000000"/>
        </w:rPr>
        <w:t xml:space="preserve"> see </w:t>
      </w:r>
      <w:hyperlink r:id="rId39" w:history="1">
        <w:r w:rsidR="0010664B" w:rsidRPr="0010664B">
          <w:rPr>
            <w:rFonts w:ascii="Calibri" w:hAnsi="Calibri"/>
            <w:color w:val="0000FF"/>
            <w:u w:val="single"/>
          </w:rPr>
          <w:t>FSIS Notice 31-23</w:t>
        </w:r>
      </w:hyperlink>
      <w:r w:rsidR="0010664B" w:rsidRPr="0010664B">
        <w:rPr>
          <w:rFonts w:ascii="Calibri" w:hAnsi="Calibri"/>
          <w:color w:val="000000"/>
        </w:rPr>
        <w:t>.</w:t>
      </w:r>
      <w:r w:rsidR="0010664B" w:rsidRPr="0010664B">
        <w:rPr>
          <w:rFonts w:ascii="Calibri" w:hAnsi="Calibri"/>
        </w:rPr>
        <w:t xml:space="preserve"> This will support FSIS inspection of cell cultured products. </w:t>
      </w:r>
    </w:p>
    <w:p w14:paraId="398DDFC7" w14:textId="77777777" w:rsidR="0010664B" w:rsidRPr="0010664B" w:rsidRDefault="0010664B" w:rsidP="0010664B">
      <w:pPr>
        <w:keepNext/>
        <w:numPr>
          <w:ilvl w:val="3"/>
          <w:numId w:val="14"/>
        </w:numPr>
        <w:tabs>
          <w:tab w:val="num" w:pos="360"/>
        </w:tabs>
        <w:spacing w:before="240" w:after="240" w:line="264" w:lineRule="auto"/>
        <w:ind w:left="1152" w:firstLine="0"/>
        <w:outlineLvl w:val="3"/>
        <w:rPr>
          <w:rFonts w:ascii="Calibri" w:eastAsia="Times New Roman" w:hAnsi="Calibri" w:cs="Calibri"/>
          <w:bCs/>
          <w:iCs/>
          <w:color w:val="000000"/>
          <w:kern w:val="32"/>
          <w:sz w:val="28"/>
          <w:szCs w:val="26"/>
        </w:rPr>
      </w:pPr>
      <w:bookmarkStart w:id="556" w:name="_Toc119662621"/>
      <w:bookmarkStart w:id="557" w:name="_Toc126760000"/>
      <w:bookmarkStart w:id="558" w:name="_Toc160186077"/>
      <w:bookmarkStart w:id="559" w:name="_Toc1705156867"/>
      <w:bookmarkStart w:id="560" w:name="_Toc1109210328"/>
      <w:r w:rsidRPr="0010664B">
        <w:rPr>
          <w:rFonts w:ascii="Calibri" w:eastAsia="Times New Roman" w:hAnsi="Calibri" w:cs="Calibri"/>
          <w:bCs/>
          <w:iCs/>
          <w:color w:val="000000"/>
          <w:kern w:val="32"/>
          <w:sz w:val="28"/>
          <w:szCs w:val="26"/>
        </w:rPr>
        <w:t>Maintaining and Updating Research and Development Agreements</w:t>
      </w:r>
      <w:bookmarkEnd w:id="556"/>
      <w:bookmarkEnd w:id="557"/>
      <w:bookmarkEnd w:id="558"/>
      <w:r w:rsidRPr="0010664B">
        <w:rPr>
          <w:rFonts w:ascii="Calibri" w:eastAsia="Times New Roman" w:hAnsi="Calibri" w:cs="Calibri"/>
          <w:bCs/>
          <w:iCs/>
          <w:color w:val="000000"/>
          <w:kern w:val="32"/>
          <w:sz w:val="28"/>
          <w:szCs w:val="26"/>
        </w:rPr>
        <w:t xml:space="preserve"> </w:t>
      </w:r>
      <w:bookmarkEnd w:id="559"/>
      <w:bookmarkEnd w:id="560"/>
    </w:p>
    <w:p w14:paraId="12CEA2FF" w14:textId="77777777" w:rsidR="0010664B" w:rsidRPr="0010664B" w:rsidRDefault="0010664B" w:rsidP="0010664B">
      <w:pPr>
        <w:spacing w:after="0"/>
        <w:ind w:left="288"/>
        <w:rPr>
          <w:rFonts w:ascii="Calibri" w:hAnsi="Calibri" w:cs="Calibri"/>
          <w:i/>
          <w:iCs/>
          <w:color w:val="000000"/>
        </w:rPr>
      </w:pPr>
      <w:r w:rsidRPr="0010664B">
        <w:rPr>
          <w:rFonts w:ascii="Calibri" w:hAnsi="Calibri" w:cs="Calibri"/>
          <w:i/>
          <w:iCs/>
          <w:color w:val="000000"/>
        </w:rPr>
        <w:t>Material Transfer Agreements</w:t>
      </w:r>
    </w:p>
    <w:p w14:paraId="1C4FD1FA" w14:textId="77777777" w:rsidR="0010664B" w:rsidRPr="0010664B" w:rsidRDefault="0010664B" w:rsidP="0010664B">
      <w:pPr>
        <w:spacing w:after="0"/>
        <w:ind w:left="288"/>
        <w:rPr>
          <w:rFonts w:ascii="Calibri" w:eastAsia="Times New Roman" w:hAnsi="Calibri"/>
          <w:color w:val="000000"/>
        </w:rPr>
      </w:pPr>
      <w:r w:rsidRPr="0010664B">
        <w:rPr>
          <w:rFonts w:ascii="Calibri" w:eastAsia="Times New Roman" w:hAnsi="Calibri"/>
          <w:color w:val="000000"/>
        </w:rPr>
        <w:t xml:space="preserve">FSIS receives requests from government agencies, academia, and private entities for bacterial isolates recovered from meat, poultry, and egg products and the environment in which these products were produced. Isolates requested are typically used for research and/or method development purposes. FSIS shares isolates under material transfer agreements (MTA). In 2023, FSIS completed 18 MTAs, where four were completed with academic partners, seven were completed with federal partners, and seven were completed with industry groups. </w:t>
      </w:r>
    </w:p>
    <w:p w14:paraId="07C4766B" w14:textId="77777777" w:rsidR="0010664B" w:rsidRPr="0010664B" w:rsidRDefault="0010664B" w:rsidP="0010664B">
      <w:pPr>
        <w:spacing w:after="0"/>
        <w:ind w:left="288"/>
        <w:rPr>
          <w:rFonts w:ascii="Calibri" w:eastAsia="Times New Roman" w:hAnsi="Calibri"/>
          <w:i/>
          <w:iCs/>
          <w:color w:val="000000"/>
        </w:rPr>
      </w:pPr>
      <w:r w:rsidRPr="0010664B">
        <w:rPr>
          <w:rFonts w:ascii="Calibri" w:eastAsia="Times New Roman" w:hAnsi="Calibri"/>
          <w:i/>
          <w:iCs/>
          <w:color w:val="000000"/>
        </w:rPr>
        <w:t>Interagency Agreement with the Agricultural Research Service (ARS)</w:t>
      </w:r>
    </w:p>
    <w:p w14:paraId="16FFADAE" w14:textId="77777777" w:rsidR="0010664B" w:rsidRPr="0010664B" w:rsidRDefault="0010664B" w:rsidP="0010664B">
      <w:pPr>
        <w:spacing w:after="0"/>
        <w:ind w:left="288"/>
        <w:rPr>
          <w:rFonts w:ascii="Calibri" w:hAnsi="Calibri"/>
        </w:rPr>
      </w:pPr>
      <w:r w:rsidRPr="0010664B">
        <w:rPr>
          <w:rFonts w:ascii="Calibri" w:hAnsi="Calibri"/>
        </w:rPr>
        <w:t>An Interagency Agreement was established between USDA’s Agricultural Research Service (ARS) and FSIS in April 2022 to facilitate the development, optimization, and evaluation of technologies by ARS to support FSIS scientific and policy activities. Sixteen projects are being supported under the agreement. The agreement has catalyzed research that meets FSIS’ needs and strengthened relationships between ARS and FSIS scientists. Data generated will enable FSIS to improve laboratory methods and update guidance documents.</w:t>
      </w:r>
    </w:p>
    <w:p w14:paraId="21D6298C" w14:textId="77777777" w:rsidR="0010664B" w:rsidRPr="0010664B" w:rsidRDefault="0010664B" w:rsidP="0010664B">
      <w:pPr>
        <w:spacing w:after="0"/>
        <w:ind w:left="288"/>
        <w:rPr>
          <w:rFonts w:ascii="Calibri" w:hAnsi="Calibri" w:cs="Calibri"/>
          <w:i/>
          <w:iCs/>
          <w:color w:val="2E2E2E"/>
          <w:szCs w:val="24"/>
          <w:shd w:val="clear" w:color="auto" w:fill="FFFFFF"/>
        </w:rPr>
      </w:pPr>
      <w:r w:rsidRPr="0010664B">
        <w:rPr>
          <w:rFonts w:ascii="Calibri" w:hAnsi="Calibri" w:cs="Calibri"/>
          <w:i/>
          <w:iCs/>
          <w:color w:val="2E2E2E"/>
          <w:szCs w:val="24"/>
          <w:shd w:val="clear" w:color="auto" w:fill="FFFFFF"/>
        </w:rPr>
        <w:t>Cooperative Agreements and Partnerships Related to Food Safety Research</w:t>
      </w:r>
    </w:p>
    <w:p w14:paraId="30049BA7" w14:textId="77777777" w:rsidR="0010664B" w:rsidRPr="0010664B" w:rsidRDefault="0010664B" w:rsidP="0010664B">
      <w:pPr>
        <w:spacing w:before="0" w:after="0"/>
        <w:ind w:left="288"/>
        <w:rPr>
          <w:rFonts w:ascii="Times New Roman" w:hAnsi="Times New Roman"/>
          <w:color w:val="2E2E2E"/>
          <w:szCs w:val="24"/>
          <w:shd w:val="clear" w:color="auto" w:fill="FFFFFF"/>
        </w:rPr>
      </w:pPr>
    </w:p>
    <w:p w14:paraId="3BD42D8F" w14:textId="77777777" w:rsidR="0010664B" w:rsidRPr="0010664B" w:rsidRDefault="0010664B" w:rsidP="0010664B">
      <w:pPr>
        <w:spacing w:before="0" w:after="0"/>
        <w:ind w:left="288"/>
        <w:rPr>
          <w:rFonts w:ascii="Calibri" w:hAnsi="Calibri"/>
          <w:color w:val="2E2E2E"/>
          <w:shd w:val="clear" w:color="auto" w:fill="FFFFFF"/>
        </w:rPr>
      </w:pPr>
      <w:r w:rsidRPr="0010664B">
        <w:rPr>
          <w:rFonts w:ascii="Calibri" w:hAnsi="Calibri"/>
          <w:color w:val="2E2E2E"/>
          <w:shd w:val="clear" w:color="auto" w:fill="FFFFFF"/>
        </w:rPr>
        <w:t xml:space="preserve">FSIS has a cooperative agreement with the University of Maryland’s Joint Institute for Food Safety and Applied Nutrition, in partnership with EpiX Analytics, to develop two quantitative risk assessments, one for </w:t>
      </w:r>
      <w:r w:rsidRPr="0010664B">
        <w:rPr>
          <w:rFonts w:ascii="Calibri" w:hAnsi="Calibri"/>
          <w:i/>
          <w:iCs/>
          <w:color w:val="2E2E2E"/>
          <w:shd w:val="clear" w:color="auto" w:fill="FFFFFF"/>
        </w:rPr>
        <w:t>Salmonella</w:t>
      </w:r>
      <w:r w:rsidRPr="0010664B">
        <w:rPr>
          <w:rFonts w:ascii="Calibri" w:hAnsi="Calibri"/>
          <w:color w:val="2E2E2E"/>
          <w:shd w:val="clear" w:color="auto" w:fill="FFFFFF"/>
        </w:rPr>
        <w:t xml:space="preserve"> in chicken and one for </w:t>
      </w:r>
      <w:r w:rsidRPr="0010664B">
        <w:rPr>
          <w:rFonts w:ascii="Calibri" w:hAnsi="Calibri"/>
          <w:i/>
          <w:iCs/>
          <w:color w:val="2E2E2E"/>
          <w:shd w:val="clear" w:color="auto" w:fill="FFFFFF"/>
        </w:rPr>
        <w:t>Salmonella</w:t>
      </w:r>
      <w:r w:rsidRPr="0010664B">
        <w:rPr>
          <w:rFonts w:ascii="Calibri" w:hAnsi="Calibri"/>
          <w:color w:val="2E2E2E"/>
          <w:shd w:val="clear" w:color="auto" w:fill="FFFFFF"/>
        </w:rPr>
        <w:t xml:space="preserve"> in turkey. These risk assessments will provide FSIS with support for a new framework for reducing </w:t>
      </w:r>
      <w:r w:rsidRPr="0010664B">
        <w:rPr>
          <w:rFonts w:ascii="Calibri" w:hAnsi="Calibri"/>
          <w:i/>
          <w:color w:val="2E2E2E"/>
          <w:shd w:val="clear" w:color="auto" w:fill="FFFFFF"/>
        </w:rPr>
        <w:t>Salmonella</w:t>
      </w:r>
      <w:r w:rsidRPr="0010664B">
        <w:rPr>
          <w:rFonts w:ascii="Calibri" w:hAnsi="Calibri"/>
          <w:color w:val="2E2E2E"/>
          <w:shd w:val="clear" w:color="auto" w:fill="FFFFFF"/>
        </w:rPr>
        <w:t xml:space="preserve"> illnesses attributed to poultry consumed in the </w:t>
      </w:r>
      <w:r w:rsidRPr="0010664B">
        <w:rPr>
          <w:rFonts w:ascii="Calibri" w:hAnsi="Calibri" w:cs="Calibri"/>
          <w:color w:val="2E2E2E"/>
          <w:szCs w:val="24"/>
          <w:shd w:val="clear" w:color="auto" w:fill="FFFFFF"/>
        </w:rPr>
        <w:t>United States.</w:t>
      </w:r>
    </w:p>
    <w:p w14:paraId="55E4A343" w14:textId="77777777" w:rsidR="0010664B" w:rsidRPr="0010664B" w:rsidRDefault="0010664B" w:rsidP="0010664B">
      <w:pPr>
        <w:spacing w:before="0" w:after="0"/>
        <w:ind w:left="288"/>
        <w:rPr>
          <w:rFonts w:ascii="Calibri" w:hAnsi="Calibri"/>
          <w:color w:val="2E2E2E"/>
          <w:shd w:val="clear" w:color="auto" w:fill="FFFFFF"/>
        </w:rPr>
      </w:pPr>
    </w:p>
    <w:p w14:paraId="3F5812CA" w14:textId="77777777" w:rsidR="0010664B" w:rsidRPr="0010664B" w:rsidRDefault="0010664B" w:rsidP="0010664B">
      <w:pPr>
        <w:spacing w:before="0" w:after="0"/>
        <w:ind w:left="288"/>
        <w:rPr>
          <w:rFonts w:ascii="Calibri" w:hAnsi="Calibri"/>
          <w:color w:val="2E2E2E"/>
          <w:shd w:val="clear" w:color="auto" w:fill="FFFFFF"/>
        </w:rPr>
      </w:pPr>
      <w:r w:rsidRPr="0010664B">
        <w:rPr>
          <w:rFonts w:ascii="Calibri" w:hAnsi="Calibri"/>
          <w:color w:val="2E2E2E"/>
          <w:shd w:val="clear" w:color="auto" w:fill="FFFFFF"/>
        </w:rPr>
        <w:t>FSIS has a cooperative</w:t>
      </w:r>
      <w:r w:rsidRPr="0010664B">
        <w:rPr>
          <w:rFonts w:ascii="Calibri" w:hAnsi="Calibri" w:cs="Calibri"/>
        </w:rPr>
        <w:t xml:space="preserve"> agreement with </w:t>
      </w:r>
      <w:r w:rsidRPr="0010664B">
        <w:rPr>
          <w:rFonts w:ascii="Calibri" w:hAnsi="Calibri"/>
          <w:color w:val="2E2E2E"/>
          <w:shd w:val="clear" w:color="auto" w:fill="FFFFFF"/>
        </w:rPr>
        <w:t>Michigan State University</w:t>
      </w:r>
      <w:r w:rsidRPr="0010664B">
        <w:rPr>
          <w:rFonts w:ascii="Calibri" w:hAnsi="Calibri" w:cs="Calibri"/>
          <w:color w:val="2E2E2E"/>
          <w:szCs w:val="24"/>
          <w:shd w:val="clear" w:color="auto" w:fill="FFFFFF"/>
        </w:rPr>
        <w:t>, which</w:t>
      </w:r>
      <w:r w:rsidRPr="0010664B">
        <w:rPr>
          <w:rFonts w:ascii="Calibri" w:hAnsi="Calibri"/>
          <w:color w:val="2E2E2E"/>
          <w:shd w:val="clear" w:color="auto" w:fill="FFFFFF"/>
        </w:rPr>
        <w:t xml:space="preserve"> completed a study on safe production of salami, while educating a graduate student </w:t>
      </w:r>
      <w:r w:rsidRPr="0010664B">
        <w:rPr>
          <w:rFonts w:ascii="Calibri" w:hAnsi="Calibri" w:cs="Calibri"/>
          <w:color w:val="2E2E2E"/>
          <w:szCs w:val="24"/>
          <w:shd w:val="clear" w:color="auto" w:fill="FFFFFF"/>
        </w:rPr>
        <w:t xml:space="preserve">and closing </w:t>
      </w:r>
      <w:r w:rsidRPr="0010664B">
        <w:rPr>
          <w:rFonts w:ascii="Calibri" w:hAnsi="Calibri"/>
          <w:color w:val="2E2E2E"/>
          <w:shd w:val="clear" w:color="auto" w:fill="FFFFFF"/>
        </w:rPr>
        <w:t>a data gap in guidance for small and very small establishments.</w:t>
      </w:r>
    </w:p>
    <w:p w14:paraId="30D593DE" w14:textId="77777777" w:rsidR="0010664B" w:rsidRPr="0010664B" w:rsidRDefault="0010664B" w:rsidP="0010664B">
      <w:pPr>
        <w:spacing w:before="0" w:after="0" w:line="259" w:lineRule="auto"/>
        <w:rPr>
          <w:rFonts w:ascii="Calibri" w:hAnsi="Calibri"/>
        </w:rPr>
      </w:pPr>
    </w:p>
    <w:p w14:paraId="0C96863D" w14:textId="77777777" w:rsidR="0010664B" w:rsidRPr="0010664B" w:rsidRDefault="0010664B" w:rsidP="0010664B">
      <w:pPr>
        <w:spacing w:before="0" w:after="0" w:line="259" w:lineRule="auto"/>
        <w:ind w:left="288"/>
        <w:rPr>
          <w:rFonts w:ascii="Calibri" w:hAnsi="Calibri"/>
        </w:rPr>
      </w:pPr>
      <w:r w:rsidRPr="0010664B">
        <w:rPr>
          <w:rFonts w:ascii="Calibri" w:hAnsi="Calibri"/>
        </w:rPr>
        <w:lastRenderedPageBreak/>
        <w:t>FSIS continued its food safety fellowship program with the Oak Ridge Institute for Science and Education. The program is integral in strengthening partnerships with academia and staying on the cutting edge of science while educating the next generation of food safety scientists. In FY 2023, FSIS selected five students to be food safety fellows, with two of the five students attending minority-serving institutions.</w:t>
      </w:r>
    </w:p>
    <w:p w14:paraId="05A89CCB" w14:textId="77777777" w:rsidR="0010664B" w:rsidRPr="0010664B" w:rsidRDefault="0010664B" w:rsidP="0010664B">
      <w:pPr>
        <w:keepNext/>
        <w:numPr>
          <w:ilvl w:val="1"/>
          <w:numId w:val="14"/>
        </w:numPr>
        <w:tabs>
          <w:tab w:val="num" w:pos="360"/>
        </w:tabs>
        <w:spacing w:before="240" w:after="240" w:line="264" w:lineRule="auto"/>
        <w:ind w:left="0" w:firstLine="0"/>
        <w:outlineLvl w:val="1"/>
        <w:rPr>
          <w:rFonts w:ascii="Calibri" w:eastAsia="Times New Roman" w:hAnsi="Calibri" w:cs="Calibri"/>
          <w:iCs/>
          <w:color w:val="000000"/>
          <w:kern w:val="32"/>
          <w:sz w:val="32"/>
          <w:szCs w:val="24"/>
        </w:rPr>
      </w:pPr>
      <w:bookmarkStart w:id="561" w:name="_Toc126760001"/>
      <w:bookmarkStart w:id="562" w:name="_Toc160186078"/>
      <w:r w:rsidRPr="0010664B">
        <w:rPr>
          <w:rFonts w:ascii="Calibri" w:eastAsia="Times New Roman" w:hAnsi="Calibri" w:cs="Calibri"/>
          <w:iCs/>
          <w:color w:val="000000"/>
          <w:kern w:val="32"/>
          <w:sz w:val="32"/>
          <w:szCs w:val="28"/>
        </w:rPr>
        <w:t>Research Priorities</w:t>
      </w:r>
      <w:bookmarkEnd w:id="561"/>
      <w:bookmarkEnd w:id="562"/>
      <w:r w:rsidRPr="0010664B">
        <w:rPr>
          <w:rFonts w:ascii="Calibri" w:eastAsia="Times New Roman" w:hAnsi="Calibri" w:cs="Calibri"/>
          <w:iCs/>
          <w:color w:val="000000"/>
          <w:kern w:val="32"/>
          <w:sz w:val="32"/>
          <w:szCs w:val="28"/>
        </w:rPr>
        <w:t xml:space="preserve"> </w:t>
      </w:r>
    </w:p>
    <w:p w14:paraId="3093C7ED" w14:textId="77777777" w:rsidR="0010664B" w:rsidRPr="0010664B" w:rsidRDefault="0010664B" w:rsidP="0010664B">
      <w:pPr>
        <w:rPr>
          <w:rFonts w:ascii="Calibri" w:eastAsia="Times New Roman" w:hAnsi="Calibri" w:cs="Calibri"/>
          <w:color w:val="000000"/>
          <w:szCs w:val="24"/>
        </w:rPr>
      </w:pPr>
      <w:r w:rsidRPr="0010664B">
        <w:rPr>
          <w:rFonts w:ascii="Calibri" w:eastAsia="Times New Roman" w:hAnsi="Calibri" w:cs="Calibri"/>
          <w:color w:val="000000"/>
          <w:szCs w:val="24"/>
        </w:rPr>
        <w:t xml:space="preserve">FSIS identifies research gaps and updates its research needs list annually. The Agency communicates these research needs to partners and stakeholders during meetings with Agency leadership, through seminars at universities and scientific conferences, and postings on the FSIS website. More information and a complete list of current FSIS Research Priorities and Studies is available at: </w:t>
      </w:r>
      <w:hyperlink r:id="rId40" w:history="1">
        <w:r w:rsidRPr="0010664B">
          <w:rPr>
            <w:rFonts w:ascii="Calibri" w:hAnsi="Calibri" w:cs="Calibri"/>
            <w:color w:val="0000FF"/>
            <w:szCs w:val="24"/>
            <w:u w:val="single"/>
          </w:rPr>
          <w:t>https://www.fsis.usda.gov/science-data/research-priorities</w:t>
        </w:r>
      </w:hyperlink>
      <w:r w:rsidRPr="0010664B">
        <w:rPr>
          <w:rFonts w:ascii="Calibri" w:eastAsia="Times New Roman" w:hAnsi="Calibri" w:cs="Calibri"/>
          <w:color w:val="000000"/>
          <w:szCs w:val="24"/>
        </w:rPr>
        <w:t>.</w:t>
      </w:r>
    </w:p>
    <w:p w14:paraId="3069A112" w14:textId="77777777" w:rsidR="0010664B" w:rsidRPr="0010664B" w:rsidRDefault="0010664B" w:rsidP="0010664B">
      <w:pPr>
        <w:widowControl w:val="0"/>
        <w:rPr>
          <w:rFonts w:ascii="Calibri" w:eastAsia="Times New Roman" w:hAnsi="Calibri"/>
        </w:rPr>
      </w:pPr>
      <w:r w:rsidRPr="0010664B">
        <w:rPr>
          <w:rFonts w:ascii="Calibri" w:eastAsia="Times New Roman" w:hAnsi="Calibri"/>
          <w:color w:val="000000"/>
        </w:rPr>
        <w:t xml:space="preserve">In FY 2023, FSIS added two new research studies associated with existing priorities and identified one new data gap and one needed laboratory method. Both research studies are focused on </w:t>
      </w:r>
      <w:r w:rsidRPr="0010664B">
        <w:rPr>
          <w:rFonts w:ascii="Calibri" w:eastAsia="Times New Roman" w:hAnsi="Calibri"/>
          <w:i/>
          <w:iCs/>
          <w:color w:val="000000"/>
        </w:rPr>
        <w:t>Clostridium perfringens</w:t>
      </w:r>
      <w:r w:rsidRPr="0010664B">
        <w:rPr>
          <w:rFonts w:ascii="Calibri" w:eastAsia="Times New Roman" w:hAnsi="Calibri"/>
          <w:color w:val="000000"/>
        </w:rPr>
        <w:t xml:space="preserve"> in FSIS-regulated products. One is on the need to d</w:t>
      </w:r>
      <w:r w:rsidRPr="0010664B">
        <w:rPr>
          <w:rFonts w:ascii="Calibri" w:hAnsi="Calibri" w:cs="Calibri"/>
          <w:color w:val="2E2E2E"/>
        </w:rPr>
        <w:t>etermine</w:t>
      </w:r>
      <w:r w:rsidRPr="0010664B">
        <w:rPr>
          <w:rFonts w:ascii="Calibri" w:hAnsi="Calibri" w:cs="Calibri"/>
          <w:i/>
          <w:iCs/>
          <w:color w:val="2E2E2E"/>
        </w:rPr>
        <w:t xml:space="preserve"> Clostridium </w:t>
      </w:r>
      <w:r w:rsidRPr="0010664B">
        <w:rPr>
          <w:rFonts w:ascii="Calibri" w:hAnsi="Calibri" w:cs="Calibri"/>
          <w:i/>
          <w:iCs/>
        </w:rPr>
        <w:t>perfringens</w:t>
      </w:r>
      <w:r w:rsidRPr="0010664B">
        <w:rPr>
          <w:rFonts w:ascii="Calibri" w:hAnsi="Calibri" w:cs="Calibri"/>
        </w:rPr>
        <w:t xml:space="preserve"> levels in raw products prior to cooking and cooling. The other is to </w:t>
      </w:r>
      <w:r w:rsidRPr="0010664B">
        <w:rPr>
          <w:rFonts w:ascii="Calibri" w:eastAsia="Times New Roman" w:hAnsi="Calibri"/>
        </w:rPr>
        <w:t xml:space="preserve">improve our understanding of the cumulative growth of </w:t>
      </w:r>
      <w:r w:rsidRPr="0010664B">
        <w:rPr>
          <w:rFonts w:ascii="Calibri" w:eastAsia="Times New Roman" w:hAnsi="Calibri"/>
          <w:i/>
          <w:iCs/>
        </w:rPr>
        <w:t>C. perfringens</w:t>
      </w:r>
      <w:r w:rsidRPr="0010664B">
        <w:rPr>
          <w:rFonts w:ascii="Calibri" w:eastAsia="Times New Roman" w:hAnsi="Calibri"/>
        </w:rPr>
        <w:t xml:space="preserve"> during production of products that involve multiple heating and cooling steps.</w:t>
      </w:r>
    </w:p>
    <w:p w14:paraId="5F54FE70" w14:textId="77777777" w:rsidR="0010664B" w:rsidRPr="0010664B" w:rsidRDefault="0010664B" w:rsidP="0010664B">
      <w:pPr>
        <w:rPr>
          <w:rFonts w:ascii="Calibri" w:eastAsia="Source Sans Pro" w:hAnsi="Calibri"/>
          <w:color w:val="000000"/>
          <w:szCs w:val="24"/>
        </w:rPr>
      </w:pPr>
      <w:r w:rsidRPr="0010664B">
        <w:rPr>
          <w:rFonts w:ascii="Calibri" w:eastAsia="Times New Roman" w:hAnsi="Calibri"/>
          <w:color w:val="000000"/>
          <w:szCs w:val="24"/>
        </w:rPr>
        <w:t xml:space="preserve">FSIS has a data gap relating to determining whether pathogens grow in samples collected and analyzed by FSIS, during shipping or in transit. Currently, this is not a concern because FSIS considers presence or absence of pathogens rather than specific numbers. This may be important in the future, if the Agency decides to consider numbers of pathogens in products rather than presence or absence. FSIS is also seeking an improved method for identifying </w:t>
      </w:r>
      <w:r w:rsidRPr="0010664B">
        <w:rPr>
          <w:rFonts w:ascii="Calibri" w:eastAsia="Times New Roman" w:hAnsi="Calibri"/>
          <w:i/>
          <w:iCs/>
          <w:color w:val="000000"/>
          <w:szCs w:val="24"/>
        </w:rPr>
        <w:t>Listeria monocytogenes</w:t>
      </w:r>
      <w:r w:rsidRPr="0010664B">
        <w:rPr>
          <w:rFonts w:ascii="Calibri" w:eastAsia="Times New Roman" w:hAnsi="Calibri"/>
          <w:color w:val="000000"/>
          <w:szCs w:val="24"/>
        </w:rPr>
        <w:t xml:space="preserve"> in products.</w:t>
      </w:r>
      <w:r w:rsidRPr="0010664B">
        <w:rPr>
          <w:rFonts w:ascii="Calibri" w:eastAsia="Source Sans Pro" w:hAnsi="Calibri"/>
          <w:i/>
          <w:iCs/>
          <w:color w:val="000000"/>
          <w:szCs w:val="24"/>
        </w:rPr>
        <w:t xml:space="preserve"> </w:t>
      </w:r>
      <w:r w:rsidRPr="0010664B">
        <w:rPr>
          <w:rFonts w:ascii="Calibri" w:eastAsia="Source Sans Pro" w:hAnsi="Calibri"/>
          <w:color w:val="000000"/>
          <w:szCs w:val="24"/>
        </w:rPr>
        <w:t>Filling these data gaps and research needs will allow FSIS to update laboratory procedures, develop new guidance documents for industry, and provide additional educational materials to consumers.</w:t>
      </w:r>
    </w:p>
    <w:p w14:paraId="5AB1F2CA" w14:textId="77777777" w:rsidR="0010664B" w:rsidRPr="0010664B" w:rsidRDefault="0010664B" w:rsidP="0010664B">
      <w:pPr>
        <w:rPr>
          <w:rFonts w:ascii="Calibri" w:eastAsia="Times New Roman" w:hAnsi="Calibri"/>
          <w:color w:val="000000"/>
          <w:szCs w:val="24"/>
        </w:rPr>
      </w:pPr>
      <w:r w:rsidRPr="0010664B">
        <w:rPr>
          <w:rFonts w:ascii="Calibri" w:eastAsia="Times New Roman" w:hAnsi="Calibri"/>
          <w:color w:val="000000"/>
          <w:szCs w:val="24"/>
        </w:rPr>
        <w:t>During FY 2023, the research priorities, data gaps, laboratory methods, and research studies website pages were accessed on more than 5,500 occasions. Approximately 52 percent of page views were by new visitors, with approximately 85 percent of visitors referred by search engines or partner agency websites.</w:t>
      </w:r>
    </w:p>
    <w:p w14:paraId="77BC22FE" w14:textId="77777777" w:rsidR="0010664B" w:rsidRPr="0010664B" w:rsidRDefault="0010664B" w:rsidP="0010664B">
      <w:pPr>
        <w:spacing w:before="0" w:after="200" w:line="276" w:lineRule="auto"/>
        <w:rPr>
          <w:rFonts w:ascii="Calibri" w:eastAsia="Times New Roman" w:hAnsi="Calibri" w:cs="Calibri"/>
          <w:color w:val="000000"/>
          <w:szCs w:val="24"/>
        </w:rPr>
      </w:pPr>
    </w:p>
    <w:p w14:paraId="7F9873F2" w14:textId="77777777" w:rsidR="0010664B" w:rsidRDefault="0010664B">
      <w:pPr>
        <w:spacing w:before="0" w:after="200" w:line="276" w:lineRule="auto"/>
        <w:rPr>
          <w:rFonts w:eastAsia="Times New Roman" w:cstheme="minorHAnsi"/>
          <w:b/>
          <w:color w:val="000000" w:themeColor="text1"/>
          <w:kern w:val="32"/>
          <w:sz w:val="36"/>
          <w:szCs w:val="32"/>
        </w:rPr>
      </w:pPr>
      <w:r>
        <w:rPr>
          <w:rFonts w:cstheme="minorHAnsi"/>
          <w:b/>
          <w:bCs/>
          <w:color w:val="000000" w:themeColor="text1"/>
        </w:rPr>
        <w:br w:type="page"/>
      </w:r>
    </w:p>
    <w:p w14:paraId="106A8DAD" w14:textId="522C1117" w:rsidR="009F7ABF" w:rsidRPr="00107C19" w:rsidRDefault="009F7ABF" w:rsidP="00F31C85">
      <w:pPr>
        <w:pStyle w:val="Heading1"/>
        <w:rPr>
          <w:rFonts w:asciiTheme="minorHAnsi" w:hAnsiTheme="minorHAnsi" w:cstheme="minorHAnsi"/>
          <w:b/>
          <w:bCs w:val="0"/>
          <w:color w:val="000000" w:themeColor="text1"/>
        </w:rPr>
      </w:pPr>
      <w:bookmarkStart w:id="563" w:name="_Toc160186079"/>
      <w:r w:rsidRPr="00107C19">
        <w:rPr>
          <w:rFonts w:asciiTheme="minorHAnsi" w:hAnsiTheme="minorHAnsi" w:cstheme="minorHAnsi"/>
          <w:b/>
          <w:bCs w:val="0"/>
          <w:color w:val="000000" w:themeColor="text1"/>
        </w:rPr>
        <w:lastRenderedPageBreak/>
        <w:t>Foreign Agricultural Service</w:t>
      </w:r>
      <w:bookmarkEnd w:id="563"/>
      <w:r w:rsidRPr="00107C19">
        <w:rPr>
          <w:rFonts w:asciiTheme="minorHAnsi" w:hAnsiTheme="minorHAnsi" w:cstheme="minorHAnsi"/>
          <w:b/>
          <w:bCs w:val="0"/>
          <w:i/>
          <w:iCs/>
          <w:color w:val="000000" w:themeColor="text1"/>
          <w:kern w:val="0"/>
          <w:sz w:val="24"/>
          <w:szCs w:val="20"/>
        </w:rPr>
        <w:t xml:space="preserve"> </w:t>
      </w:r>
    </w:p>
    <w:p w14:paraId="34134A88" w14:textId="08F00151" w:rsidR="000934EB" w:rsidRPr="00107C19" w:rsidRDefault="000934EB" w:rsidP="00590A27">
      <w:pPr>
        <w:pStyle w:val="Heading2"/>
        <w:rPr>
          <w:rFonts w:asciiTheme="minorHAnsi" w:hAnsiTheme="minorHAnsi" w:cstheme="minorHAnsi"/>
          <w:iCs w:val="0"/>
          <w:color w:val="000000" w:themeColor="text1"/>
          <w:szCs w:val="32"/>
        </w:rPr>
      </w:pPr>
      <w:bookmarkStart w:id="564" w:name="_Toc160186080"/>
      <w:r w:rsidRPr="00107C19">
        <w:rPr>
          <w:rFonts w:asciiTheme="minorHAnsi" w:hAnsiTheme="minorHAnsi" w:cstheme="minorHAnsi"/>
          <w:iCs w:val="0"/>
          <w:color w:val="000000" w:themeColor="text1"/>
          <w:szCs w:val="32"/>
        </w:rPr>
        <w:t>Mission Statement</w:t>
      </w:r>
      <w:bookmarkEnd w:id="564"/>
    </w:p>
    <w:p w14:paraId="631F2257" w14:textId="77777777" w:rsidR="000934EB" w:rsidRPr="00107C19" w:rsidRDefault="000934EB" w:rsidP="00430374">
      <w:pPr>
        <w:pStyle w:val="text"/>
        <w:rPr>
          <w:color w:val="000000" w:themeColor="text1"/>
        </w:rPr>
      </w:pPr>
      <w:r w:rsidRPr="00107C19">
        <w:rPr>
          <w:color w:val="000000" w:themeColor="text1"/>
        </w:rPr>
        <w:t>The Foreign Agricultural Service's (FAS) mission is to link U.S. agriculture to the world to enhance export opportunities and global food security.</w:t>
      </w:r>
    </w:p>
    <w:p w14:paraId="798F26E7" w14:textId="77777777" w:rsidR="000934EB" w:rsidRPr="00107C19" w:rsidRDefault="000934EB" w:rsidP="000934EB">
      <w:pPr>
        <w:pStyle w:val="Heading2"/>
        <w:rPr>
          <w:rFonts w:asciiTheme="minorHAnsi" w:hAnsiTheme="minorHAnsi" w:cstheme="minorHAnsi"/>
          <w:iCs w:val="0"/>
          <w:color w:val="000000" w:themeColor="text1"/>
          <w:szCs w:val="32"/>
        </w:rPr>
      </w:pPr>
      <w:bookmarkStart w:id="565" w:name="_Toc160186081"/>
      <w:r w:rsidRPr="00107C19">
        <w:rPr>
          <w:rFonts w:asciiTheme="minorHAnsi" w:hAnsiTheme="minorHAnsi" w:cstheme="minorHAnsi"/>
          <w:iCs w:val="0"/>
          <w:color w:val="000000" w:themeColor="text1"/>
          <w:szCs w:val="32"/>
        </w:rPr>
        <w:t>Nature and Structure of Program</w:t>
      </w:r>
      <w:bookmarkEnd w:id="565"/>
    </w:p>
    <w:p w14:paraId="0398BD3A" w14:textId="77777777" w:rsidR="000934EB" w:rsidRPr="00107C19" w:rsidRDefault="000934EB" w:rsidP="00147C80">
      <w:pPr>
        <w:pStyle w:val="text"/>
        <w:rPr>
          <w:color w:val="000000" w:themeColor="text1"/>
        </w:rPr>
      </w:pPr>
      <w:r w:rsidRPr="00107C19">
        <w:rPr>
          <w:color w:val="000000" w:themeColor="text1"/>
        </w:rPr>
        <w:t>FAS Washington, D.C. staff and a global network of 93 offices with Foreign Service Officers and locally engaged staff cover 171 countries. FAS supports U.S. foreign policy, identifies problems and provides practical solutions, and works to advance opportunities for U.S. agriculture and global food security. FAS serves as the principal coordinator of USDA's international activities, drawing on the broad expertise of USDA and U.S. agricultural organizations. While FAS does not operate laboratories, conduct research, or license technologies, FAS supports adoptions of USDA innovations for public benefit.</w:t>
      </w:r>
    </w:p>
    <w:p w14:paraId="38DE1DE7" w14:textId="77777777" w:rsidR="000934EB" w:rsidRPr="00107C19" w:rsidRDefault="000934EB" w:rsidP="000934EB">
      <w:pPr>
        <w:pStyle w:val="Heading2"/>
        <w:rPr>
          <w:rFonts w:asciiTheme="minorHAnsi" w:hAnsiTheme="minorHAnsi" w:cstheme="minorHAnsi"/>
          <w:iCs w:val="0"/>
          <w:color w:val="000000" w:themeColor="text1"/>
          <w:szCs w:val="32"/>
        </w:rPr>
      </w:pPr>
      <w:bookmarkStart w:id="566" w:name="_Toc160186082"/>
      <w:r w:rsidRPr="00107C19">
        <w:rPr>
          <w:rFonts w:asciiTheme="minorHAnsi" w:hAnsiTheme="minorHAnsi" w:cstheme="minorHAnsi"/>
          <w:iCs w:val="0"/>
          <w:color w:val="000000" w:themeColor="text1"/>
          <w:szCs w:val="32"/>
        </w:rPr>
        <w:t>Trade Policy</w:t>
      </w:r>
      <w:bookmarkEnd w:id="566"/>
    </w:p>
    <w:p w14:paraId="49DD5B4C" w14:textId="77777777" w:rsidR="000934EB" w:rsidRPr="00107C19" w:rsidRDefault="000934EB" w:rsidP="00147C80">
      <w:pPr>
        <w:pStyle w:val="text"/>
        <w:rPr>
          <w:color w:val="000000" w:themeColor="text1"/>
        </w:rPr>
      </w:pPr>
      <w:r w:rsidRPr="00107C19">
        <w:rPr>
          <w:color w:val="000000" w:themeColor="text1"/>
        </w:rPr>
        <w:t>FAS expands and maintains access to foreign markets for U.S. agricultural products by providing expertise in international trade policy negotiations and enforcement and working to reduce or eliminate technical barriers to trade and sanitary and phytosanitary trade restrictions. FAS works closely with other USDA agencies, the Office of the U.S. Trade Representative, and other Federal agencies, State governments, the U.S. agricultural industry, foreign governments, and international organizations to help ensure a level playing field for U.S. agricultural products in the international marketplace.</w:t>
      </w:r>
    </w:p>
    <w:p w14:paraId="4C0454C4" w14:textId="77777777" w:rsidR="000934EB" w:rsidRPr="00107C19" w:rsidRDefault="000934EB" w:rsidP="000934EB">
      <w:pPr>
        <w:pStyle w:val="Heading2"/>
        <w:rPr>
          <w:rFonts w:asciiTheme="minorHAnsi" w:hAnsiTheme="minorHAnsi" w:cstheme="minorHAnsi"/>
          <w:iCs w:val="0"/>
          <w:color w:val="000000" w:themeColor="text1"/>
          <w:szCs w:val="32"/>
        </w:rPr>
      </w:pPr>
      <w:bookmarkStart w:id="567" w:name="_Toc160186083"/>
      <w:r w:rsidRPr="00107C19">
        <w:rPr>
          <w:rFonts w:asciiTheme="minorHAnsi" w:hAnsiTheme="minorHAnsi" w:cstheme="minorHAnsi"/>
          <w:iCs w:val="0"/>
          <w:color w:val="000000" w:themeColor="text1"/>
          <w:szCs w:val="32"/>
        </w:rPr>
        <w:t>Market Development and Export Assistance</w:t>
      </w:r>
      <w:bookmarkEnd w:id="567"/>
    </w:p>
    <w:p w14:paraId="4AFA6408" w14:textId="77777777" w:rsidR="000934EB" w:rsidRPr="00107C19" w:rsidRDefault="000934EB" w:rsidP="00147C80">
      <w:pPr>
        <w:pStyle w:val="text"/>
        <w:rPr>
          <w:color w:val="000000" w:themeColor="text1"/>
        </w:rPr>
      </w:pPr>
      <w:r w:rsidRPr="00107C19">
        <w:rPr>
          <w:color w:val="000000" w:themeColor="text1"/>
        </w:rPr>
        <w:t>FAS partners with more than 70 cooperator groups, representing a cross-section of the U.S. food and agricultural industry, and manages a toolkit of market development programs to help U.S. exporters develop and maintain markets for hundreds of U.S. products. FAS also supports U.S. agricultural exporters through export credit guarantee programs and other types of assistance.</w:t>
      </w:r>
    </w:p>
    <w:p w14:paraId="5A365F8B" w14:textId="77777777" w:rsidR="000934EB" w:rsidRPr="00107C19" w:rsidRDefault="000934EB" w:rsidP="000934EB">
      <w:pPr>
        <w:pStyle w:val="Heading2"/>
        <w:rPr>
          <w:rFonts w:asciiTheme="minorHAnsi" w:hAnsiTheme="minorHAnsi" w:cstheme="minorHAnsi"/>
          <w:iCs w:val="0"/>
          <w:color w:val="000000" w:themeColor="text1"/>
          <w:szCs w:val="32"/>
        </w:rPr>
      </w:pPr>
      <w:bookmarkStart w:id="568" w:name="_Toc160186084"/>
      <w:r w:rsidRPr="00107C19">
        <w:rPr>
          <w:rFonts w:asciiTheme="minorHAnsi" w:hAnsiTheme="minorHAnsi" w:cstheme="minorHAnsi"/>
          <w:iCs w:val="0"/>
          <w:color w:val="000000" w:themeColor="text1"/>
          <w:szCs w:val="32"/>
        </w:rPr>
        <w:t>Data and Analysis</w:t>
      </w:r>
      <w:bookmarkEnd w:id="568"/>
    </w:p>
    <w:p w14:paraId="2CF6609D" w14:textId="4464C325" w:rsidR="000934EB" w:rsidRPr="00107C19" w:rsidRDefault="000934EB" w:rsidP="00815998">
      <w:pPr>
        <w:pStyle w:val="text"/>
        <w:rPr>
          <w:color w:val="000000" w:themeColor="text1"/>
        </w:rPr>
      </w:pPr>
      <w:r w:rsidRPr="00107C19">
        <w:rPr>
          <w:color w:val="000000" w:themeColor="text1"/>
        </w:rPr>
        <w:t>FAS's network of global contacts and long-standing relationships with international groups contribute to the agency's unique market intelligence capacity for all major agricultural commodities. FAS collects data and its analysts generate objective intelligence on foreign market</w:t>
      </w:r>
      <w:r w:rsidR="00E7220F" w:rsidRPr="00107C19">
        <w:rPr>
          <w:iCs/>
          <w:color w:val="000000" w:themeColor="text1"/>
        </w:rPr>
        <w:t xml:space="preserve"> </w:t>
      </w:r>
      <w:r w:rsidR="00FB49C1" w:rsidRPr="00107C19">
        <w:rPr>
          <w:iCs/>
          <w:color w:val="000000" w:themeColor="text1"/>
        </w:rPr>
        <w:t xml:space="preserve">opportunities, </w:t>
      </w:r>
      <w:r w:rsidRPr="00107C19">
        <w:rPr>
          <w:color w:val="000000" w:themeColor="text1"/>
        </w:rPr>
        <w:t>prepare agricultural production forecasts, assess</w:t>
      </w:r>
      <w:r w:rsidR="00E53FB3" w:rsidRPr="00107C19">
        <w:rPr>
          <w:iCs/>
          <w:color w:val="000000" w:themeColor="text1"/>
        </w:rPr>
        <w:t xml:space="preserve"> </w:t>
      </w:r>
      <w:r w:rsidR="00E53FB3" w:rsidRPr="00107C19">
        <w:rPr>
          <w:color w:val="000000" w:themeColor="text1"/>
        </w:rPr>
        <w:t>marketing opportunities for U.S. exports, and monitor changes in policies affecting U.S. agricultural exports and imports.</w:t>
      </w:r>
      <w:r w:rsidRPr="00107C19">
        <w:rPr>
          <w:color w:val="000000" w:themeColor="text1"/>
        </w:rPr>
        <w:t xml:space="preserve"> </w:t>
      </w:r>
    </w:p>
    <w:p w14:paraId="02E531BE" w14:textId="77777777" w:rsidR="000934EB" w:rsidRPr="00107C19" w:rsidRDefault="000934EB" w:rsidP="000934EB">
      <w:pPr>
        <w:pStyle w:val="Heading2"/>
        <w:rPr>
          <w:rFonts w:asciiTheme="minorHAnsi" w:hAnsiTheme="minorHAnsi" w:cstheme="minorHAnsi"/>
          <w:iCs w:val="0"/>
          <w:color w:val="000000" w:themeColor="text1"/>
          <w:szCs w:val="32"/>
        </w:rPr>
      </w:pPr>
      <w:bookmarkStart w:id="569" w:name="_Toc160186085"/>
      <w:r w:rsidRPr="00107C19">
        <w:rPr>
          <w:rFonts w:asciiTheme="minorHAnsi" w:hAnsiTheme="minorHAnsi" w:cstheme="minorHAnsi"/>
          <w:iCs w:val="0"/>
          <w:color w:val="000000" w:themeColor="text1"/>
          <w:szCs w:val="32"/>
        </w:rPr>
        <w:lastRenderedPageBreak/>
        <w:t>Capacity Building and Development</w:t>
      </w:r>
      <w:bookmarkEnd w:id="569"/>
    </w:p>
    <w:p w14:paraId="204A4ED7" w14:textId="77777777" w:rsidR="000934EB" w:rsidRPr="00107C19" w:rsidRDefault="000934EB" w:rsidP="00815998">
      <w:pPr>
        <w:pStyle w:val="text"/>
        <w:rPr>
          <w:color w:val="000000" w:themeColor="text1"/>
        </w:rPr>
      </w:pPr>
      <w:r w:rsidRPr="00107C19">
        <w:rPr>
          <w:color w:val="000000" w:themeColor="text1"/>
        </w:rPr>
        <w:t>FAS leads USDA's efforts to help developing countries and emerging market economies improve their food and agricultural systems and participation in agricultural trade. FAS administers international fellowship programs, non-emergency food assistance programs, and other technical assistance.</w:t>
      </w:r>
    </w:p>
    <w:p w14:paraId="0F20ED56" w14:textId="77777777" w:rsidR="000934EB" w:rsidRPr="00107C19" w:rsidRDefault="000934EB" w:rsidP="006647ED">
      <w:pPr>
        <w:pStyle w:val="Heading2"/>
        <w:rPr>
          <w:color w:val="000000" w:themeColor="text1"/>
          <w:szCs w:val="32"/>
        </w:rPr>
      </w:pPr>
      <w:bookmarkStart w:id="570" w:name="_Toc160186086"/>
      <w:r w:rsidRPr="00107C19">
        <w:rPr>
          <w:color w:val="000000" w:themeColor="text1"/>
          <w:szCs w:val="32"/>
        </w:rPr>
        <w:t>Downstream Outcomes</w:t>
      </w:r>
      <w:bookmarkEnd w:id="570"/>
    </w:p>
    <w:p w14:paraId="4370ED2B" w14:textId="77777777" w:rsidR="000934EB" w:rsidRPr="00107C19" w:rsidRDefault="000934EB" w:rsidP="006647ED">
      <w:pPr>
        <w:pStyle w:val="text"/>
        <w:rPr>
          <w:color w:val="000000" w:themeColor="text1"/>
        </w:rPr>
      </w:pPr>
      <w:r w:rsidRPr="00107C19">
        <w:rPr>
          <w:color w:val="000000" w:themeColor="text1"/>
        </w:rPr>
        <w:t>The following summaries illustrate how FAS supported U.S. technology transfers.</w:t>
      </w:r>
    </w:p>
    <w:p w14:paraId="20257123" w14:textId="77777777" w:rsidR="00A62D22" w:rsidRPr="00107C19" w:rsidRDefault="000934EB" w:rsidP="00834031">
      <w:pPr>
        <w:pStyle w:val="Heading3"/>
        <w:rPr>
          <w:rStyle w:val="title-text"/>
        </w:rPr>
      </w:pPr>
      <w:bookmarkStart w:id="571" w:name="_Toc160186087"/>
      <w:r w:rsidRPr="00107C19">
        <w:rPr>
          <w:rStyle w:val="title-text"/>
        </w:rPr>
        <w:t>The Minor Use Foundation, IR-4 Project, and Global Partnership for</w:t>
      </w:r>
      <w:r w:rsidR="00522CA0" w:rsidRPr="00107C19">
        <w:rPr>
          <w:rStyle w:val="title-text"/>
        </w:rPr>
        <w:t xml:space="preserve"> </w:t>
      </w:r>
      <w:r w:rsidRPr="00107C19">
        <w:rPr>
          <w:rStyle w:val="title-text"/>
        </w:rPr>
        <w:t>International Pesticide Standards</w:t>
      </w:r>
      <w:r w:rsidR="00304FAF" w:rsidRPr="00107C19">
        <w:rPr>
          <w:rStyle w:val="title-text"/>
        </w:rPr>
        <w:t>.</w:t>
      </w:r>
      <w:bookmarkEnd w:id="571"/>
      <w:r w:rsidR="00304FAF" w:rsidRPr="00107C19">
        <w:rPr>
          <w:rStyle w:val="title-text"/>
        </w:rPr>
        <w:t xml:space="preserve"> </w:t>
      </w:r>
    </w:p>
    <w:p w14:paraId="3333ED38" w14:textId="41CE3DCB" w:rsidR="000934EB" w:rsidRPr="00107C19" w:rsidRDefault="000934EB" w:rsidP="002B5C9F">
      <w:pPr>
        <w:pStyle w:val="text"/>
        <w:rPr>
          <w:color w:val="000000" w:themeColor="text1"/>
        </w:rPr>
      </w:pPr>
      <w:r w:rsidRPr="00107C19">
        <w:rPr>
          <w:color w:val="000000" w:themeColor="text1"/>
        </w:rPr>
        <w:t>In collaboration with the Minor Use Foundation, FAS is leading a Global Residue Project to strengthen the infrastructure and processes of foreign country participation in the international standard setting process to establish Codex Maximum Residue Levels. In FY23, the project continued work with stakeholders in Africa, Asia, and the Western hemisphere where national research teams collaborated on joint-residue trials that are based on study protocols and technology models developed by the USDA-funded IR-4 Project. Once a study is completed, foreign research teams are taught how to package the trial data and create a submission to Codex in order to establish a new international trading standard for the crop/chemical combination.</w:t>
      </w:r>
    </w:p>
    <w:p w14:paraId="6A204B58" w14:textId="77777777" w:rsidR="000934EB" w:rsidRPr="00107C19" w:rsidRDefault="000934EB" w:rsidP="00A62D22">
      <w:pPr>
        <w:pStyle w:val="text"/>
        <w:rPr>
          <w:color w:val="000000" w:themeColor="text1"/>
        </w:rPr>
      </w:pPr>
      <w:r w:rsidRPr="00107C19">
        <w:rPr>
          <w:color w:val="000000" w:themeColor="text1"/>
        </w:rPr>
        <w:t>By transferring these policy concepts and technical skills to foreign partners, the Global Residue Project has continued coordinating with and complementing the IR-4 Project by supplementing U.S. generated data and, in some cases, completely shifting the field trial responsibilities for generating pesticide data to partner countries. In addition to economizing U.S. resources for development and commercialization of pesticides, the global partnership continued to promote common standards among the U.S. and foreign agricultural trading partners. Overall, it provides modern pest control tools that may be safely used by growers worldwide (https://minorusefoundation.org).</w:t>
      </w:r>
    </w:p>
    <w:p w14:paraId="4B212EEE" w14:textId="77777777" w:rsidR="00A62D22" w:rsidRPr="00107C19" w:rsidRDefault="000934EB" w:rsidP="00834031">
      <w:pPr>
        <w:pStyle w:val="Heading3"/>
        <w:rPr>
          <w:rStyle w:val="title-text"/>
        </w:rPr>
      </w:pPr>
      <w:bookmarkStart w:id="572" w:name="_Toc160186088"/>
      <w:r w:rsidRPr="00107C19">
        <w:rPr>
          <w:rStyle w:val="title-text"/>
        </w:rPr>
        <w:t>Collaborations with China on the Creation of an African Swine Fever (ASF) Research</w:t>
      </w:r>
      <w:r w:rsidR="00A62D22" w:rsidRPr="00107C19">
        <w:rPr>
          <w:rStyle w:val="title-text"/>
        </w:rPr>
        <w:t>.</w:t>
      </w:r>
      <w:bookmarkEnd w:id="572"/>
      <w:r w:rsidR="00A62D22" w:rsidRPr="00107C19">
        <w:rPr>
          <w:rStyle w:val="title-text"/>
        </w:rPr>
        <w:t xml:space="preserve"> </w:t>
      </w:r>
    </w:p>
    <w:p w14:paraId="15ED58B7" w14:textId="2F242AC6" w:rsidR="000934EB" w:rsidRPr="00107C19" w:rsidRDefault="000934EB" w:rsidP="00A62D22">
      <w:pPr>
        <w:pStyle w:val="text"/>
        <w:rPr>
          <w:color w:val="000000" w:themeColor="text1"/>
        </w:rPr>
      </w:pPr>
      <w:r w:rsidRPr="00107C19">
        <w:rPr>
          <w:color w:val="000000" w:themeColor="text1"/>
        </w:rPr>
        <w:t>Following implementation of the Phase One Agreement in March 2020, USDA engaged appropriate Chinese counterparts and global experts to exchange the latest in research on ASF. The FAS project that underpins this collaboration is funded through September 30, 2024. From September 18-20, 2023, the U.S.-China Center for Animal Health at Kansas State University partnered with the Global African Swine Fever Research Alliance to host the</w:t>
      </w:r>
      <w:r w:rsidR="00A62D22" w:rsidRPr="00107C19">
        <w:rPr>
          <w:color w:val="000000" w:themeColor="text1"/>
        </w:rPr>
        <w:t xml:space="preserve"> </w:t>
      </w:r>
      <w:r w:rsidRPr="00107C19">
        <w:rPr>
          <w:color w:val="000000" w:themeColor="text1"/>
        </w:rPr>
        <w:t xml:space="preserve">2023 International African Swine Fever Workshop in Beijing, China. FAS supported the event in collaboration with ARS and the Chinese Veterinary Drug Association, and the outcomes were reported in Viruses journal (https://www.mdpi.com/1999-4915/16/1/4). Among the objectives of this workshop was to </w:t>
      </w:r>
      <w:r w:rsidRPr="00107C19">
        <w:rPr>
          <w:color w:val="000000" w:themeColor="text1"/>
        </w:rPr>
        <w:lastRenderedPageBreak/>
        <w:t>provide a platform for the best ASF researchers, from around the world, to foster ASF research collaboration in vaccine development, diagnostic tool evaluation, and epidemiology training.</w:t>
      </w:r>
    </w:p>
    <w:p w14:paraId="5E3F42FB" w14:textId="27614649" w:rsidR="000934EB" w:rsidRPr="00107C19" w:rsidRDefault="000934EB" w:rsidP="00834031">
      <w:pPr>
        <w:pStyle w:val="Heading3"/>
      </w:pPr>
      <w:bookmarkStart w:id="573" w:name="_Toc160186089"/>
      <w:r w:rsidRPr="00107C19">
        <w:rPr>
          <w:rStyle w:val="title-text"/>
        </w:rPr>
        <w:t>Economic Implications of Proposed Plastic Regulations</w:t>
      </w:r>
      <w:r w:rsidR="00F959A1" w:rsidRPr="00107C19">
        <w:rPr>
          <w:rStyle w:val="title-text"/>
        </w:rPr>
        <w:t>.</w:t>
      </w:r>
      <w:bookmarkEnd w:id="573"/>
    </w:p>
    <w:p w14:paraId="3BF98734" w14:textId="77777777" w:rsidR="000934EB" w:rsidRPr="00107C19" w:rsidRDefault="000934EB" w:rsidP="00F959A1">
      <w:pPr>
        <w:pStyle w:val="text"/>
        <w:rPr>
          <w:color w:val="000000" w:themeColor="text1"/>
        </w:rPr>
      </w:pPr>
      <w:r w:rsidRPr="00107C19">
        <w:rPr>
          <w:color w:val="000000" w:themeColor="text1"/>
        </w:rPr>
        <w:t>Through a cooperative agreement with the Farm Foundation for Practical Approaches to Circularity in U.S.-European Union (EU) Trade, FAS funded a study by Virginia Tech to evaluate the economic implications of proposed plastic regulations. The study examined a proposal from Environment Climate Change Canada (ECCC) on retail prices and per capita fresh fruit and vegetable availability for Canadian consumers under alternative import supply reduction scenarios. This included a review of U.S. exports of fresh fruits and vegetables and the importance of the Canadian market, followed by a closer look at the share of imports of fresh fruits and vegetables in Canada's total availability from domestic and imported sources. The market impacts were modeled under low-, moderate-, and high­ impact scenarios using prevailing market conditions and showed up to a 62% reduction of imports of fresh produce into Canada. This study will be used to inform FAS engagement with ECCC to limit the trade impacts of the regulations and encourage investment into research and innovation on plastic packaging alternatives.</w:t>
      </w:r>
    </w:p>
    <w:p w14:paraId="2287DCD0" w14:textId="4E071EC7" w:rsidR="000934EB" w:rsidRPr="00107C19" w:rsidRDefault="000934EB" w:rsidP="00834031">
      <w:pPr>
        <w:pStyle w:val="Heading3"/>
        <w:rPr>
          <w:rStyle w:val="title-text"/>
        </w:rPr>
      </w:pPr>
      <w:bookmarkStart w:id="574" w:name="_Toc160186090"/>
      <w:r w:rsidRPr="00107C19">
        <w:rPr>
          <w:rStyle w:val="title-text"/>
        </w:rPr>
        <w:t>Compostable PLU Labels</w:t>
      </w:r>
      <w:r w:rsidR="00F959A1" w:rsidRPr="00107C19">
        <w:rPr>
          <w:rStyle w:val="title-text"/>
        </w:rPr>
        <w:t>.</w:t>
      </w:r>
      <w:bookmarkEnd w:id="574"/>
      <w:r w:rsidR="00F959A1" w:rsidRPr="00107C19">
        <w:rPr>
          <w:rStyle w:val="title-text"/>
        </w:rPr>
        <w:t xml:space="preserve"> </w:t>
      </w:r>
    </w:p>
    <w:p w14:paraId="0EE1C5C2" w14:textId="387EAD11" w:rsidR="000934EB" w:rsidRPr="00107C19" w:rsidRDefault="000934EB" w:rsidP="00F959A1">
      <w:pPr>
        <w:pStyle w:val="text"/>
        <w:rPr>
          <w:color w:val="000000" w:themeColor="text1"/>
        </w:rPr>
      </w:pPr>
      <w:r w:rsidRPr="00107C19">
        <w:rPr>
          <w:color w:val="000000" w:themeColor="text1"/>
        </w:rPr>
        <w:t>Several countries, led by France and New Zealand, have enacted legislation that will require price look up (PLU) labels to be certified home compostable. This has posed a challenge for</w:t>
      </w:r>
      <w:r w:rsidR="00F959A1" w:rsidRPr="00107C19">
        <w:rPr>
          <w:color w:val="000000" w:themeColor="text1"/>
        </w:rPr>
        <w:t xml:space="preserve"> </w:t>
      </w:r>
      <w:r w:rsidRPr="00107C19">
        <w:rPr>
          <w:color w:val="000000" w:themeColor="text1"/>
        </w:rPr>
        <w:t>U.S. exporters by creating a trade barrier that puts millions of dollars of U.S. fresh fruit and vegetable</w:t>
      </w:r>
      <w:r w:rsidR="00F959A1" w:rsidRPr="00107C19">
        <w:rPr>
          <w:color w:val="000000" w:themeColor="text1"/>
        </w:rPr>
        <w:t xml:space="preserve"> </w:t>
      </w:r>
      <w:r w:rsidRPr="00107C19">
        <w:rPr>
          <w:color w:val="000000" w:themeColor="text1"/>
        </w:rPr>
        <w:t>exports at risk. With research and development funds provided by FAS's Technical Assistance for Specialty Crops Program, FAS and ARS are working to produce compostable PLU labels. FAS and ARS are collaborating with the International Fresh Produce Association (IFPA) and Sinclair Systems International to meet the EU standards. The goal is to develop adhesives that are both food-safe and compostable. When achieved, this will allow American companies to export fruits and vegetables as usual while helping to decrease food waste and methane emissions.</w:t>
      </w:r>
    </w:p>
    <w:p w14:paraId="7210EE9C" w14:textId="45D7F31F" w:rsidR="000B0422" w:rsidRPr="00107C19" w:rsidRDefault="000B0422" w:rsidP="00F31C85">
      <w:pPr>
        <w:pStyle w:val="Heading1"/>
        <w:rPr>
          <w:rFonts w:asciiTheme="minorHAnsi" w:hAnsiTheme="minorHAnsi" w:cstheme="minorHAnsi"/>
          <w:b/>
          <w:bCs w:val="0"/>
          <w:color w:val="000000" w:themeColor="text1"/>
        </w:rPr>
      </w:pPr>
      <w:bookmarkStart w:id="575" w:name="_Toc160186091"/>
      <w:r w:rsidRPr="00107C19">
        <w:rPr>
          <w:rFonts w:asciiTheme="minorHAnsi" w:hAnsiTheme="minorHAnsi" w:cstheme="minorHAnsi"/>
          <w:b/>
          <w:bCs w:val="0"/>
          <w:color w:val="000000" w:themeColor="text1"/>
        </w:rPr>
        <w:lastRenderedPageBreak/>
        <w:t>Forest Service</w:t>
      </w:r>
      <w:bookmarkEnd w:id="575"/>
      <w:r w:rsidRPr="00107C19">
        <w:rPr>
          <w:rFonts w:asciiTheme="minorHAnsi" w:hAnsiTheme="minorHAnsi" w:cstheme="minorHAnsi"/>
          <w:b/>
          <w:bCs w:val="0"/>
          <w:color w:val="000000" w:themeColor="text1"/>
        </w:rPr>
        <w:t xml:space="preserve"> </w:t>
      </w:r>
    </w:p>
    <w:p w14:paraId="0661686E"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USDA Forest Service technology transfer and science delivery programs synthesize information from a range of disciplines and deliver it in clear and accessible formats to fit user needs. Overall, these programs enhance the use of scientific information. Forest Service technology transfer and science delivery efforts include patents, webinars, workshops, partnerships, field visits, conservation education, public outreach, and publications. </w:t>
      </w:r>
    </w:p>
    <w:p w14:paraId="61EFF87C" w14:textId="77777777" w:rsidR="006A7C40" w:rsidRPr="00107C19" w:rsidRDefault="006A7C40" w:rsidP="006A7C40">
      <w:pPr>
        <w:spacing w:after="100"/>
        <w:contextualSpacing/>
        <w:rPr>
          <w:rFonts w:ascii="Times New Roman" w:hAnsi="Times New Roman"/>
          <w:color w:val="000000" w:themeColor="text1"/>
        </w:rPr>
      </w:pPr>
    </w:p>
    <w:p w14:paraId="4E1C938C"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Forest Service </w:t>
      </w:r>
      <w:r w:rsidRPr="00107C19">
        <w:rPr>
          <w:rFonts w:ascii="Times New Roman" w:eastAsia="Helvetica" w:hAnsi="Times New Roman"/>
          <w:color w:val="000000" w:themeColor="text1"/>
        </w:rPr>
        <w:t>science is complex, but its need is clear. Land managers, city planners, policymakers, and others need sound science to make decisions</w:t>
      </w:r>
      <w:r w:rsidRPr="00107C19">
        <w:rPr>
          <w:rFonts w:ascii="Times New Roman" w:hAnsi="Times New Roman"/>
          <w:color w:val="000000" w:themeColor="text1"/>
        </w:rPr>
        <w:t xml:space="preserve"> sustaining the health of the land for present and future generations.</w:t>
      </w:r>
    </w:p>
    <w:p w14:paraId="39554E48" w14:textId="77777777" w:rsidR="006A7C40" w:rsidRPr="00107C19" w:rsidRDefault="006A7C40" w:rsidP="006A7C40">
      <w:pPr>
        <w:spacing w:after="100"/>
        <w:contextualSpacing/>
        <w:rPr>
          <w:rFonts w:ascii="Times New Roman" w:hAnsi="Times New Roman"/>
          <w:color w:val="000000" w:themeColor="text1"/>
        </w:rPr>
      </w:pPr>
    </w:p>
    <w:p w14:paraId="18A8F3A1"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Knowledge co-development bolsters the research process and increases the relevance of the agency’s science findings and tools. Forest Service scientists helped pioneer this valuable form of science production and application, and this collaborative process sets the agency apart from universities and other academic institutions. In short, Forest Service researchers work hand-in-hand with managers to build knowledge and design solutions. </w:t>
      </w:r>
    </w:p>
    <w:p w14:paraId="2497284E" w14:textId="77777777" w:rsidR="006A7C40" w:rsidRPr="00107C19" w:rsidRDefault="006A7C40" w:rsidP="006A7C40">
      <w:pPr>
        <w:spacing w:after="100"/>
        <w:contextualSpacing/>
        <w:rPr>
          <w:rFonts w:ascii="Times New Roman" w:hAnsi="Times New Roman"/>
          <w:color w:val="000000" w:themeColor="text1"/>
        </w:rPr>
      </w:pPr>
    </w:p>
    <w:p w14:paraId="55F1F062" w14:textId="77777777" w:rsidR="006A7C40" w:rsidRPr="00107C19" w:rsidRDefault="006A7C40" w:rsidP="006A7C40">
      <w:pPr>
        <w:spacing w:after="100"/>
        <w:contextualSpacing/>
        <w:rPr>
          <w:rFonts w:ascii="Times New Roman" w:hAnsi="Times New Roman" w:cs="Calibri"/>
          <w:color w:val="000000" w:themeColor="text1"/>
        </w:rPr>
      </w:pPr>
      <w:r w:rsidRPr="00107C19">
        <w:rPr>
          <w:rFonts w:ascii="Times New Roman" w:hAnsi="Times New Roman" w:cs="Calibri"/>
          <w:color w:val="000000" w:themeColor="text1"/>
        </w:rPr>
        <w:t xml:space="preserve">Technology transferred from federal laboratories allows the government to share tax-dollar funded ideas, inventions, and technologies with the private sector. Private sector industries further develop, scale, and deploy these technologies and ideas—creating jobs and products, technologies, and services for world markets. Currently, the U.S. government annually funds  $167 billion worth of research and development activity. </w:t>
      </w:r>
    </w:p>
    <w:p w14:paraId="3D9FB459" w14:textId="77777777" w:rsidR="006A7C40" w:rsidRPr="00107C19" w:rsidRDefault="006A7C40" w:rsidP="006A7C40">
      <w:pPr>
        <w:spacing w:after="100"/>
        <w:contextualSpacing/>
        <w:rPr>
          <w:rFonts w:ascii="Times New Roman" w:hAnsi="Times New Roman" w:cs="Calibri"/>
          <w:color w:val="000000" w:themeColor="text1"/>
        </w:rPr>
      </w:pPr>
    </w:p>
    <w:p w14:paraId="32D67E85" w14:textId="77777777" w:rsidR="006A7C40" w:rsidRPr="00107C19" w:rsidRDefault="006A7C40" w:rsidP="00A76755">
      <w:pPr>
        <w:pStyle w:val="Heading2"/>
        <w:rPr>
          <w:color w:val="000000" w:themeColor="text1"/>
        </w:rPr>
      </w:pPr>
      <w:bookmarkStart w:id="576" w:name="_Toc152597601"/>
      <w:bookmarkStart w:id="577" w:name="_Toc160186092"/>
      <w:r w:rsidRPr="00107C19">
        <w:rPr>
          <w:color w:val="000000" w:themeColor="text1"/>
        </w:rPr>
        <w:t>Forest Service Background</w:t>
      </w:r>
      <w:bookmarkEnd w:id="576"/>
      <w:bookmarkEnd w:id="577"/>
    </w:p>
    <w:p w14:paraId="69C07307" w14:textId="77777777" w:rsidR="006A7C40" w:rsidRPr="00107C19" w:rsidRDefault="006A7C40" w:rsidP="006A7C40">
      <w:pPr>
        <w:spacing w:after="100"/>
        <w:contextualSpacing/>
        <w:rPr>
          <w:rFonts w:ascii="Times New Roman" w:hAnsi="Times New Roman"/>
          <w:color w:val="000000" w:themeColor="text1"/>
          <w:szCs w:val="24"/>
        </w:rPr>
      </w:pPr>
      <w:r w:rsidRPr="00107C19">
        <w:rPr>
          <w:rFonts w:ascii="Times New Roman" w:hAnsi="Times New Roman"/>
          <w:color w:val="000000" w:themeColor="text1"/>
          <w:szCs w:val="24"/>
        </w:rPr>
        <w:t>The Forest Service, the only land management agency in the USDA, sustains the health, diversity, and productivity of the Nation’s forests and grasslands to meet the needs of present and future generations. Gifford Pinchot, the first Chief of the Forest Service, stated the agency</w:t>
      </w:r>
      <w:r w:rsidRPr="00107C19">
        <w:rPr>
          <w:rFonts w:ascii="Times New Roman" w:hAnsi="Times New Roman"/>
          <w:i/>
          <w:iCs/>
          <w:color w:val="000000" w:themeColor="text1"/>
          <w:szCs w:val="24"/>
        </w:rPr>
        <w:t xml:space="preserve"> </w:t>
      </w:r>
      <w:r w:rsidRPr="00107C19">
        <w:rPr>
          <w:rFonts w:ascii="Times New Roman" w:hAnsi="Times New Roman"/>
          <w:color w:val="000000" w:themeColor="text1"/>
          <w:szCs w:val="24"/>
        </w:rPr>
        <w:t xml:space="preserve">provides the greatest amount of good for the greatest amount of people in the long run. Since 1905, the Forest Service has directly managed 193 million acres of public land in National forests and grasslands. Additionally, the agency assists partners in managing 491 million acres of state and private forest lands. </w:t>
      </w:r>
    </w:p>
    <w:p w14:paraId="1709D506" w14:textId="77777777" w:rsidR="006A7C40" w:rsidRPr="00107C19" w:rsidRDefault="006A7C40" w:rsidP="006A7C40">
      <w:pPr>
        <w:spacing w:after="100"/>
        <w:contextualSpacing/>
        <w:rPr>
          <w:rFonts w:ascii="Times New Roman" w:hAnsi="Times New Roman"/>
          <w:color w:val="000000" w:themeColor="text1"/>
          <w:szCs w:val="24"/>
        </w:rPr>
      </w:pPr>
    </w:p>
    <w:p w14:paraId="6F3DF5DC" w14:textId="77777777" w:rsidR="006A7C40" w:rsidRPr="00107C19" w:rsidRDefault="006A7C40" w:rsidP="006A7C40">
      <w:pPr>
        <w:spacing w:after="100"/>
        <w:contextualSpacing/>
        <w:rPr>
          <w:rFonts w:ascii="Times New Roman" w:hAnsi="Times New Roman"/>
          <w:color w:val="000000" w:themeColor="text1"/>
          <w:szCs w:val="24"/>
        </w:rPr>
      </w:pPr>
      <w:r w:rsidRPr="00107C19">
        <w:rPr>
          <w:rFonts w:ascii="Times New Roman" w:hAnsi="Times New Roman"/>
          <w:color w:val="000000" w:themeColor="text1"/>
          <w:szCs w:val="24"/>
        </w:rPr>
        <w:t>The Forest Service is composed of five deputy areas: National Forest System, Research and Development, State, Private, and Tribal Forestry, Business Operations, and the Work Environment and Performance Office.</w:t>
      </w:r>
    </w:p>
    <w:p w14:paraId="370DD8FB" w14:textId="77777777" w:rsidR="006A7C40" w:rsidRPr="00107C19" w:rsidRDefault="006A7C40" w:rsidP="00A76755">
      <w:pPr>
        <w:pStyle w:val="Heading2"/>
        <w:rPr>
          <w:color w:val="000000" w:themeColor="text1"/>
        </w:rPr>
      </w:pPr>
      <w:bookmarkStart w:id="578" w:name="_Toc152597602"/>
      <w:bookmarkStart w:id="579" w:name="_Toc160186093"/>
      <w:r w:rsidRPr="00107C19">
        <w:rPr>
          <w:color w:val="000000" w:themeColor="text1"/>
        </w:rPr>
        <w:t>Research and Development</w:t>
      </w:r>
      <w:bookmarkEnd w:id="578"/>
      <w:bookmarkEnd w:id="579"/>
    </w:p>
    <w:p w14:paraId="2949E9EE"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The </w:t>
      </w:r>
      <w:hyperlink r:id="rId41" w:history="1">
        <w:r w:rsidRPr="00107C19">
          <w:rPr>
            <w:rFonts w:ascii="Times New Roman" w:hAnsi="Times New Roman"/>
            <w:color w:val="000000" w:themeColor="text1"/>
            <w:u w:val="single"/>
          </w:rPr>
          <w:t>Forest Service Research and Development</w:t>
        </w:r>
      </w:hyperlink>
      <w:r w:rsidRPr="00107C19">
        <w:rPr>
          <w:rFonts w:ascii="Times New Roman" w:hAnsi="Times New Roman"/>
          <w:color w:val="000000" w:themeColor="text1"/>
        </w:rPr>
        <w:t xml:space="preserve"> deputy area houses the agency’s technology transfer and science delivery programs. Research and Development scientists work with practitioners and decisionmakers to conduct science, gain knowledge, and provide knowledge to end users. This co-</w:t>
      </w:r>
      <w:r w:rsidRPr="00107C19">
        <w:rPr>
          <w:rFonts w:ascii="Times New Roman" w:hAnsi="Times New Roman"/>
          <w:color w:val="000000" w:themeColor="text1"/>
        </w:rPr>
        <w:lastRenderedPageBreak/>
        <w:t xml:space="preserve">development allows agency scientists to bring users, partners, and decisionmakers into the science process from the very beginning. </w:t>
      </w:r>
    </w:p>
    <w:p w14:paraId="13A013A6" w14:textId="77777777" w:rsidR="006A7C40" w:rsidRPr="00107C19" w:rsidRDefault="006A7C40" w:rsidP="006A7C40">
      <w:pPr>
        <w:spacing w:after="100"/>
        <w:contextualSpacing/>
        <w:rPr>
          <w:rFonts w:ascii="Times New Roman" w:hAnsi="Times New Roman"/>
          <w:color w:val="000000" w:themeColor="text1"/>
        </w:rPr>
      </w:pPr>
    </w:p>
    <w:p w14:paraId="7F1E8604" w14:textId="58BC38FC"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Forest Service Research and Development is a world leader in forestry research. Integral to the mission of the Forest Service since the agency’s inception, Research and Development studies the most pressing natural resource management issues of our day, generates science findings and tools that help sustain the health, diversity, and productivity of our </w:t>
      </w:r>
      <w:r w:rsidR="002509F2" w:rsidRPr="00107C19">
        <w:rPr>
          <w:rFonts w:ascii="Times New Roman" w:hAnsi="Times New Roman"/>
          <w:color w:val="000000" w:themeColor="text1"/>
        </w:rPr>
        <w:t>national</w:t>
      </w:r>
      <w:r w:rsidRPr="00107C19">
        <w:rPr>
          <w:rFonts w:ascii="Times New Roman" w:hAnsi="Times New Roman"/>
          <w:color w:val="000000" w:themeColor="text1"/>
        </w:rPr>
        <w:t xml:space="preserve"> forests and grasslands—and ultimately enhances the rigor and impact of the entire agency.</w:t>
      </w:r>
    </w:p>
    <w:p w14:paraId="510848EE" w14:textId="77777777" w:rsidR="006A7C40" w:rsidRPr="00107C19" w:rsidRDefault="006A7C40" w:rsidP="006A7C40">
      <w:pPr>
        <w:spacing w:after="100"/>
        <w:contextualSpacing/>
        <w:rPr>
          <w:rFonts w:ascii="Times New Roman" w:hAnsi="Times New Roman"/>
          <w:color w:val="000000" w:themeColor="text1"/>
        </w:rPr>
      </w:pPr>
    </w:p>
    <w:p w14:paraId="45E2A781"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As a world leader in forestry research, the agency and its scientists:</w:t>
      </w:r>
    </w:p>
    <w:p w14:paraId="2340DFEC" w14:textId="77777777" w:rsidR="006A7C40" w:rsidRPr="00107C19" w:rsidRDefault="006A7C40" w:rsidP="00957FC9">
      <w:pPr>
        <w:numPr>
          <w:ilvl w:val="0"/>
          <w:numId w:val="18"/>
        </w:numPr>
        <w:spacing w:before="0" w:after="100" w:line="276" w:lineRule="auto"/>
        <w:ind w:left="720"/>
        <w:contextualSpacing/>
        <w:rPr>
          <w:rFonts w:ascii="Times New Roman" w:hAnsi="Times New Roman"/>
          <w:color w:val="000000" w:themeColor="text1"/>
        </w:rPr>
      </w:pPr>
      <w:r w:rsidRPr="00107C19">
        <w:rPr>
          <w:rFonts w:ascii="Times New Roman" w:hAnsi="Times New Roman"/>
          <w:color w:val="000000" w:themeColor="text1"/>
        </w:rPr>
        <w:t>deliver valued information and knowledge,</w:t>
      </w:r>
    </w:p>
    <w:p w14:paraId="0ADB3555" w14:textId="77777777" w:rsidR="006A7C40" w:rsidRPr="00107C19" w:rsidRDefault="006A7C40" w:rsidP="00957FC9">
      <w:pPr>
        <w:numPr>
          <w:ilvl w:val="0"/>
          <w:numId w:val="18"/>
        </w:numPr>
        <w:spacing w:before="0" w:after="100" w:line="276" w:lineRule="auto"/>
        <w:ind w:left="720"/>
        <w:contextualSpacing/>
        <w:rPr>
          <w:rFonts w:ascii="Times New Roman" w:hAnsi="Times New Roman"/>
          <w:color w:val="000000" w:themeColor="text1"/>
        </w:rPr>
      </w:pPr>
      <w:r w:rsidRPr="00107C19">
        <w:rPr>
          <w:rFonts w:ascii="Times New Roman" w:hAnsi="Times New Roman"/>
          <w:color w:val="000000" w:themeColor="text1"/>
        </w:rPr>
        <w:t>develop research agreements with academic, government, and industry partnerships to improve the health and productivity of our Nation’s forests and grasslands,</w:t>
      </w:r>
    </w:p>
    <w:p w14:paraId="1699B421" w14:textId="77777777" w:rsidR="006A7C40" w:rsidRPr="00107C19" w:rsidRDefault="006A7C40" w:rsidP="00957FC9">
      <w:pPr>
        <w:numPr>
          <w:ilvl w:val="0"/>
          <w:numId w:val="18"/>
        </w:numPr>
        <w:spacing w:before="0" w:after="100" w:line="276" w:lineRule="auto"/>
        <w:ind w:left="720"/>
        <w:contextualSpacing/>
        <w:rPr>
          <w:rFonts w:ascii="Times New Roman" w:hAnsi="Times New Roman"/>
          <w:color w:val="000000" w:themeColor="text1"/>
        </w:rPr>
      </w:pPr>
      <w:r w:rsidRPr="00107C19">
        <w:rPr>
          <w:rFonts w:ascii="Times New Roman" w:hAnsi="Times New Roman"/>
          <w:color w:val="000000" w:themeColor="text1"/>
        </w:rPr>
        <w:t>inform natural resource policy and land management decisions,</w:t>
      </w:r>
    </w:p>
    <w:p w14:paraId="21A01CF3" w14:textId="77777777" w:rsidR="006A7C40" w:rsidRPr="00107C19" w:rsidRDefault="006A7C40" w:rsidP="00957FC9">
      <w:pPr>
        <w:numPr>
          <w:ilvl w:val="0"/>
          <w:numId w:val="18"/>
        </w:numPr>
        <w:spacing w:before="0" w:after="100" w:line="276" w:lineRule="auto"/>
        <w:ind w:left="720"/>
        <w:contextualSpacing/>
        <w:rPr>
          <w:rFonts w:ascii="Times New Roman" w:hAnsi="Times New Roman"/>
          <w:color w:val="000000" w:themeColor="text1"/>
        </w:rPr>
      </w:pPr>
      <w:r w:rsidRPr="00107C19">
        <w:rPr>
          <w:rFonts w:ascii="Times New Roman" w:hAnsi="Times New Roman"/>
          <w:color w:val="000000" w:themeColor="text1"/>
        </w:rPr>
        <w:t>anticipate emerging natural resource issues,</w:t>
      </w:r>
    </w:p>
    <w:p w14:paraId="16834A48" w14:textId="77777777" w:rsidR="006A7C40" w:rsidRPr="00107C19" w:rsidRDefault="006A7C40" w:rsidP="00957FC9">
      <w:pPr>
        <w:numPr>
          <w:ilvl w:val="0"/>
          <w:numId w:val="18"/>
        </w:numPr>
        <w:spacing w:before="0" w:after="100" w:line="276" w:lineRule="auto"/>
        <w:ind w:left="720"/>
        <w:contextualSpacing/>
        <w:rPr>
          <w:rFonts w:ascii="Times New Roman" w:hAnsi="Times New Roman"/>
          <w:color w:val="000000" w:themeColor="text1"/>
        </w:rPr>
      </w:pPr>
      <w:r w:rsidRPr="00107C19">
        <w:rPr>
          <w:rFonts w:ascii="Times New Roman" w:hAnsi="Times New Roman"/>
          <w:color w:val="000000" w:themeColor="text1"/>
        </w:rPr>
        <w:t>gain global recognition, and</w:t>
      </w:r>
    </w:p>
    <w:p w14:paraId="45C561E1" w14:textId="77777777" w:rsidR="006A7C40" w:rsidRPr="00107C19" w:rsidRDefault="006A7C40" w:rsidP="00957FC9">
      <w:pPr>
        <w:numPr>
          <w:ilvl w:val="0"/>
          <w:numId w:val="18"/>
        </w:numPr>
        <w:spacing w:before="0" w:after="100" w:line="276" w:lineRule="auto"/>
        <w:ind w:left="720"/>
        <w:contextualSpacing/>
        <w:rPr>
          <w:rFonts w:ascii="Times New Roman" w:hAnsi="Times New Roman"/>
          <w:color w:val="000000" w:themeColor="text1"/>
        </w:rPr>
      </w:pPr>
      <w:r w:rsidRPr="00107C19">
        <w:rPr>
          <w:rFonts w:ascii="Times New Roman" w:hAnsi="Times New Roman"/>
          <w:color w:val="000000" w:themeColor="text1"/>
        </w:rPr>
        <w:t>protect intellectual property rights.</w:t>
      </w:r>
    </w:p>
    <w:p w14:paraId="4048D7A5" w14:textId="77777777" w:rsidR="006A7C40" w:rsidRPr="00107C19" w:rsidRDefault="006A7C40" w:rsidP="006A7C40">
      <w:pPr>
        <w:spacing w:after="100"/>
        <w:contextualSpacing/>
        <w:rPr>
          <w:rFonts w:ascii="Times New Roman" w:hAnsi="Times New Roman"/>
          <w:color w:val="000000" w:themeColor="text1"/>
          <w:lang w:val="en"/>
        </w:rPr>
      </w:pPr>
      <w:r w:rsidRPr="00107C19">
        <w:rPr>
          <w:rFonts w:ascii="Times New Roman" w:hAnsi="Times New Roman"/>
          <w:color w:val="000000" w:themeColor="text1"/>
        </w:rPr>
        <w:t xml:space="preserve">Research and Development scientists are a key part of the Nation’s scientific expertise, which includes colleagues in other federal and state agencies, universities, industry, non-governmental organizations, and citizen scientists. </w:t>
      </w:r>
    </w:p>
    <w:p w14:paraId="4585A5CA" w14:textId="77777777" w:rsidR="006A7C40" w:rsidRPr="00107C19" w:rsidRDefault="006A7C40" w:rsidP="006A7C40">
      <w:pPr>
        <w:spacing w:after="100"/>
        <w:contextualSpacing/>
        <w:rPr>
          <w:rFonts w:ascii="Times New Roman" w:hAnsi="Times New Roman"/>
          <w:color w:val="000000" w:themeColor="text1"/>
          <w:lang w:val="en"/>
        </w:rPr>
      </w:pPr>
    </w:p>
    <w:p w14:paraId="33360FD9"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The scientific community requires research findings to be presented in scientifically credible forums. Scientific publications resulting from research must undergo review by other scientists — ensuring the scientific rigor of the work. Once published as scientific or primary literature, the science-based information from those publications must be available to the public. The Forest Service does this in several ways, including through a dedicated website, </w:t>
      </w:r>
      <w:hyperlink r:id="rId42" w:history="1">
        <w:r w:rsidRPr="00107C19">
          <w:rPr>
            <w:rFonts w:ascii="Times New Roman" w:hAnsi="Times New Roman"/>
            <w:color w:val="000000" w:themeColor="text1"/>
            <w:u w:val="single"/>
          </w:rPr>
          <w:t>Treesearch</w:t>
        </w:r>
      </w:hyperlink>
      <w:r w:rsidRPr="00107C19">
        <w:rPr>
          <w:rFonts w:ascii="Times New Roman" w:hAnsi="Times New Roman"/>
          <w:color w:val="000000" w:themeColor="text1"/>
        </w:rPr>
        <w:t>, which contains all the published scientific research conducted by Research and Development scientists.</w:t>
      </w:r>
    </w:p>
    <w:p w14:paraId="3C0ACD07" w14:textId="77777777" w:rsidR="006A7C40" w:rsidRPr="00107C19" w:rsidRDefault="006A7C40" w:rsidP="00A76755">
      <w:pPr>
        <w:pStyle w:val="Heading3"/>
        <w:rPr>
          <w:rFonts w:ascii="Calibri Light" w:hAnsi="Calibri Light"/>
          <w:b/>
        </w:rPr>
      </w:pPr>
      <w:bookmarkStart w:id="580" w:name="_Toc152332923"/>
      <w:bookmarkStart w:id="581" w:name="_Toc152334715"/>
      <w:bookmarkStart w:id="582" w:name="_Toc152597603"/>
      <w:bookmarkStart w:id="583" w:name="_Toc160186094"/>
      <w:r w:rsidRPr="00107C19">
        <w:t>Research Framework</w:t>
      </w:r>
      <w:bookmarkEnd w:id="580"/>
      <w:bookmarkEnd w:id="581"/>
      <w:bookmarkEnd w:id="582"/>
      <w:bookmarkEnd w:id="583"/>
      <w:r w:rsidRPr="00107C19">
        <w:t xml:space="preserve"> </w:t>
      </w:r>
    </w:p>
    <w:p w14:paraId="05684D2E" w14:textId="77777777" w:rsidR="006A7C40" w:rsidRPr="00107C19" w:rsidRDefault="006A7C40" w:rsidP="006A7C40">
      <w:pPr>
        <w:spacing w:after="100"/>
        <w:contextualSpacing/>
        <w:rPr>
          <w:rFonts w:ascii="Times New Roman" w:hAnsi="Times New Roman"/>
          <w:b/>
          <w:bCs/>
          <w:i/>
          <w:color w:val="000000" w:themeColor="text1"/>
        </w:rPr>
      </w:pPr>
      <w:r w:rsidRPr="00107C19">
        <w:rPr>
          <w:rFonts w:ascii="Times New Roman" w:eastAsia="Times New Roman" w:hAnsi="Times New Roman"/>
          <w:color w:val="000000" w:themeColor="text1"/>
        </w:rPr>
        <w:t>Forest Service research produces three key deliverables: resource inventory and assessment, decision support, and innovations in practices and use.</w:t>
      </w:r>
    </w:p>
    <w:p w14:paraId="0D6583B4" w14:textId="77777777" w:rsidR="006A7C40" w:rsidRPr="00107C19" w:rsidRDefault="006A7C40" w:rsidP="00A76755">
      <w:pPr>
        <w:pStyle w:val="Heading3"/>
      </w:pPr>
      <w:bookmarkStart w:id="584" w:name="_Toc152332924"/>
      <w:bookmarkStart w:id="585" w:name="_Toc152334716"/>
      <w:bookmarkStart w:id="586" w:name="_Toc152597604"/>
      <w:bookmarkStart w:id="587" w:name="_Toc160186095"/>
      <w:r w:rsidRPr="00107C19">
        <w:t>Research Priority Areas</w:t>
      </w:r>
      <w:bookmarkEnd w:id="584"/>
      <w:bookmarkEnd w:id="585"/>
      <w:bookmarkEnd w:id="586"/>
      <w:bookmarkEnd w:id="587"/>
    </w:p>
    <w:p w14:paraId="0A7A4764" w14:textId="77777777" w:rsidR="006A7C40" w:rsidRPr="00107C19" w:rsidRDefault="006A7C40" w:rsidP="00957FC9">
      <w:pPr>
        <w:numPr>
          <w:ilvl w:val="0"/>
          <w:numId w:val="17"/>
        </w:numPr>
        <w:shd w:val="clear" w:color="auto" w:fill="FFFFFF"/>
        <w:spacing w:before="0" w:after="100" w:line="276" w:lineRule="auto"/>
        <w:contextualSpacing/>
        <w:rPr>
          <w:rFonts w:ascii="Times New Roman" w:eastAsia="Times New Roman" w:hAnsi="Times New Roman"/>
          <w:color w:val="000000" w:themeColor="text1"/>
          <w:szCs w:val="24"/>
        </w:rPr>
      </w:pPr>
      <w:r w:rsidRPr="00107C19">
        <w:rPr>
          <w:rFonts w:ascii="Times New Roman" w:eastAsia="Times New Roman" w:hAnsi="Times New Roman"/>
          <w:color w:val="000000" w:themeColor="text1"/>
          <w:szCs w:val="24"/>
        </w:rPr>
        <w:t>Applied science to support shared stewardship and improve forest conditions</w:t>
      </w:r>
    </w:p>
    <w:p w14:paraId="1011873F" w14:textId="77777777" w:rsidR="006A7C40" w:rsidRPr="00107C19" w:rsidRDefault="006A7C40" w:rsidP="00957FC9">
      <w:pPr>
        <w:numPr>
          <w:ilvl w:val="0"/>
          <w:numId w:val="17"/>
        </w:numPr>
        <w:shd w:val="clear" w:color="auto" w:fill="FFFFFF"/>
        <w:spacing w:before="0" w:after="100" w:line="276" w:lineRule="auto"/>
        <w:contextualSpacing/>
        <w:rPr>
          <w:rFonts w:ascii="Times New Roman" w:eastAsia="Times New Roman" w:hAnsi="Times New Roman"/>
          <w:color w:val="000000" w:themeColor="text1"/>
          <w:szCs w:val="24"/>
        </w:rPr>
      </w:pPr>
      <w:r w:rsidRPr="00107C19">
        <w:rPr>
          <w:rFonts w:ascii="Times New Roman" w:eastAsia="Times New Roman" w:hAnsi="Times New Roman"/>
          <w:color w:val="000000" w:themeColor="text1"/>
          <w:szCs w:val="24"/>
        </w:rPr>
        <w:t xml:space="preserve">Forest inventory and trend analysis </w:t>
      </w:r>
    </w:p>
    <w:p w14:paraId="0B7E2D0B" w14:textId="77777777" w:rsidR="006A7C40" w:rsidRPr="00107C19" w:rsidRDefault="006A7C40" w:rsidP="00957FC9">
      <w:pPr>
        <w:numPr>
          <w:ilvl w:val="0"/>
          <w:numId w:val="17"/>
        </w:numPr>
        <w:shd w:val="clear" w:color="auto" w:fill="FFFFFF"/>
        <w:spacing w:before="0" w:after="100" w:line="276" w:lineRule="auto"/>
        <w:contextualSpacing/>
        <w:rPr>
          <w:rFonts w:ascii="Times New Roman" w:eastAsia="Times New Roman" w:hAnsi="Times New Roman"/>
          <w:color w:val="000000" w:themeColor="text1"/>
          <w:szCs w:val="24"/>
        </w:rPr>
      </w:pPr>
      <w:r w:rsidRPr="00107C19">
        <w:rPr>
          <w:rFonts w:ascii="Times New Roman" w:eastAsia="Times New Roman" w:hAnsi="Times New Roman"/>
          <w:color w:val="000000" w:themeColor="text1"/>
          <w:szCs w:val="24"/>
        </w:rPr>
        <w:t>Enhancements to the wildland fire system, including prediction, planning, decision support, impact assessment, and recovery</w:t>
      </w:r>
    </w:p>
    <w:p w14:paraId="0292B878" w14:textId="77777777" w:rsidR="006A7C40" w:rsidRPr="00107C19" w:rsidRDefault="006A7C40" w:rsidP="00957FC9">
      <w:pPr>
        <w:numPr>
          <w:ilvl w:val="0"/>
          <w:numId w:val="17"/>
        </w:numPr>
        <w:shd w:val="clear" w:color="auto" w:fill="FFFFFF"/>
        <w:spacing w:before="0" w:after="100" w:line="276" w:lineRule="auto"/>
        <w:contextualSpacing/>
        <w:rPr>
          <w:rFonts w:ascii="Times New Roman" w:eastAsia="Times New Roman" w:hAnsi="Times New Roman"/>
          <w:i/>
          <w:color w:val="000000" w:themeColor="text1"/>
          <w:szCs w:val="24"/>
        </w:rPr>
      </w:pPr>
      <w:r w:rsidRPr="00107C19">
        <w:rPr>
          <w:rFonts w:ascii="Times New Roman" w:eastAsia="Times New Roman" w:hAnsi="Times New Roman"/>
          <w:color w:val="000000" w:themeColor="text1"/>
          <w:szCs w:val="24"/>
        </w:rPr>
        <w:t>Wood product and market innovations</w:t>
      </w:r>
    </w:p>
    <w:p w14:paraId="51BB9348" w14:textId="77777777" w:rsidR="006A7C40" w:rsidRPr="00107C19" w:rsidRDefault="006A7C40" w:rsidP="00A76755">
      <w:pPr>
        <w:pStyle w:val="Heading3"/>
      </w:pPr>
      <w:bookmarkStart w:id="588" w:name="_Toc152332925"/>
      <w:bookmarkStart w:id="589" w:name="_Toc152334717"/>
      <w:bookmarkStart w:id="590" w:name="_Toc152597605"/>
      <w:bookmarkStart w:id="591" w:name="_Toc160186096"/>
      <w:r w:rsidRPr="00107C19">
        <w:lastRenderedPageBreak/>
        <w:t>Foundational Research Areas</w:t>
      </w:r>
      <w:bookmarkEnd w:id="588"/>
      <w:bookmarkEnd w:id="589"/>
      <w:bookmarkEnd w:id="590"/>
      <w:bookmarkEnd w:id="591"/>
    </w:p>
    <w:p w14:paraId="240E1A23" w14:textId="77777777" w:rsidR="006A7C40" w:rsidRPr="00107C19" w:rsidRDefault="006A7C40" w:rsidP="00957FC9">
      <w:pPr>
        <w:numPr>
          <w:ilvl w:val="0"/>
          <w:numId w:val="19"/>
        </w:numPr>
        <w:spacing w:before="0" w:after="100" w:line="276" w:lineRule="auto"/>
        <w:contextualSpacing/>
        <w:rPr>
          <w:rFonts w:ascii="Times New Roman" w:hAnsi="Times New Roman"/>
          <w:iCs/>
          <w:color w:val="000000" w:themeColor="text1"/>
        </w:rPr>
      </w:pPr>
      <w:r w:rsidRPr="00107C19">
        <w:rPr>
          <w:rFonts w:ascii="Times New Roman" w:hAnsi="Times New Roman"/>
          <w:iCs/>
          <w:color w:val="000000" w:themeColor="text1"/>
        </w:rPr>
        <w:t>Forest and grassland health</w:t>
      </w:r>
    </w:p>
    <w:p w14:paraId="4C0D6730" w14:textId="77777777" w:rsidR="006A7C40" w:rsidRPr="00107C19" w:rsidRDefault="006A7C40" w:rsidP="00957FC9">
      <w:pPr>
        <w:numPr>
          <w:ilvl w:val="0"/>
          <w:numId w:val="19"/>
        </w:numPr>
        <w:spacing w:before="0" w:after="100" w:line="276" w:lineRule="auto"/>
        <w:contextualSpacing/>
        <w:rPr>
          <w:rFonts w:ascii="Times New Roman" w:hAnsi="Times New Roman"/>
          <w:iCs/>
          <w:color w:val="000000" w:themeColor="text1"/>
        </w:rPr>
      </w:pPr>
      <w:r w:rsidRPr="00107C19">
        <w:rPr>
          <w:rFonts w:ascii="Times New Roman" w:hAnsi="Times New Roman"/>
          <w:iCs/>
          <w:color w:val="000000" w:themeColor="text1"/>
        </w:rPr>
        <w:t>Forest soils, air quality, and hydrology</w:t>
      </w:r>
    </w:p>
    <w:p w14:paraId="393C784D" w14:textId="77777777" w:rsidR="006A7C40" w:rsidRPr="00107C19" w:rsidRDefault="006A7C40" w:rsidP="00957FC9">
      <w:pPr>
        <w:numPr>
          <w:ilvl w:val="0"/>
          <w:numId w:val="19"/>
        </w:numPr>
        <w:spacing w:before="0" w:after="100" w:line="276" w:lineRule="auto"/>
        <w:contextualSpacing/>
        <w:rPr>
          <w:rFonts w:ascii="Times New Roman" w:hAnsi="Times New Roman"/>
          <w:color w:val="000000" w:themeColor="text1"/>
        </w:rPr>
      </w:pPr>
      <w:r w:rsidRPr="00107C19">
        <w:rPr>
          <w:rFonts w:ascii="Times New Roman" w:hAnsi="Times New Roman"/>
          <w:iCs/>
          <w:color w:val="000000" w:themeColor="text1"/>
        </w:rPr>
        <w:t>Silviculture and ecology, including forest ecology and fish and wildlife ecology</w:t>
      </w:r>
    </w:p>
    <w:p w14:paraId="5FDFEFF9"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Today, Research and Development employs more than 400 scientists and several hundred technical and support staff. Located at 67 sites across the United States, these people </w:t>
      </w:r>
      <w:r w:rsidRPr="00107C19">
        <w:rPr>
          <w:rFonts w:ascii="Times New Roman" w:hAnsi="Times New Roman"/>
          <w:color w:val="000000" w:themeColor="text1"/>
          <w:shd w:val="clear" w:color="auto" w:fill="FFFFFF"/>
        </w:rPr>
        <w:t>work in a range of biological, physical, and social science fields. They maintain research programs in all 50 states as well as many U.S. territories and commonwealths</w:t>
      </w:r>
      <w:r w:rsidRPr="00107C19">
        <w:rPr>
          <w:rFonts w:ascii="Times New Roman" w:hAnsi="Times New Roman"/>
          <w:color w:val="000000" w:themeColor="text1"/>
        </w:rPr>
        <w:t xml:space="preserve">. Their research includes long-term studies of major vegetation types found across the United States as well as diverse research areas operated with partners. </w:t>
      </w:r>
    </w:p>
    <w:p w14:paraId="2D0600AB" w14:textId="77777777" w:rsidR="006A7C40" w:rsidRPr="00107C19" w:rsidRDefault="006A7C40" w:rsidP="006A7C40">
      <w:pPr>
        <w:spacing w:after="100"/>
        <w:contextualSpacing/>
        <w:rPr>
          <w:rFonts w:ascii="Times New Roman" w:hAnsi="Times New Roman"/>
          <w:color w:val="000000" w:themeColor="text1"/>
        </w:rPr>
      </w:pPr>
    </w:p>
    <w:p w14:paraId="5A547876"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Research and Development maintains five research station headquartered in Madison, Wisconsin; Portland, Oregon; Albany, California; Fort Collins, Colorado; and Asheville, North Carolina. The organization also includes Forest Products Laboratory in Madison; International Institute of Tropical Forestry in San Juan, Puerto Rico; and headquarters in District of Columbia. The National Forest System maintains two Technology and Development Centers in Missoula, Montana and San Dimas, California.</w:t>
      </w:r>
    </w:p>
    <w:p w14:paraId="759E269F" w14:textId="77777777" w:rsidR="006A7C40" w:rsidRPr="00107C19" w:rsidRDefault="006A7C40" w:rsidP="006A7C40">
      <w:pPr>
        <w:spacing w:after="100"/>
        <w:contextualSpacing/>
        <w:rPr>
          <w:rFonts w:ascii="Times New Roman" w:hAnsi="Times New Roman"/>
          <w:color w:val="000000" w:themeColor="text1"/>
        </w:rPr>
      </w:pPr>
    </w:p>
    <w:p w14:paraId="4F3CA735" w14:textId="77777777" w:rsidR="006A7C40" w:rsidRPr="00107C19" w:rsidRDefault="006A7C40" w:rsidP="006A7C40">
      <w:pPr>
        <w:spacing w:after="100"/>
        <w:contextualSpacing/>
        <w:rPr>
          <w:rFonts w:ascii="Times New Roman" w:hAnsi="Times New Roman"/>
          <w:color w:val="000000" w:themeColor="text1"/>
        </w:rPr>
      </w:pPr>
    </w:p>
    <w:p w14:paraId="64E7896C"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noProof/>
          <w:color w:val="000000" w:themeColor="text1"/>
        </w:rPr>
        <mc:AlternateContent>
          <mc:Choice Requires="wpg">
            <w:drawing>
              <wp:inline distT="0" distB="0" distL="0" distR="0" wp14:anchorId="4432EF58" wp14:editId="447CAD81">
                <wp:extent cx="6353175" cy="3864534"/>
                <wp:effectExtent l="0" t="0" r="9525" b="3175"/>
                <wp:docPr id="726675763" name="Group 3" descr="A map showing the range of each research station in the USDA Forest Service Research and Development. "/>
                <wp:cNvGraphicFramePr/>
                <a:graphic xmlns:a="http://schemas.openxmlformats.org/drawingml/2006/main">
                  <a:graphicData uri="http://schemas.microsoft.com/office/word/2010/wordprocessingGroup">
                    <wpg:wgp>
                      <wpg:cNvGrpSpPr/>
                      <wpg:grpSpPr>
                        <a:xfrm>
                          <a:off x="0" y="0"/>
                          <a:ext cx="6353175" cy="3864534"/>
                          <a:chOff x="0" y="617920"/>
                          <a:chExt cx="3519170" cy="2050350"/>
                        </a:xfrm>
                      </wpg:grpSpPr>
                      <pic:pic xmlns:pic="http://schemas.openxmlformats.org/drawingml/2006/picture">
                        <pic:nvPicPr>
                          <pic:cNvPr id="1318296647" name="Picture 1318296647"/>
                          <pic:cNvPicPr>
                            <a:picLocks noChangeAspect="1"/>
                          </pic:cNvPicPr>
                        </pic:nvPicPr>
                        <pic:blipFill>
                          <a:blip r:embed="rId43" cstate="print"/>
                          <a:srcRect/>
                          <a:stretch>
                            <a:fillRect/>
                          </a:stretch>
                        </pic:blipFill>
                        <pic:spPr bwMode="auto">
                          <a:xfrm>
                            <a:off x="0" y="617920"/>
                            <a:ext cx="2594875" cy="1734755"/>
                          </a:xfrm>
                          <a:prstGeom prst="rect">
                            <a:avLst/>
                          </a:prstGeom>
                          <a:noFill/>
                          <a:ln w="9525">
                            <a:noFill/>
                            <a:miter lim="800000"/>
                            <a:headEnd/>
                            <a:tailEnd/>
                          </a:ln>
                        </pic:spPr>
                      </pic:pic>
                      <wps:wsp>
                        <wps:cNvPr id="1469138618" name="Text Box 1"/>
                        <wps:cNvSpPr txBox="1"/>
                        <wps:spPr>
                          <a:xfrm>
                            <a:off x="0" y="2409825"/>
                            <a:ext cx="3519170" cy="258445"/>
                          </a:xfrm>
                          <a:prstGeom prst="rect">
                            <a:avLst/>
                          </a:prstGeom>
                          <a:solidFill>
                            <a:prstClr val="white"/>
                          </a:solidFill>
                          <a:ln>
                            <a:noFill/>
                          </a:ln>
                        </wps:spPr>
                        <wps:txbx>
                          <w:txbxContent>
                            <w:p w14:paraId="39F09BF6" w14:textId="77777777" w:rsidR="006A7C40" w:rsidRPr="00F468D6" w:rsidRDefault="006A7C40" w:rsidP="006A7C40">
                              <w:pPr>
                                <w:pStyle w:val="Caption"/>
                                <w:rPr>
                                  <w:noProof/>
                                </w:rPr>
                              </w:pPr>
                              <w:r w:rsidRPr="00F468D6">
                                <w:t>Fig. 1: research station ranges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432EF58" id="Group 3" o:spid="_x0000_s1026" alt="A map showing the range of each research station in the USDA Forest Service Research and Development. " style="width:500.25pt;height:304.3pt;mso-position-horizontal-relative:char;mso-position-vertical-relative:line" coordorigin=",6179" coordsize="35191,20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18296647" o:spid="_x0000_s1027" type="#_x0000_t75" style="position:absolute;top:6179;width:25948;height:1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">
                  <v:imagedata r:id="rId44" o:title=""/>
                </v:shape>
                <v:shapetype id="_x0000_t202" coordsize="21600,21600" o:spt="202" path="m,l,21600r21600,l21600,xe">
                  <v:stroke joinstyle="miter"/>
                  <v:path gradientshapeok="t" o:connecttype="rect"/>
                </v:shapetype>
                <v:shape id="Text Box 1" o:spid="_x0000_s1028" type="#_x0000_t202" style="position:absolute;top:24098;width:3519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" stroked="f">
                  <v:textbox inset="0,0,0,0">
                    <w:txbxContent>
                      <w:p w14:paraId="39F09BF6" w14:textId="77777777" w:rsidR="006A7C40" w:rsidRPr="00F468D6" w:rsidRDefault="006A7C40" w:rsidP="006A7C40">
                        <w:pPr>
                          <w:pStyle w:val="Caption"/>
                          <w:rPr>
                            <w:noProof/>
                          </w:rPr>
                        </w:pPr>
                        <w:r w:rsidRPr="00F468D6">
                          <w:t>Fig. 1: research station ranges</w:t>
                        </w:r>
                      </w:p>
                    </w:txbxContent>
                  </v:textbox>
                </v:shape>
                <w10:anchorlock/>
              </v:group>
            </w:pict>
          </mc:Fallback>
        </mc:AlternateContent>
      </w:r>
    </w:p>
    <w:p w14:paraId="218FE707" w14:textId="77777777" w:rsidR="006A7C40" w:rsidRPr="00107C19" w:rsidRDefault="006A7C40" w:rsidP="006A7C40">
      <w:pPr>
        <w:keepNext/>
        <w:widowControl w:val="0"/>
        <w:tabs>
          <w:tab w:val="left" w:pos="450"/>
        </w:tabs>
        <w:autoSpaceDE w:val="0"/>
        <w:autoSpaceDN w:val="0"/>
        <w:adjustRightInd w:val="0"/>
        <w:spacing w:after="100"/>
        <w:contextualSpacing/>
        <w:rPr>
          <w:rFonts w:ascii="Times New Roman" w:eastAsia="Times New Roman" w:hAnsi="Times New Roman"/>
          <w:color w:val="000000" w:themeColor="text1"/>
          <w:szCs w:val="24"/>
        </w:rPr>
      </w:pPr>
      <w:r w:rsidRPr="00107C19">
        <w:rPr>
          <w:rFonts w:ascii="Times New Roman" w:eastAsia="Times New Roman" w:hAnsi="Times New Roman"/>
          <w:color w:val="000000" w:themeColor="text1"/>
          <w:sz w:val="22"/>
        </w:rPr>
        <w:br/>
      </w:r>
      <w:r w:rsidRPr="00107C19">
        <w:rPr>
          <w:rFonts w:ascii="Times New Roman" w:eastAsia="Times New Roman" w:hAnsi="Times New Roman"/>
          <w:noProof/>
          <w:color w:val="000000" w:themeColor="text1"/>
          <w:szCs w:val="24"/>
        </w:rPr>
        <w:lastRenderedPageBreak/>
        <w:drawing>
          <wp:inline distT="0" distB="0" distL="0" distR="0" wp14:anchorId="46CCB55D" wp14:editId="3656981D">
            <wp:extent cx="6563231" cy="5172075"/>
            <wp:effectExtent l="0" t="0" r="9525" b="0"/>
            <wp:docPr id="3" name="Picture 5" descr="ExpForestRang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xpForestRangeMap"/>
                    <pic:cNvPicPr>
                      <a:picLocks noChangeAspect="1" noChangeArrowheads="1"/>
                    </pic:cNvPicPr>
                  </pic:nvPicPr>
                  <pic:blipFill>
                    <a:blip r:embed="rId45" cstate="print"/>
                    <a:srcRect/>
                    <a:stretch>
                      <a:fillRect/>
                    </a:stretch>
                  </pic:blipFill>
                  <pic:spPr bwMode="auto">
                    <a:xfrm>
                      <a:off x="0" y="0"/>
                      <a:ext cx="6575621" cy="5181839"/>
                    </a:xfrm>
                    <a:prstGeom prst="rect">
                      <a:avLst/>
                    </a:prstGeom>
                    <a:noFill/>
                    <a:ln w="9525">
                      <a:noFill/>
                      <a:miter lim="800000"/>
                      <a:headEnd/>
                      <a:tailEnd/>
                    </a:ln>
                  </pic:spPr>
                </pic:pic>
              </a:graphicData>
            </a:graphic>
          </wp:inline>
        </w:drawing>
      </w:r>
    </w:p>
    <w:p w14:paraId="289EB583" w14:textId="77777777" w:rsidR="006A7C40" w:rsidRPr="00107C19" w:rsidRDefault="006A7C40" w:rsidP="006A7C40">
      <w:pPr>
        <w:spacing w:after="100"/>
        <w:contextualSpacing/>
        <w:rPr>
          <w:rFonts w:ascii="Times New Roman" w:hAnsi="Times New Roman"/>
          <w:b/>
          <w:bCs/>
          <w:color w:val="000000" w:themeColor="text1"/>
          <w:sz w:val="18"/>
          <w:szCs w:val="18"/>
        </w:rPr>
      </w:pPr>
      <w:r w:rsidRPr="00107C19">
        <w:rPr>
          <w:rFonts w:ascii="Times New Roman" w:hAnsi="Times New Roman"/>
          <w:b/>
          <w:bCs/>
          <w:color w:val="000000" w:themeColor="text1"/>
          <w:sz w:val="18"/>
          <w:szCs w:val="18"/>
        </w:rPr>
        <w:t xml:space="preserve">Fig. 2: experimental forests and ranges </w:t>
      </w:r>
    </w:p>
    <w:p w14:paraId="6BA61E61" w14:textId="77777777" w:rsidR="006A7C40" w:rsidRPr="00107C19" w:rsidRDefault="006A7C40" w:rsidP="00A76755">
      <w:pPr>
        <w:pStyle w:val="Heading2"/>
        <w:rPr>
          <w:color w:val="000000" w:themeColor="text1"/>
        </w:rPr>
      </w:pPr>
      <w:bookmarkStart w:id="592" w:name="_Toc152332926"/>
      <w:bookmarkStart w:id="593" w:name="_Toc152334718"/>
      <w:bookmarkStart w:id="594" w:name="_Toc152597606"/>
      <w:bookmarkStart w:id="595" w:name="_Toc160186097"/>
      <w:r w:rsidRPr="00107C19">
        <w:rPr>
          <w:color w:val="000000" w:themeColor="text1"/>
        </w:rPr>
        <w:t>National Research and Development Office, Staff Directors, and National Program Leaders</w:t>
      </w:r>
      <w:bookmarkEnd w:id="592"/>
      <w:bookmarkEnd w:id="593"/>
      <w:bookmarkEnd w:id="594"/>
      <w:bookmarkEnd w:id="595"/>
    </w:p>
    <w:p w14:paraId="5EE86D7E" w14:textId="77777777" w:rsidR="006A7C40" w:rsidRPr="00107C19" w:rsidRDefault="006A7C40" w:rsidP="006A7C40">
      <w:pPr>
        <w:spacing w:after="100"/>
        <w:contextualSpacing/>
        <w:rPr>
          <w:rFonts w:ascii="Times New Roman" w:hAnsi="Times New Roman"/>
          <w:iCs/>
          <w:color w:val="000000" w:themeColor="text1"/>
        </w:rPr>
      </w:pPr>
      <w:r w:rsidRPr="00107C19">
        <w:rPr>
          <w:rFonts w:ascii="Times New Roman" w:hAnsi="Times New Roman"/>
          <w:iCs/>
          <w:color w:val="000000" w:themeColor="text1"/>
        </w:rPr>
        <w:t>The District of Columbia headquarters of Research and Development serves the agency by advancing the work of agency scientists and publicizing the value of their work. The National office focuses on strategic planning, policy development, oversight, and National coordination with other Forest Service mission areas as well as among the research stations. The headquarters also coordinates and oversees the Research and Development budget with the agency’s National budget office.</w:t>
      </w:r>
    </w:p>
    <w:p w14:paraId="15BD572A" w14:textId="77777777" w:rsidR="006A7C40" w:rsidRPr="00107C19" w:rsidRDefault="006A7C40" w:rsidP="006A7C40">
      <w:pPr>
        <w:spacing w:after="100"/>
        <w:contextualSpacing/>
        <w:rPr>
          <w:rFonts w:ascii="Times New Roman" w:hAnsi="Times New Roman"/>
          <w:iCs/>
          <w:color w:val="000000" w:themeColor="text1"/>
        </w:rPr>
      </w:pPr>
    </w:p>
    <w:p w14:paraId="1BC59850" w14:textId="77777777" w:rsidR="006A7C40" w:rsidRPr="00107C19" w:rsidRDefault="006A7C40" w:rsidP="006A7C40">
      <w:pPr>
        <w:spacing w:after="100"/>
        <w:contextualSpacing/>
        <w:rPr>
          <w:rFonts w:ascii="Times New Roman" w:hAnsi="Times New Roman"/>
          <w:iCs/>
          <w:color w:val="000000" w:themeColor="text1"/>
        </w:rPr>
      </w:pPr>
      <w:r w:rsidRPr="00107C19">
        <w:rPr>
          <w:rFonts w:ascii="Times New Roman" w:hAnsi="Times New Roman"/>
          <w:iCs/>
          <w:color w:val="000000" w:themeColor="text1"/>
        </w:rPr>
        <w:t xml:space="preserve">The Deputy Chief for Research and Development oversees Forest Service research. The Deputy Chief is assisted by two Associate Chiefs and four director-led staff areas. These staff areas develop and represent National research programs. National research programs incorporate research and research funding from other federal agencies, typically through interagency working groups; coordinate with the </w:t>
      </w:r>
      <w:r w:rsidRPr="00107C19">
        <w:rPr>
          <w:rFonts w:ascii="Times New Roman" w:hAnsi="Times New Roman"/>
          <w:iCs/>
          <w:color w:val="000000" w:themeColor="text1"/>
        </w:rPr>
        <w:lastRenderedPageBreak/>
        <w:t xml:space="preserve">Deputy Chief’s Office to report and promote Research and Development to leadership from the Forest Service, USDA, other agencies, and Congressional staff; foster cross-station communication and collaboration; and develop relationships with National-level non-profit organizations and professional and technical associations. </w:t>
      </w:r>
    </w:p>
    <w:p w14:paraId="0670F56E" w14:textId="77777777" w:rsidR="006A7C40" w:rsidRPr="00107C19" w:rsidRDefault="006A7C40" w:rsidP="006A7C40">
      <w:pPr>
        <w:spacing w:after="100"/>
        <w:contextualSpacing/>
        <w:rPr>
          <w:rFonts w:ascii="Times New Roman" w:hAnsi="Times New Roman"/>
          <w:iCs/>
          <w:color w:val="000000" w:themeColor="text1"/>
        </w:rPr>
      </w:pPr>
      <w:r w:rsidRPr="00107C19">
        <w:rPr>
          <w:rFonts w:ascii="Times New Roman" w:hAnsi="Times New Roman"/>
          <w:iCs/>
          <w:color w:val="000000" w:themeColor="text1"/>
        </w:rPr>
        <w:t>National program leaders coordinate National and station research areas. They work with other National program leaders and station leadership and scientists to develop station research priorities and programs addressing National, local, and regional issues. National program leaders lack</w:t>
      </w:r>
      <w:r w:rsidRPr="00107C19">
        <w:rPr>
          <w:rFonts w:ascii="Times New Roman" w:hAnsi="Times New Roman"/>
          <w:color w:val="000000" w:themeColor="text1"/>
        </w:rPr>
        <w:t xml:space="preserve"> </w:t>
      </w:r>
      <w:r w:rsidRPr="00107C19">
        <w:rPr>
          <w:rFonts w:ascii="Times New Roman" w:hAnsi="Times New Roman"/>
          <w:iCs/>
          <w:color w:val="000000" w:themeColor="text1"/>
        </w:rPr>
        <w:t>budgetary or supervisory authority over station programs and scientists, but they may recommend uses of National funds to coordinate research among station scientists and to support grant programs.</w:t>
      </w:r>
    </w:p>
    <w:p w14:paraId="36843190" w14:textId="77777777" w:rsidR="006A7C40" w:rsidRPr="00107C19" w:rsidRDefault="006A7C40" w:rsidP="00A76755">
      <w:pPr>
        <w:pStyle w:val="Heading3"/>
      </w:pPr>
      <w:bookmarkStart w:id="596" w:name="_Toc152332927"/>
      <w:bookmarkStart w:id="597" w:name="_Toc152334719"/>
      <w:bookmarkStart w:id="598" w:name="_Toc152597607"/>
      <w:bookmarkStart w:id="599" w:name="_Toc160186098"/>
      <w:r w:rsidRPr="00107C19">
        <w:t>Research and Development Foundational Assets</w:t>
      </w:r>
      <w:bookmarkEnd w:id="596"/>
      <w:bookmarkEnd w:id="597"/>
      <w:bookmarkEnd w:id="598"/>
      <w:bookmarkEnd w:id="599"/>
    </w:p>
    <w:p w14:paraId="086E286C" w14:textId="1181363B" w:rsidR="006A7C40" w:rsidRPr="00107C19" w:rsidRDefault="006A7C40" w:rsidP="006A7C40">
      <w:pPr>
        <w:widowControl w:val="0"/>
        <w:autoSpaceDE w:val="0"/>
        <w:autoSpaceDN w:val="0"/>
        <w:adjustRightInd w:val="0"/>
        <w:spacing w:after="100"/>
        <w:contextualSpacing/>
        <w:rPr>
          <w:rFonts w:ascii="Times New Roman" w:eastAsia="Times New Roman" w:hAnsi="Times New Roman"/>
          <w:color w:val="000000" w:themeColor="text1"/>
          <w:szCs w:val="24"/>
        </w:rPr>
      </w:pPr>
      <w:r w:rsidRPr="00107C19">
        <w:rPr>
          <w:rFonts w:ascii="Times New Roman" w:eastAsia="Times New Roman" w:hAnsi="Times New Roman"/>
          <w:color w:val="000000" w:themeColor="text1"/>
          <w:szCs w:val="24"/>
        </w:rPr>
        <w:t xml:space="preserve">Research and Development maintains 81 experimental forests and ranges, 29 of which date back to the 1930s. Long-term records from these forests and ranges illuminate factors of global climate change, watershed function, disturbance recovery, and many other issues. These areas </w:t>
      </w:r>
      <w:r w:rsidR="00234308" w:rsidRPr="00107C19">
        <w:rPr>
          <w:rFonts w:ascii="Times New Roman" w:eastAsia="Times New Roman" w:hAnsi="Times New Roman"/>
          <w:color w:val="000000" w:themeColor="text1"/>
          <w:szCs w:val="24"/>
        </w:rPr>
        <w:t>help</w:t>
      </w:r>
      <w:r w:rsidRPr="00107C19">
        <w:rPr>
          <w:rFonts w:ascii="Times New Roman" w:eastAsia="Times New Roman" w:hAnsi="Times New Roman"/>
          <w:color w:val="000000" w:themeColor="text1"/>
          <w:szCs w:val="24"/>
        </w:rPr>
        <w:t xml:space="preserve"> scientists develop systems for managing and restoring forests, ranges, and watersheds; investigate forest and stream ecosystems; characterize plant and animal communities; and observe and interpret long-term environmental change.</w:t>
      </w:r>
    </w:p>
    <w:p w14:paraId="0511792D" w14:textId="77777777" w:rsidR="006A7C40" w:rsidRPr="00107C19" w:rsidRDefault="006A7C40" w:rsidP="006A7C40">
      <w:pPr>
        <w:widowControl w:val="0"/>
        <w:autoSpaceDE w:val="0"/>
        <w:autoSpaceDN w:val="0"/>
        <w:adjustRightInd w:val="0"/>
        <w:spacing w:after="100"/>
        <w:contextualSpacing/>
        <w:rPr>
          <w:rFonts w:ascii="Times New Roman" w:eastAsia="Times New Roman" w:hAnsi="Times New Roman"/>
          <w:color w:val="000000" w:themeColor="text1"/>
          <w:szCs w:val="24"/>
        </w:rPr>
      </w:pPr>
    </w:p>
    <w:p w14:paraId="0A6260D5" w14:textId="3FDBA1E1" w:rsidR="006A7C40" w:rsidRPr="00107C19" w:rsidRDefault="006A7C40" w:rsidP="006A7C40">
      <w:pPr>
        <w:widowControl w:val="0"/>
        <w:autoSpaceDE w:val="0"/>
        <w:autoSpaceDN w:val="0"/>
        <w:adjustRightInd w:val="0"/>
        <w:spacing w:after="100"/>
        <w:contextualSpacing/>
        <w:rPr>
          <w:rFonts w:ascii="Times New Roman" w:eastAsia="Times New Roman" w:hAnsi="Times New Roman"/>
          <w:color w:val="000000" w:themeColor="text1"/>
          <w:szCs w:val="24"/>
        </w:rPr>
      </w:pPr>
      <w:r w:rsidRPr="00107C19">
        <w:rPr>
          <w:rFonts w:ascii="Times New Roman" w:eastAsia="Times New Roman" w:hAnsi="Times New Roman"/>
          <w:color w:val="000000" w:themeColor="text1"/>
          <w:szCs w:val="24"/>
        </w:rPr>
        <w:t xml:space="preserve">Research and Development includes the Forest Inventory and Analysis Program. Forest Inventory and Analysis provides the </w:t>
      </w:r>
      <w:r w:rsidR="00AE19C1" w:rsidRPr="00107C19">
        <w:rPr>
          <w:rFonts w:ascii="Times New Roman" w:eastAsia="Times New Roman" w:hAnsi="Times New Roman"/>
          <w:color w:val="000000" w:themeColor="text1"/>
          <w:szCs w:val="24"/>
        </w:rPr>
        <w:t>Nation’s Forest</w:t>
      </w:r>
      <w:r w:rsidRPr="00107C19">
        <w:rPr>
          <w:rFonts w:ascii="Times New Roman" w:eastAsia="Times New Roman" w:hAnsi="Times New Roman"/>
          <w:color w:val="000000" w:themeColor="text1"/>
          <w:szCs w:val="24"/>
        </w:rPr>
        <w:t xml:space="preserve"> census and reports on forest conditions, landowner characteristics, and timber products output data. These data assist in policy and decision-making about forest investments.</w:t>
      </w:r>
    </w:p>
    <w:p w14:paraId="7B2988AB" w14:textId="77777777" w:rsidR="006A7C40" w:rsidRPr="00107C19" w:rsidRDefault="006A7C40" w:rsidP="00A76755">
      <w:pPr>
        <w:pStyle w:val="Heading2"/>
        <w:rPr>
          <w:color w:val="000000" w:themeColor="text1"/>
        </w:rPr>
      </w:pPr>
      <w:bookmarkStart w:id="600" w:name="_Toc152597608"/>
      <w:bookmarkStart w:id="601" w:name="_Toc160186099"/>
      <w:r w:rsidRPr="00107C19">
        <w:rPr>
          <w:color w:val="000000" w:themeColor="text1"/>
        </w:rPr>
        <w:t>Patent program: Background and goals</w:t>
      </w:r>
      <w:bookmarkEnd w:id="600"/>
      <w:bookmarkEnd w:id="601"/>
    </w:p>
    <w:p w14:paraId="036CF84B" w14:textId="77777777" w:rsidR="006A7C40" w:rsidRPr="00107C19" w:rsidRDefault="006A7C40" w:rsidP="006A7C40">
      <w:pPr>
        <w:spacing w:after="100"/>
        <w:contextualSpacing/>
        <w:rPr>
          <w:rFonts w:ascii="Times New Roman" w:hAnsi="Times New Roman" w:cs="Calibri"/>
          <w:color w:val="000000" w:themeColor="text1"/>
        </w:rPr>
      </w:pPr>
      <w:r w:rsidRPr="00107C19">
        <w:rPr>
          <w:rFonts w:ascii="Times New Roman" w:hAnsi="Times New Roman"/>
          <w:color w:val="000000" w:themeColor="text1"/>
        </w:rPr>
        <w:t>The agency patent program receives and tracks invention disclosures and guides scientists on intellectual property protection. The technology transfer coordinator, who reports to the Research and Development National office, oversees intellectual property agreements, patents, and licenses.</w:t>
      </w:r>
    </w:p>
    <w:p w14:paraId="067E0594" w14:textId="77777777" w:rsidR="006A7C40" w:rsidRPr="00107C19" w:rsidRDefault="006A7C40" w:rsidP="006A7C40">
      <w:pPr>
        <w:spacing w:after="100"/>
        <w:contextualSpacing/>
        <w:rPr>
          <w:rFonts w:ascii="Times New Roman" w:hAnsi="Times New Roman" w:cs="Calibri"/>
          <w:color w:val="000000" w:themeColor="text1"/>
        </w:rPr>
      </w:pPr>
    </w:p>
    <w:p w14:paraId="2BA8B850"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The patent program conducts prior art searches and prepares paperwork for the U.S. Patent and Trademark Office. The program also oversees contract law firms that draft patent applications, which are filed by USDA Office of General Counsel, and prosecutes applications in the patent office. The patent program drafts patent licenses which are signed by the Agriculture Research Service Office of Technology Transfer. Forest Service commercial licenses are royalty-based only, with the “valuation” priority toward making the technology available for internal Forest Service management use along with industry support.</w:t>
      </w:r>
    </w:p>
    <w:p w14:paraId="02B39BB9" w14:textId="77777777" w:rsidR="006A7C40" w:rsidRPr="00107C19" w:rsidRDefault="006A7C40" w:rsidP="006A7C40">
      <w:pPr>
        <w:spacing w:after="100"/>
        <w:contextualSpacing/>
        <w:rPr>
          <w:rFonts w:ascii="Times New Roman" w:hAnsi="Times New Roman"/>
          <w:color w:val="000000" w:themeColor="text1"/>
        </w:rPr>
      </w:pPr>
    </w:p>
    <w:p w14:paraId="3F69C6B3" w14:textId="77777777" w:rsidR="006A7C40" w:rsidRPr="00107C19" w:rsidRDefault="006A7C40" w:rsidP="006A7C40">
      <w:pPr>
        <w:spacing w:after="100"/>
        <w:contextualSpacing/>
        <w:rPr>
          <w:rFonts w:ascii="Times New Roman" w:hAnsi="Times New Roman"/>
          <w:color w:val="000000" w:themeColor="text1"/>
        </w:rPr>
      </w:pPr>
      <w:r w:rsidRPr="00107C19">
        <w:rPr>
          <w:rFonts w:ascii="Times New Roman" w:hAnsi="Times New Roman"/>
          <w:color w:val="000000" w:themeColor="text1"/>
        </w:rPr>
        <w:t xml:space="preserve">The Forest Service patent program is changing its emphasis from filing utility patents to filing provisional applications, seeking development partners, and marketing prior to filing a utility patent. The program also aims to reduce the technology to practice under a Cooperative Research and Development Agreement, increasing opportunities for successful development. Additionally, the program is working with the USDA Small Business Innovation Research program. </w:t>
      </w:r>
    </w:p>
    <w:p w14:paraId="57F8873D" w14:textId="77777777" w:rsidR="006A7C40" w:rsidRPr="00107C19" w:rsidRDefault="006A7C40" w:rsidP="006A7C40">
      <w:pPr>
        <w:spacing w:after="100"/>
        <w:contextualSpacing/>
        <w:rPr>
          <w:rFonts w:ascii="Times New Roman" w:hAnsi="Times New Roman"/>
          <w:color w:val="000000" w:themeColor="text1"/>
        </w:rPr>
      </w:pPr>
    </w:p>
    <w:p w14:paraId="74690134" w14:textId="77777777" w:rsidR="006A7C40" w:rsidRPr="00107C19" w:rsidRDefault="006A7C40" w:rsidP="006A7C40">
      <w:pPr>
        <w:shd w:val="clear" w:color="auto" w:fill="FFFFFF"/>
        <w:spacing w:after="100"/>
        <w:contextualSpacing/>
        <w:rPr>
          <w:rFonts w:ascii="Times New Roman" w:hAnsi="Times New Roman"/>
          <w:color w:val="000000" w:themeColor="text1"/>
        </w:rPr>
      </w:pPr>
      <w:r w:rsidRPr="00107C19">
        <w:rPr>
          <w:rFonts w:ascii="Times New Roman" w:hAnsi="Times New Roman"/>
          <w:color w:val="000000" w:themeColor="text1"/>
        </w:rPr>
        <w:lastRenderedPageBreak/>
        <w:t xml:space="preserve">Using the patent program, the agency will continue to build a scientific foundation for natural resource management and policymaking. They will conduct leading-edge research, synthesize existing research, and prioritize management-driven needs. </w:t>
      </w:r>
    </w:p>
    <w:p w14:paraId="7B60241E" w14:textId="77777777" w:rsidR="006A7C40" w:rsidRPr="00107C19" w:rsidRDefault="006A7C40" w:rsidP="006A7C40">
      <w:pPr>
        <w:shd w:val="clear" w:color="auto" w:fill="FFFFFF"/>
        <w:spacing w:after="100"/>
        <w:contextualSpacing/>
        <w:rPr>
          <w:rFonts w:ascii="Times New Roman" w:hAnsi="Times New Roman"/>
          <w:color w:val="000000" w:themeColor="text1"/>
        </w:rPr>
      </w:pPr>
    </w:p>
    <w:p w14:paraId="32569965" w14:textId="77777777" w:rsidR="006A7C40" w:rsidRPr="00107C19" w:rsidRDefault="006A7C40" w:rsidP="006A7C40">
      <w:pPr>
        <w:shd w:val="clear" w:color="auto" w:fill="FFFFFF"/>
        <w:spacing w:after="100"/>
        <w:contextualSpacing/>
        <w:rPr>
          <w:rFonts w:ascii="Times New Roman" w:hAnsi="Times New Roman"/>
          <w:color w:val="000000" w:themeColor="text1"/>
        </w:rPr>
      </w:pPr>
      <w:r w:rsidRPr="00107C19">
        <w:rPr>
          <w:rFonts w:ascii="Times New Roman" w:hAnsi="Times New Roman"/>
          <w:color w:val="000000" w:themeColor="text1"/>
        </w:rPr>
        <w:t xml:space="preserve">The Forest Service maintains “big data” on Forest Inventory and Analysis, fire weather modeling, remote sensing and landscape analyses, and weather and hydrology at experimental forests and ranges. The agency will continue to add these data to its collection programs, the Research Information Tracking System and iWEB, to allow better reporting, distribution, and management decisions. </w:t>
      </w:r>
    </w:p>
    <w:p w14:paraId="3F479354" w14:textId="77777777" w:rsidR="006A7C40" w:rsidRPr="00107C19" w:rsidRDefault="006A7C40" w:rsidP="006A7C40">
      <w:pPr>
        <w:shd w:val="clear" w:color="auto" w:fill="FFFFFF"/>
        <w:spacing w:after="100"/>
        <w:contextualSpacing/>
        <w:rPr>
          <w:rFonts w:ascii="Times New Roman" w:hAnsi="Times New Roman"/>
          <w:b/>
          <w:color w:val="000000" w:themeColor="text1"/>
        </w:rPr>
      </w:pPr>
      <w:r w:rsidRPr="00107C19">
        <w:rPr>
          <w:rFonts w:ascii="Times New Roman" w:hAnsi="Times New Roman"/>
          <w:color w:val="000000" w:themeColor="text1"/>
        </w:rPr>
        <w:t>Publications, agreements, patents, partnerships, and data will continue to provide practical solutions to problems and issues by creating technologies, tools, methods, and information that serve the needs of internal customers as well as those from other federal agencies, universities, and international communities.</w:t>
      </w:r>
    </w:p>
    <w:p w14:paraId="37EBDCFA" w14:textId="77777777" w:rsidR="006A7C40" w:rsidRPr="00107C19" w:rsidRDefault="006A7C40" w:rsidP="00A76755">
      <w:pPr>
        <w:pStyle w:val="Heading2"/>
        <w:rPr>
          <w:color w:val="000000" w:themeColor="text1"/>
        </w:rPr>
      </w:pPr>
      <w:bookmarkStart w:id="602" w:name="_Toc152597609"/>
      <w:bookmarkStart w:id="603" w:name="_Toc160186100"/>
      <w:r w:rsidRPr="00107C19">
        <w:rPr>
          <w:color w:val="000000" w:themeColor="text1"/>
        </w:rPr>
        <w:t>How to Partner with Forest Service Technology Transfer</w:t>
      </w:r>
      <w:bookmarkEnd w:id="602"/>
      <w:bookmarkEnd w:id="603"/>
    </w:p>
    <w:p w14:paraId="6E892607" w14:textId="77777777" w:rsidR="006A7C40" w:rsidRPr="00107C19" w:rsidRDefault="006A7C40" w:rsidP="006A7C40">
      <w:pPr>
        <w:spacing w:after="100"/>
        <w:contextualSpacing/>
        <w:rPr>
          <w:rFonts w:ascii="Times New Roman" w:hAnsi="Times New Roman" w:cs="Calibri"/>
          <w:color w:val="000000" w:themeColor="text1"/>
        </w:rPr>
      </w:pPr>
      <w:r w:rsidRPr="00107C19">
        <w:rPr>
          <w:rFonts w:ascii="Times New Roman" w:hAnsi="Times New Roman" w:cs="Calibri"/>
          <w:color w:val="000000" w:themeColor="text1"/>
        </w:rPr>
        <w:t>Many different technology transfer partnerships exist between private individuals, companies, public organizations, and the federal government. All these partnerships are developed through the technology transfer agreement toolbox and are authorized under the Federal Technology Transfer Act of 1986. Through this legislation, federal agencies such as the Forest Service can enter into agreements with other entities to efficiently use federally funded technology in practical applications. Cooperators in these agreements can be other government agencies, universities, or companies from the private sector.</w:t>
      </w:r>
    </w:p>
    <w:p w14:paraId="1E84D820" w14:textId="77777777" w:rsidR="006A7C40" w:rsidRPr="00107C19" w:rsidRDefault="006A7C40" w:rsidP="006A7C40">
      <w:pPr>
        <w:spacing w:after="100"/>
        <w:contextualSpacing/>
        <w:rPr>
          <w:rFonts w:ascii="Times New Roman" w:hAnsi="Times New Roman" w:cs="Calibri"/>
          <w:color w:val="000000" w:themeColor="text1"/>
        </w:rPr>
      </w:pPr>
    </w:p>
    <w:p w14:paraId="69640795" w14:textId="77777777" w:rsidR="006A7C40" w:rsidRPr="00107C19" w:rsidRDefault="006A7C40" w:rsidP="006A7C40">
      <w:pPr>
        <w:spacing w:after="100"/>
        <w:contextualSpacing/>
        <w:rPr>
          <w:rFonts w:ascii="Times New Roman" w:hAnsi="Times New Roman"/>
          <w:b/>
          <w:bCs/>
          <w:color w:val="000000" w:themeColor="text1"/>
        </w:rPr>
      </w:pPr>
      <w:r w:rsidRPr="00107C19">
        <w:rPr>
          <w:rFonts w:ascii="Times New Roman" w:hAnsi="Times New Roman"/>
          <w:color w:val="000000" w:themeColor="text1"/>
        </w:rPr>
        <w:t xml:space="preserve">If a partner or a successful market plan — which could involve procurement for Forest Service use — cannot be developed, the patent program publishes the patent and places it in the public domain. </w:t>
      </w:r>
    </w:p>
    <w:p w14:paraId="3D83D5AA" w14:textId="77777777" w:rsidR="006A7C40" w:rsidRPr="00107C19" w:rsidRDefault="006A7C40" w:rsidP="006A7C40">
      <w:pPr>
        <w:spacing w:after="100"/>
        <w:contextualSpacing/>
        <w:rPr>
          <w:rFonts w:ascii="Times New Roman" w:hAnsi="Times New Roman" w:cs="Calibri"/>
          <w:color w:val="000000" w:themeColor="text1"/>
        </w:rPr>
      </w:pPr>
    </w:p>
    <w:p w14:paraId="05A8C23D" w14:textId="77777777" w:rsidR="006A7C40" w:rsidRDefault="006A7C40" w:rsidP="006A7C40">
      <w:pPr>
        <w:spacing w:after="100"/>
        <w:contextualSpacing/>
        <w:rPr>
          <w:rFonts w:ascii="Times New Roman" w:hAnsi="Times New Roman" w:cs="Calibri"/>
          <w:color w:val="000000" w:themeColor="text1"/>
        </w:rPr>
      </w:pPr>
      <w:r w:rsidRPr="00107C19">
        <w:rPr>
          <w:rFonts w:ascii="Times New Roman" w:hAnsi="Times New Roman" w:cs="Calibri"/>
          <w:color w:val="000000" w:themeColor="text1"/>
        </w:rPr>
        <w:t>The toolbox includes:</w:t>
      </w:r>
    </w:p>
    <w:p w14:paraId="4E4A5A9F" w14:textId="77777777" w:rsidR="00107C19" w:rsidRPr="00107C19" w:rsidRDefault="00107C19" w:rsidP="006A7C40">
      <w:pPr>
        <w:spacing w:after="100"/>
        <w:contextualSpacing/>
        <w:rPr>
          <w:rFonts w:ascii="Times New Roman" w:hAnsi="Times New Roman" w:cs="Calibri"/>
          <w:color w:val="000000" w:themeColor="text1"/>
        </w:rPr>
      </w:pPr>
    </w:p>
    <w:p w14:paraId="36304BB8" w14:textId="77777777" w:rsidR="006A7C40" w:rsidRPr="00107C19" w:rsidRDefault="006A7C40" w:rsidP="00A76755">
      <w:pPr>
        <w:keepNext/>
        <w:keepLines/>
        <w:spacing w:before="40" w:after="0" w:line="276" w:lineRule="auto"/>
        <w:outlineLvl w:val="3"/>
        <w:rPr>
          <w:rFonts w:ascii="Times New Roman" w:eastAsia="Times New Roman" w:hAnsi="Times New Roman"/>
          <w:bCs/>
          <w:iCs/>
          <w:color w:val="000000" w:themeColor="text1"/>
        </w:rPr>
      </w:pPr>
      <w:bookmarkStart w:id="604" w:name="_Toc152332930"/>
      <w:bookmarkStart w:id="605" w:name="_Toc152334722"/>
      <w:bookmarkStart w:id="606" w:name="_Toc152597610"/>
      <w:bookmarkStart w:id="607" w:name="_Toc160186101"/>
      <w:r w:rsidRPr="00107C19">
        <w:rPr>
          <w:rFonts w:ascii="Times New Roman" w:eastAsia="Times New Roman" w:hAnsi="Times New Roman"/>
          <w:bCs/>
          <w:iCs/>
          <w:color w:val="000000" w:themeColor="text1"/>
        </w:rPr>
        <w:t>Material Transfer Agreement (MTA):</w:t>
      </w:r>
      <w:bookmarkEnd w:id="604"/>
      <w:bookmarkEnd w:id="605"/>
      <w:bookmarkEnd w:id="606"/>
      <w:bookmarkEnd w:id="607"/>
      <w:r w:rsidRPr="00107C19">
        <w:rPr>
          <w:rFonts w:ascii="Times New Roman" w:eastAsia="Times New Roman" w:hAnsi="Times New Roman"/>
          <w:bCs/>
          <w:iCs/>
          <w:color w:val="000000" w:themeColor="text1"/>
        </w:rPr>
        <w:t xml:space="preserve"> </w:t>
      </w:r>
    </w:p>
    <w:p w14:paraId="75D5961A" w14:textId="77777777" w:rsidR="006A7C40" w:rsidRPr="00107C19" w:rsidRDefault="006A7C40" w:rsidP="00695E0D">
      <w:pPr>
        <w:numPr>
          <w:ilvl w:val="0"/>
          <w:numId w:val="22"/>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A confidentiality agreement, meaning both signatories agree to not disclose technical information received from the other party</w:t>
      </w:r>
    </w:p>
    <w:p w14:paraId="1DEC4F7F" w14:textId="77777777" w:rsidR="006A7C40" w:rsidRPr="00107C19" w:rsidRDefault="006A7C40" w:rsidP="00695E0D">
      <w:pPr>
        <w:numPr>
          <w:ilvl w:val="0"/>
          <w:numId w:val="22"/>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Transfer of research material between two cooperators</w:t>
      </w:r>
    </w:p>
    <w:p w14:paraId="0DB26BEB" w14:textId="77777777" w:rsidR="006A7C40" w:rsidRPr="00107C19" w:rsidRDefault="006A7C40" w:rsidP="00695E0D">
      <w:pPr>
        <w:numPr>
          <w:ilvl w:val="0"/>
          <w:numId w:val="22"/>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Examples of some materials that may be transferred:</w:t>
      </w:r>
    </w:p>
    <w:p w14:paraId="10E2D35E" w14:textId="77777777" w:rsidR="006A7C40" w:rsidRPr="00107C19" w:rsidRDefault="006A7C40" w:rsidP="00695E0D">
      <w:pPr>
        <w:numPr>
          <w:ilvl w:val="1"/>
          <w:numId w:val="22"/>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Biological (chemical reagents, cell lines-used in vaccine production among other uses, and plasmids)</w:t>
      </w:r>
    </w:p>
    <w:p w14:paraId="68D36B14" w14:textId="77777777" w:rsidR="006A7C40" w:rsidRPr="00107C19" w:rsidRDefault="006A7C40" w:rsidP="00695E0D">
      <w:pPr>
        <w:numPr>
          <w:ilvl w:val="1"/>
          <w:numId w:val="22"/>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Plants, Animals, Fish</w:t>
      </w:r>
    </w:p>
    <w:p w14:paraId="11BFC55F" w14:textId="77777777" w:rsidR="006A7C40" w:rsidRPr="00107C19" w:rsidRDefault="006A7C40" w:rsidP="00695E0D">
      <w:pPr>
        <w:numPr>
          <w:ilvl w:val="1"/>
          <w:numId w:val="22"/>
        </w:numPr>
        <w:spacing w:before="0" w:after="100" w:line="276" w:lineRule="auto"/>
        <w:contextualSpacing/>
        <w:rPr>
          <w:rFonts w:ascii="Times New Roman" w:hAnsi="Times New Roman"/>
          <w:color w:val="000000" w:themeColor="text1"/>
        </w:rPr>
      </w:pPr>
      <w:r w:rsidRPr="00107C19">
        <w:rPr>
          <w:rFonts w:ascii="Times New Roman" w:hAnsi="Times New Roman"/>
          <w:color w:val="000000" w:themeColor="text1"/>
        </w:rPr>
        <w:t>Equipment</w:t>
      </w:r>
    </w:p>
    <w:p w14:paraId="6B2B51CC" w14:textId="77777777" w:rsidR="00107C19" w:rsidRDefault="00107C19" w:rsidP="00A76755">
      <w:pPr>
        <w:keepNext/>
        <w:keepLines/>
        <w:spacing w:before="40" w:after="0" w:line="276" w:lineRule="auto"/>
        <w:outlineLvl w:val="3"/>
        <w:rPr>
          <w:rFonts w:ascii="Times New Roman" w:eastAsia="Times New Roman" w:hAnsi="Times New Roman"/>
          <w:bCs/>
          <w:iCs/>
          <w:color w:val="000000" w:themeColor="text1"/>
        </w:rPr>
      </w:pPr>
      <w:bookmarkStart w:id="608" w:name="_Toc152332931"/>
      <w:bookmarkStart w:id="609" w:name="_Toc152334723"/>
      <w:bookmarkStart w:id="610" w:name="_Toc152597611"/>
    </w:p>
    <w:p w14:paraId="05037E98" w14:textId="15835A49" w:rsidR="006A7C40" w:rsidRPr="00107C19" w:rsidRDefault="006A7C40" w:rsidP="00A76755">
      <w:pPr>
        <w:keepNext/>
        <w:keepLines/>
        <w:spacing w:before="40" w:after="0" w:line="276" w:lineRule="auto"/>
        <w:outlineLvl w:val="3"/>
        <w:rPr>
          <w:rFonts w:ascii="Times New Roman" w:eastAsia="Times New Roman" w:hAnsi="Times New Roman"/>
          <w:bCs/>
          <w:iCs/>
          <w:color w:val="000000" w:themeColor="text1"/>
        </w:rPr>
      </w:pPr>
      <w:bookmarkStart w:id="611" w:name="_Toc160186102"/>
      <w:r w:rsidRPr="00107C19">
        <w:rPr>
          <w:rFonts w:ascii="Times New Roman" w:eastAsia="Times New Roman" w:hAnsi="Times New Roman"/>
          <w:bCs/>
          <w:iCs/>
          <w:color w:val="000000" w:themeColor="text1"/>
        </w:rPr>
        <w:t>Data Material Transfer Agreement (DMTA):</w:t>
      </w:r>
      <w:bookmarkEnd w:id="608"/>
      <w:bookmarkEnd w:id="609"/>
      <w:bookmarkEnd w:id="610"/>
      <w:bookmarkEnd w:id="611"/>
    </w:p>
    <w:p w14:paraId="721C3FB8" w14:textId="77777777" w:rsidR="006A7C40" w:rsidRPr="00107C19" w:rsidRDefault="006A7C40" w:rsidP="00695E0D">
      <w:pPr>
        <w:numPr>
          <w:ilvl w:val="0"/>
          <w:numId w:val="23"/>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Involves the exchange of specific data, including data sets or software, between two parties</w:t>
      </w:r>
    </w:p>
    <w:p w14:paraId="40C56004" w14:textId="77777777" w:rsidR="006A7C40" w:rsidRPr="00107C19" w:rsidRDefault="006A7C40" w:rsidP="00695E0D">
      <w:pPr>
        <w:numPr>
          <w:ilvl w:val="0"/>
          <w:numId w:val="23"/>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Allows for control and acknowledgement of raw data</w:t>
      </w:r>
    </w:p>
    <w:p w14:paraId="7E322B5C" w14:textId="77777777" w:rsidR="00107C19" w:rsidRDefault="00107C19" w:rsidP="00A76755">
      <w:pPr>
        <w:keepNext/>
        <w:keepLines/>
        <w:spacing w:before="40" w:after="0" w:line="276" w:lineRule="auto"/>
        <w:outlineLvl w:val="3"/>
        <w:rPr>
          <w:rFonts w:ascii="Times New Roman" w:eastAsia="Times New Roman" w:hAnsi="Times New Roman"/>
          <w:b/>
          <w:iCs/>
          <w:color w:val="000000" w:themeColor="text1"/>
        </w:rPr>
      </w:pPr>
      <w:bookmarkStart w:id="612" w:name="_Toc152332932"/>
      <w:bookmarkStart w:id="613" w:name="_Toc152334724"/>
      <w:bookmarkStart w:id="614" w:name="_Toc152597612"/>
    </w:p>
    <w:p w14:paraId="6F016220" w14:textId="77EDF08C" w:rsidR="006A7C40" w:rsidRPr="00107C19" w:rsidRDefault="006A7C40" w:rsidP="00A76755">
      <w:pPr>
        <w:keepNext/>
        <w:keepLines/>
        <w:spacing w:before="40" w:after="0" w:line="276" w:lineRule="auto"/>
        <w:outlineLvl w:val="3"/>
        <w:rPr>
          <w:rFonts w:ascii="Times New Roman" w:eastAsia="Times New Roman" w:hAnsi="Times New Roman"/>
          <w:bCs/>
          <w:iCs/>
          <w:color w:val="000000" w:themeColor="text1"/>
        </w:rPr>
      </w:pPr>
      <w:bookmarkStart w:id="615" w:name="_Toc160186103"/>
      <w:r w:rsidRPr="00107C19">
        <w:rPr>
          <w:rFonts w:ascii="Times New Roman" w:eastAsia="Times New Roman" w:hAnsi="Times New Roman"/>
          <w:bCs/>
          <w:iCs/>
          <w:color w:val="000000" w:themeColor="text1"/>
        </w:rPr>
        <w:t>Cooperative Research and Development Agreement (CRADA):</w:t>
      </w:r>
      <w:bookmarkEnd w:id="612"/>
      <w:bookmarkEnd w:id="613"/>
      <w:bookmarkEnd w:id="614"/>
      <w:bookmarkEnd w:id="615"/>
    </w:p>
    <w:p w14:paraId="231E5C50" w14:textId="77777777" w:rsidR="006A7C40" w:rsidRPr="00107C19" w:rsidRDefault="006A7C40" w:rsidP="00695E0D">
      <w:pPr>
        <w:numPr>
          <w:ilvl w:val="0"/>
          <w:numId w:val="23"/>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A joint research effort between the federal government and a cooperator</w:t>
      </w:r>
    </w:p>
    <w:p w14:paraId="5EC8381C" w14:textId="77777777" w:rsidR="006A7C40" w:rsidRPr="00107C19" w:rsidRDefault="006A7C40" w:rsidP="00695E0D">
      <w:pPr>
        <w:numPr>
          <w:ilvl w:val="0"/>
          <w:numId w:val="23"/>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Often involves the development of a commercial product</w:t>
      </w:r>
    </w:p>
    <w:p w14:paraId="421D7C37" w14:textId="77777777" w:rsidR="006A7C40" w:rsidRPr="00107C19" w:rsidRDefault="006A7C40" w:rsidP="00695E0D">
      <w:pPr>
        <w:numPr>
          <w:ilvl w:val="0"/>
          <w:numId w:val="23"/>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A CRADA cooperator may include other federal agencies as long as one additional partner is not federal</w:t>
      </w:r>
    </w:p>
    <w:p w14:paraId="00330EFE" w14:textId="77777777" w:rsidR="006A7C40" w:rsidRPr="00107C19" w:rsidRDefault="006A7C40" w:rsidP="00695E0D">
      <w:pPr>
        <w:numPr>
          <w:ilvl w:val="0"/>
          <w:numId w:val="23"/>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Work protected under the Freedom of Information Act; cannot disclose cooperators</w:t>
      </w:r>
    </w:p>
    <w:p w14:paraId="41D2E4EA" w14:textId="77777777" w:rsidR="006A7C40" w:rsidRPr="00107C19" w:rsidRDefault="006A7C40" w:rsidP="00695E0D">
      <w:pPr>
        <w:numPr>
          <w:ilvl w:val="0"/>
          <w:numId w:val="23"/>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 xml:space="preserve">Provides an option for an exclusive license for any Forest Service owned or co-owned Intellectual Property </w:t>
      </w:r>
    </w:p>
    <w:p w14:paraId="1F0FB3F2" w14:textId="77777777" w:rsidR="00107C19" w:rsidRDefault="00107C19" w:rsidP="00A76755">
      <w:pPr>
        <w:keepNext/>
        <w:keepLines/>
        <w:spacing w:before="40" w:after="0" w:line="276" w:lineRule="auto"/>
        <w:outlineLvl w:val="3"/>
        <w:rPr>
          <w:rFonts w:ascii="Times New Roman" w:eastAsia="Times New Roman" w:hAnsi="Times New Roman"/>
          <w:bCs/>
          <w:iCs/>
          <w:color w:val="000000" w:themeColor="text1"/>
        </w:rPr>
      </w:pPr>
      <w:bookmarkStart w:id="616" w:name="_Toc152332933"/>
      <w:bookmarkStart w:id="617" w:name="_Toc152334725"/>
      <w:bookmarkStart w:id="618" w:name="_Toc152597613"/>
    </w:p>
    <w:p w14:paraId="52A4B927" w14:textId="65B6560A" w:rsidR="006A7C40" w:rsidRPr="00107C19" w:rsidRDefault="006A7C40" w:rsidP="00A76755">
      <w:pPr>
        <w:keepNext/>
        <w:keepLines/>
        <w:spacing w:before="40" w:after="0" w:line="276" w:lineRule="auto"/>
        <w:outlineLvl w:val="3"/>
        <w:rPr>
          <w:rFonts w:ascii="Times New Roman" w:eastAsia="Times New Roman" w:hAnsi="Times New Roman"/>
          <w:bCs/>
          <w:iCs/>
          <w:color w:val="000000" w:themeColor="text1"/>
        </w:rPr>
      </w:pPr>
      <w:bookmarkStart w:id="619" w:name="_Toc160186104"/>
      <w:r w:rsidRPr="00107C19">
        <w:rPr>
          <w:rFonts w:ascii="Times New Roman" w:eastAsia="Times New Roman" w:hAnsi="Times New Roman"/>
          <w:bCs/>
          <w:iCs/>
          <w:color w:val="000000" w:themeColor="text1"/>
        </w:rPr>
        <w:t>MTA CRADA:</w:t>
      </w:r>
      <w:bookmarkEnd w:id="616"/>
      <w:bookmarkEnd w:id="617"/>
      <w:bookmarkEnd w:id="618"/>
      <w:bookmarkEnd w:id="619"/>
    </w:p>
    <w:p w14:paraId="145FF4B9" w14:textId="77777777" w:rsidR="006A7C40" w:rsidRPr="00107C19" w:rsidRDefault="006A7C40" w:rsidP="00695E0D">
      <w:pPr>
        <w:numPr>
          <w:ilvl w:val="0"/>
          <w:numId w:val="24"/>
        </w:numPr>
        <w:spacing w:before="0" w:after="100" w:line="276" w:lineRule="auto"/>
        <w:contextualSpacing/>
        <w:rPr>
          <w:rFonts w:ascii="Times New Roman" w:hAnsi="Times New Roman" w:cs="Calibri"/>
          <w:i/>
          <w:iCs/>
          <w:color w:val="000000" w:themeColor="text1"/>
        </w:rPr>
      </w:pPr>
      <w:r w:rsidRPr="00107C19">
        <w:rPr>
          <w:rFonts w:ascii="Times New Roman" w:hAnsi="Times New Roman" w:cs="Calibri"/>
          <w:color w:val="000000" w:themeColor="text1"/>
        </w:rPr>
        <w:t>A Material Transfer Agreement with CRADA language</w:t>
      </w:r>
    </w:p>
    <w:p w14:paraId="403C11BB" w14:textId="77777777" w:rsidR="006A7C40" w:rsidRPr="00107C19" w:rsidRDefault="006A7C40" w:rsidP="00695E0D">
      <w:pPr>
        <w:numPr>
          <w:ilvl w:val="0"/>
          <w:numId w:val="24"/>
        </w:numPr>
        <w:spacing w:before="0" w:after="100" w:line="276" w:lineRule="auto"/>
        <w:contextualSpacing/>
        <w:rPr>
          <w:rFonts w:ascii="Times New Roman" w:hAnsi="Times New Roman" w:cs="Calibri"/>
          <w:i/>
          <w:iCs/>
          <w:color w:val="000000" w:themeColor="text1"/>
        </w:rPr>
      </w:pPr>
      <w:r w:rsidRPr="00107C19">
        <w:rPr>
          <w:rFonts w:ascii="Times New Roman" w:hAnsi="Times New Roman" w:cs="Calibri"/>
          <w:color w:val="000000" w:themeColor="text1"/>
        </w:rPr>
        <w:t xml:space="preserve">If an invention is created with this type of agreement, cooperators receive the option for an exclusive license </w:t>
      </w:r>
    </w:p>
    <w:p w14:paraId="5B81196F" w14:textId="77777777" w:rsidR="006A7C40" w:rsidRPr="00107C19" w:rsidRDefault="006A7C40" w:rsidP="00695E0D">
      <w:pPr>
        <w:numPr>
          <w:ilvl w:val="0"/>
          <w:numId w:val="24"/>
        </w:numPr>
        <w:spacing w:before="0" w:after="100" w:line="276" w:lineRule="auto"/>
        <w:contextualSpacing/>
        <w:rPr>
          <w:rFonts w:ascii="Times New Roman" w:hAnsi="Times New Roman" w:cs="Calibri"/>
          <w:i/>
          <w:iCs/>
          <w:color w:val="000000" w:themeColor="text1"/>
        </w:rPr>
      </w:pPr>
      <w:r w:rsidRPr="00107C19">
        <w:rPr>
          <w:rFonts w:ascii="Times New Roman" w:hAnsi="Times New Roman" w:cs="Calibri"/>
          <w:color w:val="000000" w:themeColor="text1"/>
        </w:rPr>
        <w:t>Freedom of Information Act protected</w:t>
      </w:r>
    </w:p>
    <w:p w14:paraId="4CB2FE54" w14:textId="77777777" w:rsidR="00107C19" w:rsidRDefault="00107C19" w:rsidP="00A76755">
      <w:pPr>
        <w:keepNext/>
        <w:keepLines/>
        <w:spacing w:before="40" w:after="0" w:line="276" w:lineRule="auto"/>
        <w:outlineLvl w:val="3"/>
        <w:rPr>
          <w:rFonts w:ascii="Times New Roman" w:eastAsia="Times New Roman" w:hAnsi="Times New Roman"/>
          <w:b/>
          <w:iCs/>
          <w:color w:val="000000" w:themeColor="text1"/>
        </w:rPr>
      </w:pPr>
      <w:bookmarkStart w:id="620" w:name="_Toc152332934"/>
      <w:bookmarkStart w:id="621" w:name="_Toc152334726"/>
      <w:bookmarkStart w:id="622" w:name="_Toc152597614"/>
    </w:p>
    <w:p w14:paraId="02B9A3C0" w14:textId="38771D7C" w:rsidR="006A7C40" w:rsidRPr="00107C19" w:rsidRDefault="006A7C40" w:rsidP="00A76755">
      <w:pPr>
        <w:keepNext/>
        <w:keepLines/>
        <w:spacing w:before="40" w:after="0" w:line="276" w:lineRule="auto"/>
        <w:outlineLvl w:val="3"/>
        <w:rPr>
          <w:rFonts w:ascii="Times New Roman" w:eastAsia="Times New Roman" w:hAnsi="Times New Roman"/>
          <w:bCs/>
          <w:iCs/>
          <w:color w:val="000000" w:themeColor="text1"/>
        </w:rPr>
      </w:pPr>
      <w:bookmarkStart w:id="623" w:name="_Toc160186105"/>
      <w:r w:rsidRPr="00107C19">
        <w:rPr>
          <w:rFonts w:ascii="Times New Roman" w:eastAsia="Times New Roman" w:hAnsi="Times New Roman"/>
          <w:bCs/>
          <w:iCs/>
          <w:color w:val="000000" w:themeColor="text1"/>
        </w:rPr>
        <w:t>Breeding Material Transfer Agreement (BMTA):</w:t>
      </w:r>
      <w:bookmarkEnd w:id="620"/>
      <w:bookmarkEnd w:id="621"/>
      <w:bookmarkEnd w:id="622"/>
      <w:bookmarkEnd w:id="623"/>
    </w:p>
    <w:p w14:paraId="26CBA9DC" w14:textId="77777777" w:rsidR="006A7C40" w:rsidRPr="00107C19" w:rsidRDefault="006A7C40" w:rsidP="00695E0D">
      <w:pPr>
        <w:numPr>
          <w:ilvl w:val="0"/>
          <w:numId w:val="24"/>
        </w:numPr>
        <w:spacing w:before="0" w:after="100" w:line="276" w:lineRule="auto"/>
        <w:contextualSpacing/>
        <w:rPr>
          <w:rFonts w:ascii="Times New Roman" w:hAnsi="Times New Roman"/>
          <w:color w:val="000000" w:themeColor="text1"/>
        </w:rPr>
      </w:pPr>
      <w:r w:rsidRPr="00107C19">
        <w:rPr>
          <w:rFonts w:ascii="Times New Roman" w:hAnsi="Times New Roman" w:cs="Calibri"/>
          <w:color w:val="000000" w:themeColor="text1"/>
        </w:rPr>
        <w:t>Involves the transfer of genetic material for growing, e.g., trees with resistance to different biological threats such as fungus, water molds, etc.</w:t>
      </w:r>
    </w:p>
    <w:p w14:paraId="1C6057B4" w14:textId="77777777" w:rsidR="00107C19" w:rsidRDefault="00107C19" w:rsidP="00A76755">
      <w:pPr>
        <w:keepNext/>
        <w:keepLines/>
        <w:spacing w:before="40" w:after="0" w:line="276" w:lineRule="auto"/>
        <w:outlineLvl w:val="3"/>
        <w:rPr>
          <w:rFonts w:ascii="Times New Roman" w:eastAsia="Times New Roman" w:hAnsi="Times New Roman"/>
          <w:b/>
          <w:iCs/>
          <w:color w:val="000000" w:themeColor="text1"/>
        </w:rPr>
      </w:pPr>
      <w:bookmarkStart w:id="624" w:name="_Toc152332935"/>
      <w:bookmarkStart w:id="625" w:name="_Toc152334727"/>
      <w:bookmarkStart w:id="626" w:name="_Toc152597615"/>
    </w:p>
    <w:p w14:paraId="6E401DBC" w14:textId="09D3C605" w:rsidR="006A7C40" w:rsidRPr="00107C19" w:rsidRDefault="006A7C40" w:rsidP="00A76755">
      <w:pPr>
        <w:keepNext/>
        <w:keepLines/>
        <w:spacing w:before="40" w:after="0" w:line="276" w:lineRule="auto"/>
        <w:outlineLvl w:val="3"/>
        <w:rPr>
          <w:rFonts w:ascii="Times New Roman" w:eastAsia="Times New Roman" w:hAnsi="Times New Roman"/>
          <w:bCs/>
          <w:iCs/>
          <w:color w:val="000000" w:themeColor="text1"/>
        </w:rPr>
      </w:pPr>
      <w:bookmarkStart w:id="627" w:name="_Toc160186106"/>
      <w:r w:rsidRPr="00107C19">
        <w:rPr>
          <w:rFonts w:ascii="Times New Roman" w:eastAsia="Times New Roman" w:hAnsi="Times New Roman"/>
          <w:bCs/>
          <w:iCs/>
          <w:color w:val="000000" w:themeColor="text1"/>
        </w:rPr>
        <w:t>Patents, Provisional and Non-Provisional:</w:t>
      </w:r>
      <w:bookmarkEnd w:id="624"/>
      <w:bookmarkEnd w:id="625"/>
      <w:bookmarkEnd w:id="626"/>
      <w:bookmarkEnd w:id="627"/>
    </w:p>
    <w:p w14:paraId="2CC1AAB6" w14:textId="77777777" w:rsidR="006A7C40" w:rsidRPr="00107C19" w:rsidRDefault="006A7C40" w:rsidP="006A7C40">
      <w:pPr>
        <w:spacing w:after="100"/>
        <w:contextualSpacing/>
        <w:rPr>
          <w:rFonts w:ascii="Times New Roman" w:hAnsi="Times New Roman" w:cs="Calibri"/>
          <w:color w:val="000000" w:themeColor="text1"/>
        </w:rPr>
      </w:pPr>
      <w:r w:rsidRPr="00107C19">
        <w:rPr>
          <w:rFonts w:ascii="Times New Roman" w:hAnsi="Times New Roman" w:cs="Calibri"/>
          <w:color w:val="000000" w:themeColor="text1"/>
        </w:rPr>
        <w:t>The Patent Program provides guidance to agency scientists on all aspects of intellectual property protection (trademark assistance, copyright issues, software questions, technology transfer ethics). Specifically, the program does the following:</w:t>
      </w:r>
    </w:p>
    <w:p w14:paraId="1CBED3DF" w14:textId="77777777" w:rsidR="006A7C40" w:rsidRPr="00107C19" w:rsidRDefault="006A7C40" w:rsidP="00695E0D">
      <w:pPr>
        <w:numPr>
          <w:ilvl w:val="0"/>
          <w:numId w:val="25"/>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Pairs inventing scientists with partners in the development of products and determines the best agreement type to be used (e.g. CRADA, MTA, etc.); process includes working with the USDA Small Business Innovation Research program.</w:t>
      </w:r>
    </w:p>
    <w:p w14:paraId="5FD2DDFD" w14:textId="77777777" w:rsidR="006A7C40" w:rsidRPr="00107C19" w:rsidRDefault="006A7C40" w:rsidP="00695E0D">
      <w:pPr>
        <w:numPr>
          <w:ilvl w:val="0"/>
          <w:numId w:val="25"/>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Reduces the technology-to-practice timeline by using the appropriate agreement.</w:t>
      </w:r>
    </w:p>
    <w:p w14:paraId="379B13CB" w14:textId="77777777" w:rsidR="006A7C40" w:rsidRPr="00107C19" w:rsidRDefault="006A7C40" w:rsidP="00695E0D">
      <w:pPr>
        <w:numPr>
          <w:ilvl w:val="0"/>
          <w:numId w:val="25"/>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 xml:space="preserve">Files provisional or non-provisional applications. </w:t>
      </w:r>
    </w:p>
    <w:p w14:paraId="53532744" w14:textId="77777777" w:rsidR="006A7C40" w:rsidRPr="00107C19" w:rsidRDefault="006A7C40" w:rsidP="00695E0D">
      <w:pPr>
        <w:numPr>
          <w:ilvl w:val="0"/>
          <w:numId w:val="25"/>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 xml:space="preserve">Negotiates and prepares licenses between Forest Service, universities, and industry. </w:t>
      </w:r>
    </w:p>
    <w:p w14:paraId="38163159" w14:textId="77777777" w:rsidR="006A7C40" w:rsidRPr="00107C19" w:rsidRDefault="006A7C40" w:rsidP="00695E0D">
      <w:pPr>
        <w:numPr>
          <w:ilvl w:val="0"/>
          <w:numId w:val="25"/>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Program manages pre-invention activities for researchers and guides them through the patent process, filing, and prosecution:</w:t>
      </w:r>
    </w:p>
    <w:p w14:paraId="466FEE69"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Helps researchers to determine the best Technology Transfer method (e.g. agreement type), patent type to use (both Provisional and Non-Provisional application), and publications relevant to their project</w:t>
      </w:r>
    </w:p>
    <w:p w14:paraId="4F1A0C22"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Performs patent and literature (prior art) searches</w:t>
      </w:r>
    </w:p>
    <w:p w14:paraId="355053F6"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Reviews all Forest Service invention disclosures—both solely and jointly owned</w:t>
      </w:r>
    </w:p>
    <w:p w14:paraId="65B1D583"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Prepares all documents needed for the application</w:t>
      </w:r>
    </w:p>
    <w:p w14:paraId="7258F7ED" w14:textId="77777777" w:rsidR="006A7C40" w:rsidRPr="00107C19" w:rsidRDefault="006A7C40" w:rsidP="00695E0D">
      <w:pPr>
        <w:numPr>
          <w:ilvl w:val="0"/>
          <w:numId w:val="25"/>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lastRenderedPageBreak/>
        <w:t>Prosecution activities:</w:t>
      </w:r>
    </w:p>
    <w:p w14:paraId="5A2C2A2B"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Guides Forest Service inventors through the patent process, filing and prosecution</w:t>
      </w:r>
    </w:p>
    <w:p w14:paraId="6B5AA330"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Serves as a liaison between Forest Service inventors, contract law firms and the U.S. Patent and Trademark Office</w:t>
      </w:r>
    </w:p>
    <w:p w14:paraId="0F33540A"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Works with contract law firms that draft utility patent applications, as well as the USDA Office of General Counsel to prepare, file and prosecute patent applications</w:t>
      </w:r>
    </w:p>
    <w:p w14:paraId="3F2BB0D1"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Verifies ownership and prepares declaration, application data sheet, information disclosure document and assignment documents</w:t>
      </w:r>
    </w:p>
    <w:p w14:paraId="0A2B09B6" w14:textId="77777777" w:rsidR="006A7C40" w:rsidRPr="00107C19" w:rsidRDefault="006A7C40" w:rsidP="00695E0D">
      <w:pPr>
        <w:numPr>
          <w:ilvl w:val="0"/>
          <w:numId w:val="25"/>
        </w:numPr>
        <w:spacing w:before="0" w:after="100" w:line="276" w:lineRule="auto"/>
        <w:contextualSpacing/>
        <w:rPr>
          <w:rFonts w:ascii="Times New Roman" w:hAnsi="Times New Roman" w:cs="Calibri"/>
          <w:color w:val="000000" w:themeColor="text1"/>
        </w:rPr>
      </w:pPr>
      <w:r w:rsidRPr="00107C19">
        <w:rPr>
          <w:rFonts w:ascii="Times New Roman" w:hAnsi="Times New Roman" w:cs="Calibri"/>
          <w:color w:val="000000" w:themeColor="text1"/>
        </w:rPr>
        <w:t>Licensing and Marketing activities:</w:t>
      </w:r>
    </w:p>
    <w:p w14:paraId="30203F0B"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Works with scientist to find appropriate partner/approach to transfer Forest Service patented technology for the benefit of the National Forest System</w:t>
      </w:r>
    </w:p>
    <w:p w14:paraId="601F5E1D"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Assists with Cooperative Research and Development Agreements and other Technology Transfer Agreements to further develop technologies</w:t>
      </w:r>
    </w:p>
    <w:p w14:paraId="2E6A6590" w14:textId="77777777" w:rsidR="006A7C40" w:rsidRPr="00107C19" w:rsidRDefault="006A7C40" w:rsidP="00695E0D">
      <w:pPr>
        <w:numPr>
          <w:ilvl w:val="1"/>
          <w:numId w:val="25"/>
        </w:numPr>
        <w:shd w:val="clear" w:color="auto" w:fill="FFFFFF"/>
        <w:spacing w:before="0" w:after="100" w:line="276" w:lineRule="auto"/>
        <w:contextualSpacing/>
        <w:rPr>
          <w:rFonts w:ascii="Times New Roman" w:eastAsia="Times New Roman" w:hAnsi="Times New Roman" w:cs="Calibri"/>
          <w:color w:val="000000" w:themeColor="text1"/>
        </w:rPr>
      </w:pPr>
      <w:r w:rsidRPr="00107C19">
        <w:rPr>
          <w:rFonts w:ascii="Times New Roman" w:eastAsia="Times New Roman" w:hAnsi="Times New Roman" w:cs="Calibri"/>
          <w:color w:val="000000" w:themeColor="text1"/>
        </w:rPr>
        <w:t>Negotiates and prepares licenses between Forest Service, universities, and/or industry</w:t>
      </w:r>
    </w:p>
    <w:p w14:paraId="42C715C9" w14:textId="77777777" w:rsidR="006A7C40" w:rsidRPr="00107C19" w:rsidRDefault="006A7C40" w:rsidP="006A7C40">
      <w:pPr>
        <w:shd w:val="clear" w:color="auto" w:fill="FFFFFF"/>
        <w:spacing w:after="100"/>
        <w:contextualSpacing/>
        <w:rPr>
          <w:rFonts w:ascii="Times New Roman" w:hAnsi="Times New Roman"/>
          <w:color w:val="000000" w:themeColor="text1"/>
        </w:rPr>
      </w:pPr>
    </w:p>
    <w:p w14:paraId="6A9B9D01" w14:textId="77777777" w:rsidR="006A7C40" w:rsidRPr="00107C19" w:rsidRDefault="006A7C40" w:rsidP="006A7C40">
      <w:pPr>
        <w:shd w:val="clear" w:color="auto" w:fill="FFFFFF"/>
        <w:spacing w:after="100"/>
        <w:contextualSpacing/>
        <w:rPr>
          <w:rFonts w:ascii="Times New Roman" w:eastAsia="Times New Roman" w:hAnsi="Times New Roman" w:cs="Calibri"/>
          <w:color w:val="000000" w:themeColor="text1"/>
        </w:rPr>
      </w:pPr>
      <w:r w:rsidRPr="00107C19">
        <w:rPr>
          <w:rFonts w:ascii="Times New Roman" w:hAnsi="Times New Roman"/>
          <w:color w:val="000000" w:themeColor="text1"/>
        </w:rPr>
        <w:t>Forest Service patent licenses are royalty-based only with the priority toward making the technology available to support the National Forest System.</w:t>
      </w:r>
    </w:p>
    <w:p w14:paraId="6EE31929" w14:textId="77777777" w:rsidR="006A7C40" w:rsidRPr="00107C19" w:rsidRDefault="006A7C40" w:rsidP="006A7C40">
      <w:pPr>
        <w:spacing w:after="100"/>
        <w:contextualSpacing/>
        <w:rPr>
          <w:rFonts w:ascii="Times New Roman" w:hAnsi="Times New Roman"/>
          <w:b/>
          <w:bCs/>
          <w:i/>
          <w:color w:val="000000" w:themeColor="text1"/>
        </w:rPr>
      </w:pPr>
    </w:p>
    <w:p w14:paraId="19492605" w14:textId="77777777" w:rsidR="006A7C40" w:rsidRPr="00107C19" w:rsidRDefault="006A7C40" w:rsidP="006A7C40">
      <w:pPr>
        <w:spacing w:after="100"/>
        <w:contextualSpacing/>
        <w:rPr>
          <w:rFonts w:ascii="Times New Roman" w:hAnsi="Times New Roman"/>
          <w:b/>
          <w:bCs/>
          <w:i/>
          <w:color w:val="000000" w:themeColor="text1"/>
        </w:rPr>
      </w:pPr>
      <w:r w:rsidRPr="00107C19">
        <w:rPr>
          <w:rFonts w:ascii="Times New Roman" w:hAnsi="Times New Roman"/>
          <w:b/>
          <w:bCs/>
          <w:i/>
          <w:color w:val="000000" w:themeColor="text1"/>
        </w:rPr>
        <w:t>The Forest Service patent program disseminates and supports scientific outcomes.</w:t>
      </w:r>
    </w:p>
    <w:p w14:paraId="2644457D" w14:textId="77777777" w:rsidR="006A7C40" w:rsidRPr="00107C19" w:rsidRDefault="006A7C40" w:rsidP="006A7C40">
      <w:pPr>
        <w:spacing w:after="100"/>
        <w:contextualSpacing/>
        <w:rPr>
          <w:rFonts w:ascii="Times New Roman" w:hAnsi="Times New Roman"/>
          <w:b/>
          <w:bCs/>
          <w:i/>
          <w:color w:val="000000" w:themeColor="text1"/>
        </w:rPr>
      </w:pPr>
    </w:p>
    <w:p w14:paraId="242AA4AD" w14:textId="77777777" w:rsidR="006A7C40" w:rsidRPr="00107C19" w:rsidRDefault="006A7C40" w:rsidP="00A76755">
      <w:pPr>
        <w:pStyle w:val="Heading2"/>
        <w:rPr>
          <w:rFonts w:ascii="Times New Roman" w:hAnsi="Times New Roman" w:cs="Times New Roman"/>
          <w:color w:val="000000" w:themeColor="text1"/>
        </w:rPr>
      </w:pPr>
      <w:bookmarkStart w:id="628" w:name="_Toc160186107"/>
      <w:r w:rsidRPr="00107C19">
        <w:rPr>
          <w:rFonts w:ascii="Times New Roman" w:hAnsi="Times New Roman" w:cs="Times New Roman"/>
          <w:color w:val="000000" w:themeColor="text1"/>
        </w:rPr>
        <w:t>Downstream outcomes that support the National Forest System:</w:t>
      </w:r>
      <w:bookmarkEnd w:id="628"/>
    </w:p>
    <w:p w14:paraId="12FC59A4" w14:textId="77777777" w:rsidR="006A7C40" w:rsidRPr="00107C19" w:rsidRDefault="006A7C40" w:rsidP="006A7C40">
      <w:pPr>
        <w:spacing w:after="100"/>
        <w:contextualSpacing/>
        <w:rPr>
          <w:rFonts w:ascii="Times New Roman" w:hAnsi="Times New Roman"/>
          <w:b/>
          <w:bCs/>
          <w:iCs/>
          <w:color w:val="000000" w:themeColor="text1"/>
        </w:rPr>
      </w:pPr>
    </w:p>
    <w:p w14:paraId="7607A56B" w14:textId="77777777" w:rsidR="006A7C40" w:rsidRPr="00107C19" w:rsidRDefault="006A7C40" w:rsidP="006A7C40">
      <w:pPr>
        <w:spacing w:before="0" w:after="200"/>
        <w:contextualSpacing/>
        <w:rPr>
          <w:rFonts w:ascii="Times New Roman" w:hAnsi="Times New Roman"/>
          <w:b/>
          <w:bCs/>
          <w:i/>
          <w:iCs/>
          <w:color w:val="000000" w:themeColor="text1"/>
          <w:szCs w:val="24"/>
          <w:u w:val="single"/>
        </w:rPr>
      </w:pPr>
      <w:r w:rsidRPr="00107C19">
        <w:rPr>
          <w:rFonts w:ascii="Times New Roman" w:hAnsi="Times New Roman"/>
          <w:b/>
          <w:bCs/>
          <w:i/>
          <w:iCs/>
          <w:color w:val="000000" w:themeColor="text1"/>
          <w:szCs w:val="24"/>
          <w:u w:val="single"/>
        </w:rPr>
        <w:t>CharBoss</w:t>
      </w:r>
    </w:p>
    <w:p w14:paraId="1E61E698" w14:textId="77777777" w:rsidR="006A7C40" w:rsidRPr="00107C19" w:rsidRDefault="006A7C40" w:rsidP="006A7C40">
      <w:pPr>
        <w:spacing w:before="0" w:after="200"/>
        <w:contextualSpacing/>
        <w:rPr>
          <w:rFonts w:ascii="Times New Roman" w:hAnsi="Times New Roman"/>
          <w:i/>
          <w:iCs/>
          <w:color w:val="000000" w:themeColor="text1"/>
          <w:szCs w:val="24"/>
          <w:u w:val="single"/>
        </w:rPr>
      </w:pPr>
    </w:p>
    <w:p w14:paraId="2CD81E46"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 xml:space="preserve">Forest harvest operations and the construction of wildfire control lines can create enormous amounts of unmerchantable material. These slash piles are often burned, but there are issues with generating smoke and particulate matter from such operations. Leaving the piles on the landscape isn’t generally desirable either due to the need to reduce fuels and fire risk, particularly in landscapes prone to wildfire. One solution is the recently designed and patented mobile charcoal/biochar machine, also known as an “Air Curtain Burner or “CharBoss.” Earlier versions of the CharBoss eliminated the slash piles, but they didn’t produce biochar, which is basically carbonized slash, a valuable material to add to soil. Supplementing degraded soils with biochar can aid in carbon sequestration, improve water holding capacity and soil structure, and reduce nutrient leaching.  </w:t>
      </w:r>
    </w:p>
    <w:p w14:paraId="7A0E4116" w14:textId="77777777" w:rsidR="006A7C40" w:rsidRPr="00107C19" w:rsidRDefault="006A7C40" w:rsidP="006A7C40">
      <w:pPr>
        <w:spacing w:before="0" w:after="200"/>
        <w:contextualSpacing/>
        <w:rPr>
          <w:rFonts w:ascii="Times New Roman" w:hAnsi="Times New Roman"/>
          <w:i/>
          <w:iCs/>
          <w:color w:val="000000" w:themeColor="text1"/>
          <w:szCs w:val="24"/>
          <w:u w:val="single"/>
        </w:rPr>
      </w:pPr>
    </w:p>
    <w:p w14:paraId="0FE3EB25" w14:textId="77777777" w:rsidR="006A7C40" w:rsidRPr="00107C19" w:rsidRDefault="006A7C40" w:rsidP="006A7C40">
      <w:pPr>
        <w:spacing w:before="0" w:after="200"/>
        <w:contextualSpacing/>
        <w:rPr>
          <w:rFonts w:ascii="Times New Roman" w:hAnsi="Times New Roman"/>
          <w:i/>
          <w:iCs/>
          <w:color w:val="000000" w:themeColor="text1"/>
          <w:szCs w:val="24"/>
        </w:rPr>
      </w:pPr>
      <w:r w:rsidRPr="00107C19">
        <w:rPr>
          <w:rFonts w:ascii="Times New Roman" w:hAnsi="Times New Roman"/>
          <w:i/>
          <w:iCs/>
          <w:color w:val="000000" w:themeColor="text1"/>
          <w:szCs w:val="24"/>
        </w:rPr>
        <w:t>How did Tech Transfer play a role?</w:t>
      </w:r>
    </w:p>
    <w:p w14:paraId="35C0B18D" w14:textId="77777777" w:rsidR="006A7C40" w:rsidRPr="00107C19" w:rsidRDefault="006A7C40" w:rsidP="006A7C40">
      <w:pPr>
        <w:spacing w:before="0" w:after="200"/>
        <w:contextualSpacing/>
        <w:rPr>
          <w:rFonts w:ascii="Times New Roman" w:hAnsi="Times New Roman"/>
          <w:i/>
          <w:iCs/>
          <w:color w:val="000000" w:themeColor="text1"/>
          <w:szCs w:val="24"/>
        </w:rPr>
      </w:pPr>
    </w:p>
    <w:p w14:paraId="3C683029"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 xml:space="preserve">First a patent was completed with the inventors of the CharBoss, James Archuleta and Deborah Page-Dumroese. Then a CRADA was formed to adapt this patented technology into burner technology and specifically to research, test, and build a prototype unit. </w:t>
      </w:r>
    </w:p>
    <w:p w14:paraId="040C68BE" w14:textId="77777777" w:rsidR="006A7C40" w:rsidRPr="00107C19" w:rsidRDefault="006A7C40" w:rsidP="006A7C40">
      <w:pPr>
        <w:spacing w:before="0" w:after="200"/>
        <w:contextualSpacing/>
        <w:rPr>
          <w:rFonts w:ascii="Times New Roman" w:hAnsi="Times New Roman"/>
          <w:i/>
          <w:iCs/>
          <w:color w:val="000000" w:themeColor="text1"/>
          <w:szCs w:val="24"/>
        </w:rPr>
      </w:pPr>
    </w:p>
    <w:p w14:paraId="6B1AFE50" w14:textId="77777777" w:rsidR="006A7C40" w:rsidRPr="00107C19" w:rsidRDefault="006A7C40" w:rsidP="006A7C40">
      <w:pPr>
        <w:spacing w:before="0" w:after="200"/>
        <w:contextualSpacing/>
        <w:rPr>
          <w:rFonts w:ascii="Times New Roman" w:hAnsi="Times New Roman"/>
          <w:i/>
          <w:iCs/>
          <w:color w:val="000000" w:themeColor="text1"/>
          <w:szCs w:val="24"/>
        </w:rPr>
      </w:pPr>
      <w:r w:rsidRPr="00107C19">
        <w:rPr>
          <w:rFonts w:ascii="Times New Roman" w:hAnsi="Times New Roman"/>
          <w:i/>
          <w:iCs/>
          <w:color w:val="000000" w:themeColor="text1"/>
          <w:szCs w:val="24"/>
        </w:rPr>
        <w:t>Who are the partners?</w:t>
      </w:r>
    </w:p>
    <w:p w14:paraId="059B333C" w14:textId="77777777" w:rsidR="006A7C40" w:rsidRPr="00107C19" w:rsidRDefault="006A7C40" w:rsidP="006A7C40">
      <w:pPr>
        <w:spacing w:before="0" w:after="200"/>
        <w:contextualSpacing/>
        <w:rPr>
          <w:rFonts w:ascii="Times New Roman" w:hAnsi="Times New Roman"/>
          <w:i/>
          <w:iCs/>
          <w:color w:val="000000" w:themeColor="text1"/>
          <w:szCs w:val="24"/>
        </w:rPr>
      </w:pPr>
    </w:p>
    <w:p w14:paraId="2E093521"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James Archuleta, Pacific Northwest Region Biomass and Wood Innovation Coordinator, and Deborah Page-Dumroese, Research Soil Scientist</w:t>
      </w:r>
    </w:p>
    <w:p w14:paraId="3247EC89"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AirBurners, Inc.</w:t>
      </w:r>
    </w:p>
    <w:p w14:paraId="0C4A0A6E"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USDA Rocky Mountain Research Station, Fort Collins, CO</w:t>
      </w:r>
    </w:p>
    <w:p w14:paraId="0F7EDC74"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 xml:space="preserve">USDA Forest Service, Pacific Northwest Region </w:t>
      </w:r>
    </w:p>
    <w:p w14:paraId="10DC145A" w14:textId="77777777" w:rsidR="006A7C40" w:rsidRPr="00107C19" w:rsidRDefault="006A7C40" w:rsidP="006A7C40">
      <w:pPr>
        <w:spacing w:before="0" w:after="200"/>
        <w:contextualSpacing/>
        <w:rPr>
          <w:rFonts w:ascii="Times New Roman" w:hAnsi="Times New Roman"/>
          <w:i/>
          <w:iCs/>
          <w:color w:val="000000" w:themeColor="text1"/>
          <w:szCs w:val="24"/>
        </w:rPr>
      </w:pPr>
    </w:p>
    <w:p w14:paraId="66057BBD" w14:textId="77777777" w:rsidR="006A7C40" w:rsidRPr="00107C19" w:rsidRDefault="006A7C40" w:rsidP="006A7C40">
      <w:pPr>
        <w:spacing w:before="0" w:after="200"/>
        <w:contextualSpacing/>
        <w:rPr>
          <w:rFonts w:ascii="Times New Roman" w:hAnsi="Times New Roman"/>
          <w:i/>
          <w:iCs/>
          <w:color w:val="000000" w:themeColor="text1"/>
          <w:szCs w:val="24"/>
        </w:rPr>
      </w:pPr>
      <w:r w:rsidRPr="00107C19">
        <w:rPr>
          <w:rFonts w:ascii="Times New Roman" w:hAnsi="Times New Roman"/>
          <w:i/>
          <w:iCs/>
          <w:color w:val="000000" w:themeColor="text1"/>
          <w:szCs w:val="24"/>
        </w:rPr>
        <w:t>For more information:</w:t>
      </w:r>
    </w:p>
    <w:p w14:paraId="7B68E097" w14:textId="77777777" w:rsidR="006A7C40" w:rsidRPr="00107C19" w:rsidRDefault="00B2178E" w:rsidP="006A7C40">
      <w:pPr>
        <w:spacing w:before="0" w:after="200"/>
        <w:contextualSpacing/>
        <w:rPr>
          <w:rFonts w:ascii="Times New Roman" w:hAnsi="Times New Roman"/>
          <w:color w:val="000000" w:themeColor="text1"/>
          <w:szCs w:val="24"/>
        </w:rPr>
      </w:pPr>
      <w:hyperlink r:id="rId46" w:history="1">
        <w:r w:rsidR="006A7C40" w:rsidRPr="00107C19">
          <w:rPr>
            <w:rFonts w:ascii="Times New Roman" w:hAnsi="Times New Roman"/>
            <w:color w:val="000000" w:themeColor="text1"/>
            <w:szCs w:val="24"/>
            <w:u w:val="single"/>
          </w:rPr>
          <w:t>https://www.fs.usda.gov/inside-fs/delivering-mission/apply/introducing-charboss-new-mobile-biochar-production-machine</w:t>
        </w:r>
      </w:hyperlink>
    </w:p>
    <w:p w14:paraId="017D0662" w14:textId="77777777" w:rsidR="006A7C40" w:rsidRPr="00107C19" w:rsidRDefault="006A7C40" w:rsidP="006A7C40">
      <w:pPr>
        <w:spacing w:before="0" w:after="200"/>
        <w:contextualSpacing/>
        <w:rPr>
          <w:rFonts w:ascii="Times New Roman" w:hAnsi="Times New Roman"/>
          <w:i/>
          <w:iCs/>
          <w:color w:val="000000" w:themeColor="text1"/>
          <w:szCs w:val="24"/>
        </w:rPr>
      </w:pPr>
    </w:p>
    <w:p w14:paraId="346A8517"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s="Calibri"/>
          <w:noProof/>
          <w:color w:val="000000" w:themeColor="text1"/>
        </w:rPr>
        <w:drawing>
          <wp:inline distT="0" distB="0" distL="0" distR="0" wp14:anchorId="33165685" wp14:editId="7B01F8D1">
            <wp:extent cx="4616477" cy="3076575"/>
            <wp:effectExtent l="0" t="0" r="0" b="0"/>
            <wp:docPr id="579010790" name="Picture 579010790" descr="Men using the The Charboss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en using the The Charboss machin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17632" cy="3077345"/>
                    </a:xfrm>
                    <a:prstGeom prst="rect">
                      <a:avLst/>
                    </a:prstGeom>
                  </pic:spPr>
                </pic:pic>
              </a:graphicData>
            </a:graphic>
          </wp:inline>
        </w:drawing>
      </w:r>
    </w:p>
    <w:p w14:paraId="758092A1" w14:textId="77777777" w:rsidR="006A7C40" w:rsidRPr="00107C19" w:rsidRDefault="006A7C40" w:rsidP="006A7C40">
      <w:pPr>
        <w:shd w:val="clear" w:color="auto" w:fill="FFFFFF"/>
        <w:spacing w:before="0" w:after="0" w:line="276" w:lineRule="auto"/>
        <w:rPr>
          <w:rFonts w:ascii="Times New Roman" w:hAnsi="Times New Roman"/>
          <w:color w:val="000000" w:themeColor="text1"/>
        </w:rPr>
      </w:pPr>
      <w:r w:rsidRPr="00107C19">
        <w:rPr>
          <w:rFonts w:ascii="Times New Roman" w:hAnsi="Times New Roman"/>
          <w:color w:val="000000" w:themeColor="text1"/>
          <w:bdr w:val="none" w:sz="0" w:space="0" w:color="auto" w:frame="1"/>
        </w:rPr>
        <w:t>The CharBoss transforms slash into biochar. Air Burners, Inc engineer Burke Powers manages the output of biochar in the back of the machine. USDA Forest Service photo by Timothy Nicosia.</w:t>
      </w:r>
    </w:p>
    <w:p w14:paraId="131CCCD0" w14:textId="77777777" w:rsidR="006A7C40" w:rsidRDefault="006A7C40" w:rsidP="006A7C40">
      <w:pPr>
        <w:spacing w:after="100"/>
        <w:contextualSpacing/>
        <w:rPr>
          <w:rFonts w:ascii="Times New Roman" w:hAnsi="Times New Roman"/>
          <w:iCs/>
          <w:color w:val="000000" w:themeColor="text1"/>
        </w:rPr>
      </w:pPr>
    </w:p>
    <w:p w14:paraId="75E8D973" w14:textId="77777777" w:rsidR="006A7C40" w:rsidRPr="00107C19" w:rsidRDefault="006A7C40" w:rsidP="006A7C40">
      <w:pPr>
        <w:spacing w:before="0" w:after="200"/>
        <w:contextualSpacing/>
        <w:rPr>
          <w:rFonts w:ascii="Times New Roman" w:hAnsi="Times New Roman"/>
          <w:b/>
          <w:bCs/>
          <w:i/>
          <w:iCs/>
          <w:color w:val="000000" w:themeColor="text1"/>
          <w:szCs w:val="24"/>
          <w:u w:val="single"/>
        </w:rPr>
      </w:pPr>
      <w:r w:rsidRPr="00107C19">
        <w:rPr>
          <w:rFonts w:ascii="Times New Roman" w:hAnsi="Times New Roman"/>
          <w:b/>
          <w:bCs/>
          <w:i/>
          <w:iCs/>
          <w:color w:val="000000" w:themeColor="text1"/>
          <w:szCs w:val="24"/>
          <w:u w:val="single"/>
        </w:rPr>
        <w:t>100 GPM Shallow Water Fish Strainer</w:t>
      </w:r>
    </w:p>
    <w:p w14:paraId="00EAF5EF" w14:textId="77777777" w:rsidR="006A7C40" w:rsidRPr="00107C19" w:rsidRDefault="006A7C40" w:rsidP="006A7C40">
      <w:pPr>
        <w:spacing w:before="0" w:after="200"/>
        <w:contextualSpacing/>
        <w:rPr>
          <w:rFonts w:ascii="Times New Roman" w:hAnsi="Times New Roman"/>
          <w:i/>
          <w:iCs/>
          <w:color w:val="000000" w:themeColor="text1"/>
          <w:szCs w:val="24"/>
          <w:u w:val="single"/>
        </w:rPr>
      </w:pPr>
    </w:p>
    <w:p w14:paraId="50E98DB1"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 xml:space="preserve">As drought becomes more common in the West, finding water to help control wildfires is often a challenge. Some ponds, lakes, and streams can be too shallow for drafting; they may also support federally listed fish species, as well as amphibians, that may become sucked into the hoses during pumping operations. Being able to utilize the water in support of fire suppression without harming wildlife species is the win-win with the 100 GPM Shallow Water Fish Strainer. This device includes an exterior mesh bag with 3/32-inch openings that will work with lightweight pumps in water sources as shallow as 8 inches. The shallow fish strainer is portable and collapsible, making it ideal for use in shallow conditions. </w:t>
      </w:r>
    </w:p>
    <w:p w14:paraId="2AED9E2A" w14:textId="77777777" w:rsidR="006A7C40" w:rsidRPr="00107C19" w:rsidRDefault="006A7C40" w:rsidP="006A7C40">
      <w:pPr>
        <w:spacing w:before="0" w:after="200"/>
        <w:contextualSpacing/>
        <w:rPr>
          <w:rFonts w:ascii="Times New Roman" w:hAnsi="Times New Roman"/>
          <w:i/>
          <w:iCs/>
          <w:color w:val="000000" w:themeColor="text1"/>
          <w:szCs w:val="24"/>
          <w:u w:val="single"/>
        </w:rPr>
      </w:pPr>
    </w:p>
    <w:p w14:paraId="78D96E8C" w14:textId="77777777" w:rsidR="006A7C40" w:rsidRPr="00107C19" w:rsidRDefault="006A7C40" w:rsidP="006A7C40">
      <w:pPr>
        <w:spacing w:before="0" w:after="200"/>
        <w:contextualSpacing/>
        <w:rPr>
          <w:rFonts w:ascii="Times New Roman" w:hAnsi="Times New Roman"/>
          <w:i/>
          <w:iCs/>
          <w:color w:val="000000" w:themeColor="text1"/>
          <w:szCs w:val="24"/>
        </w:rPr>
      </w:pPr>
      <w:r w:rsidRPr="00107C19">
        <w:rPr>
          <w:rFonts w:ascii="Times New Roman" w:hAnsi="Times New Roman"/>
          <w:i/>
          <w:iCs/>
          <w:color w:val="000000" w:themeColor="text1"/>
          <w:szCs w:val="24"/>
        </w:rPr>
        <w:t>How did Tech Transfer play a role?</w:t>
      </w:r>
    </w:p>
    <w:p w14:paraId="4872E107" w14:textId="77777777" w:rsidR="006A7C40" w:rsidRPr="00107C19" w:rsidRDefault="006A7C40" w:rsidP="006A7C40">
      <w:pPr>
        <w:spacing w:before="0" w:after="200"/>
        <w:contextualSpacing/>
        <w:rPr>
          <w:rFonts w:ascii="Times New Roman" w:hAnsi="Times New Roman"/>
          <w:i/>
          <w:iCs/>
          <w:color w:val="000000" w:themeColor="text1"/>
          <w:szCs w:val="24"/>
        </w:rPr>
      </w:pPr>
    </w:p>
    <w:p w14:paraId="7A2FA03B" w14:textId="77777777" w:rsidR="006A7C40" w:rsidRPr="00107C19" w:rsidRDefault="006A7C40" w:rsidP="006A7C40">
      <w:pPr>
        <w:spacing w:before="0" w:after="200" w:line="276" w:lineRule="auto"/>
        <w:rPr>
          <w:rFonts w:ascii="Times New Roman" w:hAnsi="Times New Roman"/>
          <w:color w:val="000000" w:themeColor="text1"/>
          <w:szCs w:val="24"/>
        </w:rPr>
      </w:pPr>
      <w:r w:rsidRPr="00107C19">
        <w:rPr>
          <w:rFonts w:ascii="Times New Roman" w:hAnsi="Times New Roman"/>
          <w:color w:val="000000" w:themeColor="text1"/>
          <w:szCs w:val="24"/>
        </w:rPr>
        <w:lastRenderedPageBreak/>
        <w:t>In 2019, the USDA Forest Service’s National Technology and Development Program entered into a CRADA with Zinvent, a company specializing in salmon-protection screens, to create designs that met all the unique needs of wildland firefighting, including shallow water usage and compatibility and standard connectivity to a draft hose. In May 2020, field tests began on a limited production of the 100 GPM fish strainer design. The CRADA and subsequent patent applications were critical to incentivizing the manufacturer to develop a product specific to the shallow water needs of wildland fire suppression. The CRADA provided shared intellectual property (IP) protection for the manufacturer and the Forest Service; the Forest Service filed a non-provisional patent on June 7, 2022.</w:t>
      </w:r>
    </w:p>
    <w:p w14:paraId="1022FDB5" w14:textId="77777777" w:rsidR="006A7C40" w:rsidRPr="00107C19" w:rsidRDefault="006A7C40" w:rsidP="006A7C40">
      <w:pPr>
        <w:spacing w:before="0" w:after="200"/>
        <w:contextualSpacing/>
        <w:rPr>
          <w:rFonts w:ascii="Times New Roman" w:hAnsi="Times New Roman"/>
          <w:i/>
          <w:iCs/>
          <w:color w:val="000000" w:themeColor="text1"/>
          <w:szCs w:val="24"/>
        </w:rPr>
      </w:pPr>
      <w:r w:rsidRPr="00107C19">
        <w:rPr>
          <w:rFonts w:ascii="Times New Roman" w:hAnsi="Times New Roman"/>
          <w:i/>
          <w:iCs/>
          <w:color w:val="000000" w:themeColor="text1"/>
          <w:szCs w:val="24"/>
        </w:rPr>
        <w:t>Who are the partners?</w:t>
      </w:r>
    </w:p>
    <w:p w14:paraId="296BCF6A" w14:textId="77777777" w:rsidR="006A7C40" w:rsidRPr="00107C19" w:rsidRDefault="006A7C40" w:rsidP="006A7C40">
      <w:pPr>
        <w:spacing w:before="0" w:after="200"/>
        <w:contextualSpacing/>
        <w:rPr>
          <w:rFonts w:ascii="Times New Roman" w:hAnsi="Times New Roman"/>
          <w:i/>
          <w:iCs/>
          <w:color w:val="000000" w:themeColor="text1"/>
          <w:szCs w:val="24"/>
          <w:u w:val="single"/>
        </w:rPr>
      </w:pPr>
    </w:p>
    <w:p w14:paraId="2800D400"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Zinvent</w:t>
      </w:r>
    </w:p>
    <w:p w14:paraId="42D1CA35"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USDA Forest Service National Technology and Development Program</w:t>
      </w:r>
    </w:p>
    <w:p w14:paraId="054734AA"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USDA Forest Service Regions 1 (Lolo National Forest), 5 (Klamath and Angeles National</w:t>
      </w:r>
    </w:p>
    <w:p w14:paraId="17BC1655" w14:textId="77777777" w:rsidR="006A7C40" w:rsidRPr="00107C19" w:rsidRDefault="006A7C40" w:rsidP="006A7C40">
      <w:pPr>
        <w:spacing w:before="0" w:after="200"/>
        <w:ind w:firstLine="720"/>
        <w:contextualSpacing/>
        <w:rPr>
          <w:rFonts w:ascii="Times New Roman" w:hAnsi="Times New Roman"/>
          <w:color w:val="000000" w:themeColor="text1"/>
          <w:szCs w:val="24"/>
        </w:rPr>
      </w:pPr>
      <w:r w:rsidRPr="00107C19">
        <w:rPr>
          <w:rFonts w:ascii="Times New Roman" w:hAnsi="Times New Roman"/>
          <w:color w:val="000000" w:themeColor="text1"/>
          <w:szCs w:val="24"/>
        </w:rPr>
        <w:t>Forests), 6 (Mt. Hood National Forest), 8 (Kisatchie National Forest), and 10 (Alaska</w:t>
      </w:r>
    </w:p>
    <w:p w14:paraId="25B173AD" w14:textId="77777777" w:rsidR="006A7C40" w:rsidRPr="00107C19" w:rsidRDefault="006A7C40" w:rsidP="006A7C40">
      <w:pPr>
        <w:spacing w:before="0" w:after="200"/>
        <w:ind w:firstLine="720"/>
        <w:contextualSpacing/>
        <w:rPr>
          <w:rFonts w:ascii="Times New Roman" w:hAnsi="Times New Roman"/>
          <w:color w:val="000000" w:themeColor="text1"/>
          <w:szCs w:val="24"/>
        </w:rPr>
      </w:pPr>
      <w:r w:rsidRPr="00107C19">
        <w:rPr>
          <w:rFonts w:ascii="Times New Roman" w:hAnsi="Times New Roman"/>
          <w:color w:val="000000" w:themeColor="text1"/>
          <w:szCs w:val="24"/>
        </w:rPr>
        <w:t>Fire Cache, National Interagency Supply Cache)</w:t>
      </w:r>
    </w:p>
    <w:p w14:paraId="23AF818D"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olor w:val="000000" w:themeColor="text1"/>
          <w:szCs w:val="24"/>
        </w:rPr>
        <w:t>National Oceanic and Atmospheric Administration (NOAA)</w:t>
      </w:r>
    </w:p>
    <w:p w14:paraId="1F09BF90" w14:textId="77777777" w:rsidR="006A7C40" w:rsidRPr="00107C19" w:rsidRDefault="006A7C40" w:rsidP="006A7C40">
      <w:pPr>
        <w:spacing w:before="0" w:after="200"/>
        <w:contextualSpacing/>
        <w:rPr>
          <w:rFonts w:ascii="Times New Roman" w:hAnsi="Times New Roman"/>
          <w:i/>
          <w:iCs/>
          <w:color w:val="000000" w:themeColor="text1"/>
          <w:szCs w:val="24"/>
          <w:u w:val="single"/>
        </w:rPr>
      </w:pPr>
    </w:p>
    <w:p w14:paraId="5406B9C6" w14:textId="77777777" w:rsidR="006A7C40" w:rsidRPr="00107C19" w:rsidRDefault="006A7C40" w:rsidP="006A7C40">
      <w:pPr>
        <w:spacing w:before="0" w:after="200"/>
        <w:contextualSpacing/>
        <w:rPr>
          <w:rFonts w:ascii="Times New Roman" w:hAnsi="Times New Roman"/>
          <w:i/>
          <w:iCs/>
          <w:color w:val="000000" w:themeColor="text1"/>
          <w:szCs w:val="24"/>
        </w:rPr>
      </w:pPr>
      <w:r w:rsidRPr="00107C19">
        <w:rPr>
          <w:rFonts w:ascii="Times New Roman" w:hAnsi="Times New Roman"/>
          <w:i/>
          <w:iCs/>
          <w:color w:val="000000" w:themeColor="text1"/>
          <w:szCs w:val="24"/>
        </w:rPr>
        <w:t>For more information:</w:t>
      </w:r>
    </w:p>
    <w:p w14:paraId="2111BF31" w14:textId="77777777" w:rsidR="006A7C40" w:rsidRPr="00107C19" w:rsidRDefault="006A7C40" w:rsidP="006A7C40">
      <w:pPr>
        <w:spacing w:before="0" w:after="200"/>
        <w:contextualSpacing/>
        <w:rPr>
          <w:rFonts w:ascii="Times New Roman" w:hAnsi="Times New Roman"/>
          <w:i/>
          <w:iCs/>
          <w:color w:val="000000" w:themeColor="text1"/>
          <w:szCs w:val="24"/>
          <w:u w:val="single"/>
        </w:rPr>
      </w:pPr>
    </w:p>
    <w:p w14:paraId="40E0819C" w14:textId="77777777" w:rsidR="006A7C40" w:rsidRPr="00107C19" w:rsidRDefault="00B2178E" w:rsidP="006A7C40">
      <w:pPr>
        <w:spacing w:before="0" w:after="200"/>
        <w:contextualSpacing/>
        <w:rPr>
          <w:rFonts w:ascii="Times New Roman" w:hAnsi="Times New Roman"/>
          <w:color w:val="000000" w:themeColor="text1"/>
          <w:szCs w:val="24"/>
        </w:rPr>
      </w:pPr>
      <w:hyperlink r:id="rId48" w:history="1">
        <w:r w:rsidR="006A7C40" w:rsidRPr="00107C19">
          <w:rPr>
            <w:rFonts w:ascii="Times New Roman" w:hAnsi="Times New Roman"/>
            <w:color w:val="000000" w:themeColor="text1"/>
            <w:szCs w:val="24"/>
            <w:u w:val="single"/>
          </w:rPr>
          <w:t>https://www.fs.usda.gov/inside-fs/delivering-mission/apply/national-technology-and-development-program-fighting-fire-and</w:t>
        </w:r>
      </w:hyperlink>
      <w:r w:rsidR="006A7C40" w:rsidRPr="00107C19">
        <w:rPr>
          <w:rFonts w:ascii="Times New Roman" w:hAnsi="Times New Roman"/>
          <w:color w:val="000000" w:themeColor="text1"/>
          <w:szCs w:val="24"/>
        </w:rPr>
        <w:t xml:space="preserve"> </w:t>
      </w:r>
    </w:p>
    <w:p w14:paraId="7FD90A18" w14:textId="77777777" w:rsidR="006A7C40" w:rsidRPr="00107C19" w:rsidRDefault="006A7C40" w:rsidP="006A7C40">
      <w:pPr>
        <w:spacing w:before="0" w:after="200"/>
        <w:contextualSpacing/>
        <w:rPr>
          <w:rFonts w:ascii="Times New Roman" w:hAnsi="Times New Roman"/>
          <w:color w:val="000000" w:themeColor="text1"/>
          <w:szCs w:val="24"/>
        </w:rPr>
      </w:pPr>
      <w:r w:rsidRPr="00107C19">
        <w:rPr>
          <w:rFonts w:ascii="Times New Roman" w:hAnsi="Times New Roman" w:cs="Calibri"/>
          <w:noProof/>
          <w:color w:val="000000" w:themeColor="text1"/>
        </w:rPr>
        <w:lastRenderedPageBreak/>
        <w:drawing>
          <wp:inline distT="0" distB="0" distL="0" distR="0" wp14:anchorId="15B3553A" wp14:editId="1BD949BF">
            <wp:extent cx="5943600" cy="4417060"/>
            <wp:effectExtent l="0" t="0" r="0" b="2540"/>
            <wp:docPr id="1625908587" name="Picture 1625908587" descr="Use of a screen preventing fish from being sucked into firefighter’s p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Use of a screen preventing fish from being sucked into firefighter’s pumps"/>
                    <pic:cNvPicPr/>
                  </pic:nvPicPr>
                  <pic:blipFill>
                    <a:blip r:embed="rId49">
                      <a:extLst>
                        <a:ext uri="{28A0092B-C50C-407E-A947-70E740481C1C}">
                          <a14:useLocalDpi xmlns:a14="http://schemas.microsoft.com/office/drawing/2010/main" val="0"/>
                        </a:ext>
                      </a:extLst>
                    </a:blip>
                    <a:stretch>
                      <a:fillRect/>
                    </a:stretch>
                  </pic:blipFill>
                  <pic:spPr>
                    <a:xfrm>
                      <a:off x="0" y="0"/>
                      <a:ext cx="5943600" cy="4417060"/>
                    </a:xfrm>
                    <a:prstGeom prst="rect">
                      <a:avLst/>
                    </a:prstGeom>
                  </pic:spPr>
                </pic:pic>
              </a:graphicData>
            </a:graphic>
          </wp:inline>
        </w:drawing>
      </w:r>
    </w:p>
    <w:p w14:paraId="44654569" w14:textId="77777777" w:rsidR="006A7C40" w:rsidRPr="00107C19" w:rsidRDefault="006A7C40" w:rsidP="006A7C40">
      <w:pPr>
        <w:spacing w:before="100" w:beforeAutospacing="1" w:after="100" w:afterAutospacing="1" w:line="276" w:lineRule="auto"/>
        <w:rPr>
          <w:rFonts w:ascii="Times New Roman" w:hAnsi="Times New Roman"/>
          <w:color w:val="000000" w:themeColor="text1"/>
          <w:shd w:val="clear" w:color="auto" w:fill="FFFFFF"/>
        </w:rPr>
      </w:pPr>
      <w:r w:rsidRPr="00107C19">
        <w:rPr>
          <w:rFonts w:ascii="Times New Roman" w:hAnsi="Times New Roman"/>
          <w:color w:val="000000" w:themeColor="text1"/>
          <w:shd w:val="clear" w:color="auto" w:fill="FFFFFF"/>
        </w:rPr>
        <w:t>Forest Service scientists and developers worked across the agency and with private partners to create a screen preventing fish from being sucked into firefighter’s pumps. USDA Forest Service photo by Manny Perez.</w:t>
      </w:r>
    </w:p>
    <w:p w14:paraId="7C24AF5F" w14:textId="77777777" w:rsidR="006A7C40" w:rsidRPr="00107C19" w:rsidRDefault="006A7C40" w:rsidP="006A7C40">
      <w:pPr>
        <w:spacing w:before="0" w:after="200" w:line="276" w:lineRule="auto"/>
        <w:rPr>
          <w:rFonts w:ascii="Times New Roman" w:hAnsi="Times New Roman"/>
          <w:color w:val="000000" w:themeColor="text1"/>
        </w:rPr>
      </w:pPr>
      <w:r w:rsidRPr="00107C19">
        <w:rPr>
          <w:rFonts w:ascii="Times New Roman" w:hAnsi="Times New Roman"/>
          <w:noProof/>
          <w:color w:val="000000" w:themeColor="text1"/>
        </w:rPr>
        <w:lastRenderedPageBreak/>
        <w:drawing>
          <wp:inline distT="0" distB="0" distL="0" distR="0" wp14:anchorId="79EED649" wp14:editId="5A9FADAC">
            <wp:extent cx="5511800" cy="3917950"/>
            <wp:effectExtent l="0" t="0" r="0" b="6350"/>
            <wp:docPr id="151486823" name="Picture 151486823" descr="A fish strainer with a ba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6823" name="Picture 151486823" descr="A fish strainer with a bag&#10;&#1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511800" cy="3917950"/>
                    </a:xfrm>
                    <a:prstGeom prst="rect">
                      <a:avLst/>
                    </a:prstGeom>
                  </pic:spPr>
                </pic:pic>
              </a:graphicData>
            </a:graphic>
          </wp:inline>
        </w:drawing>
      </w:r>
    </w:p>
    <w:p w14:paraId="2668D4BC" w14:textId="77777777" w:rsidR="006A7C40" w:rsidRPr="00107C19" w:rsidRDefault="006A7C40" w:rsidP="006A7C40">
      <w:pPr>
        <w:spacing w:before="0" w:after="200"/>
        <w:contextualSpacing/>
        <w:rPr>
          <w:rFonts w:ascii="Times New Roman" w:hAnsi="Times New Roman" w:cs="Calibri"/>
          <w:color w:val="000000" w:themeColor="text1"/>
          <w:szCs w:val="24"/>
        </w:rPr>
      </w:pPr>
      <w:r w:rsidRPr="00107C19">
        <w:rPr>
          <w:rFonts w:ascii="Times New Roman" w:hAnsi="Times New Roman" w:cs="Calibri"/>
          <w:color w:val="000000" w:themeColor="text1"/>
          <w:szCs w:val="24"/>
        </w:rPr>
        <w:t>From the National Wildfire Coordinating Group, “High Pressure Portable Pump Instructions.” “READs” mentioned above refer to Resource Advisors, who will be able to advise on local circumstances for using the fish strainer.</w:t>
      </w:r>
    </w:p>
    <w:p w14:paraId="1EB608A4" w14:textId="77777777" w:rsidR="006A7C40" w:rsidRPr="00107C19" w:rsidRDefault="006A7C40" w:rsidP="006A7C40">
      <w:pPr>
        <w:spacing w:before="0" w:after="200" w:line="276" w:lineRule="auto"/>
        <w:rPr>
          <w:rFonts w:ascii="Times New Roman" w:hAnsi="Times New Roman"/>
          <w:color w:val="000000" w:themeColor="text1"/>
        </w:rPr>
      </w:pPr>
    </w:p>
    <w:p w14:paraId="487634F9" w14:textId="77777777" w:rsidR="006A7C40" w:rsidRPr="00107C19" w:rsidRDefault="006A7C40" w:rsidP="006A7C40">
      <w:pPr>
        <w:spacing w:before="0" w:after="200" w:line="276" w:lineRule="auto"/>
        <w:rPr>
          <w:rFonts w:ascii="Times New Roman" w:hAnsi="Times New Roman"/>
          <w:color w:val="000000" w:themeColor="text1"/>
        </w:rPr>
      </w:pPr>
    </w:p>
    <w:p w14:paraId="79DB138A" w14:textId="77777777" w:rsidR="006A7C40" w:rsidRPr="00107C19" w:rsidRDefault="006A7C40" w:rsidP="006A7C40">
      <w:pPr>
        <w:spacing w:before="0" w:after="200" w:line="276" w:lineRule="auto"/>
        <w:rPr>
          <w:rFonts w:ascii="Times New Roman" w:hAnsi="Times New Roman"/>
          <w:color w:val="000000" w:themeColor="text1"/>
        </w:rPr>
      </w:pPr>
    </w:p>
    <w:p w14:paraId="6489823A" w14:textId="77777777" w:rsidR="006A7C40" w:rsidRPr="00107C19" w:rsidRDefault="006A7C40" w:rsidP="006A7C40">
      <w:pPr>
        <w:spacing w:before="0" w:after="200" w:line="276" w:lineRule="auto"/>
        <w:rPr>
          <w:rFonts w:ascii="Times New Roman" w:hAnsi="Times New Roman"/>
          <w:color w:val="000000" w:themeColor="text1"/>
        </w:rPr>
      </w:pPr>
    </w:p>
    <w:p w14:paraId="0A55D6E5" w14:textId="77777777" w:rsidR="006A7C40" w:rsidRPr="00107C19" w:rsidRDefault="006A7C40" w:rsidP="006A7C40">
      <w:pPr>
        <w:spacing w:before="0" w:after="200" w:line="276" w:lineRule="auto"/>
        <w:rPr>
          <w:rFonts w:ascii="Times New Roman" w:hAnsi="Times New Roman"/>
          <w:color w:val="000000" w:themeColor="text1"/>
        </w:rPr>
      </w:pPr>
    </w:p>
    <w:p w14:paraId="1A21D148" w14:textId="77777777" w:rsidR="006A7C40" w:rsidRPr="00107C19" w:rsidRDefault="006A7C40" w:rsidP="006A7C40">
      <w:pPr>
        <w:spacing w:before="0" w:after="200" w:line="276" w:lineRule="auto"/>
        <w:rPr>
          <w:rFonts w:ascii="Times New Roman" w:hAnsi="Times New Roman"/>
          <w:color w:val="000000" w:themeColor="text1"/>
        </w:rPr>
      </w:pPr>
    </w:p>
    <w:p w14:paraId="1E667294" w14:textId="77777777" w:rsidR="006A7C40" w:rsidRPr="00107C19" w:rsidRDefault="006A7C40" w:rsidP="006A7C40">
      <w:pPr>
        <w:spacing w:before="0" w:after="200" w:line="276" w:lineRule="auto"/>
        <w:rPr>
          <w:rFonts w:ascii="Times New Roman" w:hAnsi="Times New Roman"/>
          <w:color w:val="000000" w:themeColor="text1"/>
        </w:rPr>
      </w:pPr>
    </w:p>
    <w:p w14:paraId="5B464CD0" w14:textId="77777777" w:rsidR="006A7C40" w:rsidRPr="00107C19" w:rsidRDefault="006A7C40" w:rsidP="006A7C40">
      <w:pPr>
        <w:spacing w:before="0" w:after="200" w:line="276" w:lineRule="auto"/>
        <w:rPr>
          <w:rFonts w:ascii="Times New Roman" w:hAnsi="Times New Roman"/>
          <w:color w:val="000000" w:themeColor="text1"/>
        </w:rPr>
      </w:pPr>
    </w:p>
    <w:p w14:paraId="32FDB87B" w14:textId="77777777" w:rsidR="006A7C40" w:rsidRPr="00107C19" w:rsidRDefault="006A7C40" w:rsidP="006A7C40">
      <w:pPr>
        <w:spacing w:before="0" w:after="200" w:line="276" w:lineRule="auto"/>
        <w:rPr>
          <w:rFonts w:ascii="Times New Roman" w:hAnsi="Times New Roman"/>
          <w:color w:val="000000" w:themeColor="text1"/>
        </w:rPr>
      </w:pPr>
    </w:p>
    <w:p w14:paraId="4A9B1642" w14:textId="77777777" w:rsidR="006A7C40" w:rsidRPr="00107C19" w:rsidRDefault="006A7C40" w:rsidP="006A7C40">
      <w:pPr>
        <w:spacing w:before="0" w:after="200" w:line="276" w:lineRule="auto"/>
        <w:rPr>
          <w:rFonts w:ascii="Times New Roman" w:hAnsi="Times New Roman"/>
          <w:color w:val="000000" w:themeColor="text1"/>
        </w:rPr>
      </w:pPr>
    </w:p>
    <w:p w14:paraId="3AB1B812" w14:textId="77777777" w:rsidR="006A7C40" w:rsidRPr="00107C19" w:rsidRDefault="006A7C40" w:rsidP="006A7C40">
      <w:pPr>
        <w:spacing w:before="0" w:after="200" w:line="276" w:lineRule="auto"/>
        <w:rPr>
          <w:rFonts w:ascii="Times New Roman" w:hAnsi="Times New Roman"/>
          <w:color w:val="000000" w:themeColor="text1"/>
        </w:rPr>
      </w:pPr>
    </w:p>
    <w:p w14:paraId="4EEF5910" w14:textId="77777777" w:rsidR="006A7C40" w:rsidRPr="00107C19" w:rsidRDefault="006A7C40" w:rsidP="0078080F">
      <w:pPr>
        <w:pStyle w:val="Heading2"/>
        <w:rPr>
          <w:rFonts w:ascii="Times New Roman" w:hAnsi="Times New Roman" w:cs="Times New Roman"/>
          <w:color w:val="000000" w:themeColor="text1"/>
        </w:rPr>
      </w:pPr>
      <w:bookmarkStart w:id="629" w:name="_Toc152597656"/>
      <w:bookmarkStart w:id="630" w:name="_Toc160186108"/>
      <w:r w:rsidRPr="00107C19">
        <w:rPr>
          <w:rFonts w:ascii="Times New Roman" w:hAnsi="Times New Roman" w:cs="Times New Roman"/>
          <w:color w:val="000000" w:themeColor="text1"/>
        </w:rPr>
        <w:t>Appendix A: Data tables</w:t>
      </w:r>
      <w:bookmarkEnd w:id="629"/>
      <w:bookmarkEnd w:id="630"/>
    </w:p>
    <w:p w14:paraId="4F38A270" w14:textId="77777777" w:rsidR="006A7C40" w:rsidRPr="00107C19" w:rsidRDefault="006A7C40" w:rsidP="006A7C40">
      <w:pPr>
        <w:spacing w:before="0" w:after="0"/>
        <w:ind w:left="216" w:hanging="216"/>
        <w:contextualSpacing/>
        <w:rPr>
          <w:rFonts w:ascii="Times New Roman" w:hAnsi="Times New Roman"/>
          <w:color w:val="000000" w:themeColor="text1"/>
          <w:szCs w:val="24"/>
        </w:rPr>
      </w:pPr>
      <w:bookmarkStart w:id="631" w:name="_Toc152597657"/>
      <w:r w:rsidRPr="00107C19">
        <w:rPr>
          <w:rFonts w:ascii="Times New Roman" w:eastAsia="Times New Roman" w:hAnsi="Times New Roman"/>
          <w:color w:val="000000" w:themeColor="text1"/>
          <w:szCs w:val="24"/>
        </w:rPr>
        <w:t>TABLE 1. Collaborative Relationships for Research and Development</w:t>
      </w:r>
      <w:bookmarkEnd w:id="631"/>
    </w:p>
    <w:tbl>
      <w:tblPr>
        <w:tblStyle w:val="LightGrid-Accent129"/>
        <w:tblW w:w="0" w:type="auto"/>
        <w:tblLook w:val="04A0" w:firstRow="1" w:lastRow="0" w:firstColumn="1" w:lastColumn="0" w:noHBand="0" w:noVBand="1"/>
      </w:tblPr>
      <w:tblGrid>
        <w:gridCol w:w="1710"/>
        <w:gridCol w:w="1526"/>
        <w:gridCol w:w="1526"/>
        <w:gridCol w:w="1526"/>
        <w:gridCol w:w="1526"/>
        <w:gridCol w:w="1526"/>
      </w:tblGrid>
      <w:tr w:rsidR="00107C19" w:rsidRPr="00107C19" w14:paraId="553831F5" w14:textId="77777777" w:rsidTr="0090728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710" w:type="dxa"/>
          </w:tcPr>
          <w:p w14:paraId="4ABC848B" w14:textId="77777777" w:rsidR="006A7C40" w:rsidRPr="00107C19" w:rsidRDefault="006A7C40" w:rsidP="006A7C40">
            <w:pPr>
              <w:spacing w:before="0" w:after="200" w:line="276" w:lineRule="auto"/>
              <w:contextualSpacing/>
              <w:rPr>
                <w:rFonts w:eastAsia="Times New Roman"/>
                <w:color w:val="000000" w:themeColor="text1"/>
              </w:rPr>
            </w:pPr>
          </w:p>
        </w:tc>
        <w:tc>
          <w:tcPr>
            <w:tcW w:w="1526" w:type="dxa"/>
          </w:tcPr>
          <w:p w14:paraId="3D35AAE1"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FY2019</w:t>
            </w:r>
          </w:p>
        </w:tc>
        <w:tc>
          <w:tcPr>
            <w:tcW w:w="1526" w:type="dxa"/>
          </w:tcPr>
          <w:p w14:paraId="4EE9402C"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FY2020</w:t>
            </w:r>
          </w:p>
        </w:tc>
        <w:tc>
          <w:tcPr>
            <w:tcW w:w="1526" w:type="dxa"/>
          </w:tcPr>
          <w:p w14:paraId="654FA7EE"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FY2021</w:t>
            </w:r>
          </w:p>
        </w:tc>
        <w:tc>
          <w:tcPr>
            <w:tcW w:w="1526" w:type="dxa"/>
          </w:tcPr>
          <w:p w14:paraId="3BEA4E65"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FY2022</w:t>
            </w:r>
          </w:p>
        </w:tc>
        <w:tc>
          <w:tcPr>
            <w:tcW w:w="1526" w:type="dxa"/>
          </w:tcPr>
          <w:p w14:paraId="26CE58FA"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FY2023</w:t>
            </w:r>
          </w:p>
        </w:tc>
      </w:tr>
      <w:tr w:rsidR="00107C19" w:rsidRPr="00107C19" w14:paraId="43EC9E92" w14:textId="77777777" w:rsidTr="006A7C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10" w:type="dxa"/>
          </w:tcPr>
          <w:p w14:paraId="67E15440"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Total number active CRADAs</w:t>
            </w:r>
          </w:p>
        </w:tc>
        <w:tc>
          <w:tcPr>
            <w:tcW w:w="1526" w:type="dxa"/>
          </w:tcPr>
          <w:p w14:paraId="4A6A09B2"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r w:rsidRPr="00107C19">
              <w:rPr>
                <w:color w:val="000000" w:themeColor="text1"/>
                <w:szCs w:val="20"/>
                <w:vertAlign w:val="superscript"/>
              </w:rPr>
              <w:footnoteReference w:id="1"/>
            </w:r>
          </w:p>
        </w:tc>
        <w:tc>
          <w:tcPr>
            <w:tcW w:w="1526" w:type="dxa"/>
          </w:tcPr>
          <w:p w14:paraId="6102C176"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p>
        </w:tc>
        <w:tc>
          <w:tcPr>
            <w:tcW w:w="1526" w:type="dxa"/>
          </w:tcPr>
          <w:p w14:paraId="41C4B6D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p>
        </w:tc>
        <w:tc>
          <w:tcPr>
            <w:tcW w:w="1526" w:type="dxa"/>
          </w:tcPr>
          <w:p w14:paraId="32A824D0"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p>
        </w:tc>
        <w:tc>
          <w:tcPr>
            <w:tcW w:w="1526" w:type="dxa"/>
          </w:tcPr>
          <w:p w14:paraId="779901F2"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p>
        </w:tc>
      </w:tr>
      <w:tr w:rsidR="00107C19" w:rsidRPr="00107C19" w14:paraId="52144F81" w14:textId="77777777" w:rsidTr="0090728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10" w:type="dxa"/>
          </w:tcPr>
          <w:p w14:paraId="678C120A"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 xml:space="preserve">Number newly executed CRADAs </w:t>
            </w:r>
          </w:p>
        </w:tc>
        <w:tc>
          <w:tcPr>
            <w:tcW w:w="1526" w:type="dxa"/>
          </w:tcPr>
          <w:p w14:paraId="039D0305"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szCs w:val="20"/>
              </w:rPr>
              <w:t>ND</w:t>
            </w:r>
          </w:p>
        </w:tc>
        <w:tc>
          <w:tcPr>
            <w:tcW w:w="1526" w:type="dxa"/>
          </w:tcPr>
          <w:p w14:paraId="3989942F"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szCs w:val="20"/>
              </w:rPr>
              <w:t>ND</w:t>
            </w:r>
          </w:p>
        </w:tc>
        <w:tc>
          <w:tcPr>
            <w:tcW w:w="1526" w:type="dxa"/>
          </w:tcPr>
          <w:p w14:paraId="6E069FD8"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szCs w:val="20"/>
              </w:rPr>
              <w:t>ND</w:t>
            </w:r>
          </w:p>
        </w:tc>
        <w:tc>
          <w:tcPr>
            <w:tcW w:w="1526" w:type="dxa"/>
          </w:tcPr>
          <w:p w14:paraId="0F2F1A55"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9</w:t>
            </w:r>
          </w:p>
        </w:tc>
        <w:tc>
          <w:tcPr>
            <w:tcW w:w="1526" w:type="dxa"/>
          </w:tcPr>
          <w:p w14:paraId="1D11E1E8"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5</w:t>
            </w:r>
          </w:p>
        </w:tc>
      </w:tr>
      <w:tr w:rsidR="00107C19" w:rsidRPr="00107C19" w14:paraId="7EFE339A" w14:textId="77777777" w:rsidTr="006A7C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10" w:type="dxa"/>
          </w:tcPr>
          <w:p w14:paraId="703AF9FA"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t>MTA Agreements</w:t>
            </w:r>
          </w:p>
        </w:tc>
        <w:tc>
          <w:tcPr>
            <w:tcW w:w="1526" w:type="dxa"/>
          </w:tcPr>
          <w:p w14:paraId="2194DE2A"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107C19">
              <w:rPr>
                <w:color w:val="000000" w:themeColor="text1"/>
                <w:szCs w:val="20"/>
              </w:rPr>
              <w:t>ND</w:t>
            </w:r>
          </w:p>
        </w:tc>
        <w:tc>
          <w:tcPr>
            <w:tcW w:w="1526" w:type="dxa"/>
          </w:tcPr>
          <w:p w14:paraId="671BABE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107C19">
              <w:rPr>
                <w:color w:val="000000" w:themeColor="text1"/>
                <w:szCs w:val="20"/>
              </w:rPr>
              <w:t>ND</w:t>
            </w:r>
          </w:p>
        </w:tc>
        <w:tc>
          <w:tcPr>
            <w:tcW w:w="1526" w:type="dxa"/>
          </w:tcPr>
          <w:p w14:paraId="2B9F858E"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107C19">
              <w:rPr>
                <w:color w:val="000000" w:themeColor="text1"/>
                <w:szCs w:val="20"/>
              </w:rPr>
              <w:t>ND</w:t>
            </w:r>
          </w:p>
        </w:tc>
        <w:tc>
          <w:tcPr>
            <w:tcW w:w="1526" w:type="dxa"/>
          </w:tcPr>
          <w:p w14:paraId="21D365F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107C19">
              <w:rPr>
                <w:color w:val="000000" w:themeColor="text1"/>
                <w:szCs w:val="20"/>
              </w:rPr>
              <w:t>40</w:t>
            </w:r>
          </w:p>
        </w:tc>
        <w:tc>
          <w:tcPr>
            <w:tcW w:w="1526" w:type="dxa"/>
          </w:tcPr>
          <w:p w14:paraId="45FC66B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107C19">
              <w:rPr>
                <w:color w:val="000000" w:themeColor="text1"/>
                <w:szCs w:val="20"/>
              </w:rPr>
              <w:t>25</w:t>
            </w:r>
          </w:p>
        </w:tc>
      </w:tr>
      <w:tr w:rsidR="00107C19" w:rsidRPr="00107C19" w14:paraId="733085F1"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790E9E11"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t>All other JVs, IAs, CRs, &amp;CAs  Agreements</w:t>
            </w:r>
          </w:p>
        </w:tc>
        <w:tc>
          <w:tcPr>
            <w:tcW w:w="1526" w:type="dxa"/>
          </w:tcPr>
          <w:p w14:paraId="40D2ED95"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ND</w:t>
            </w:r>
          </w:p>
        </w:tc>
        <w:tc>
          <w:tcPr>
            <w:tcW w:w="1526" w:type="dxa"/>
          </w:tcPr>
          <w:p w14:paraId="76F14D42"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ND</w:t>
            </w:r>
          </w:p>
        </w:tc>
        <w:tc>
          <w:tcPr>
            <w:tcW w:w="1526" w:type="dxa"/>
          </w:tcPr>
          <w:p w14:paraId="222DDEE8"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ND</w:t>
            </w:r>
          </w:p>
        </w:tc>
        <w:tc>
          <w:tcPr>
            <w:tcW w:w="1526" w:type="dxa"/>
          </w:tcPr>
          <w:p w14:paraId="54CD1C8F"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ND</w:t>
            </w:r>
          </w:p>
        </w:tc>
        <w:tc>
          <w:tcPr>
            <w:tcW w:w="1526" w:type="dxa"/>
          </w:tcPr>
          <w:p w14:paraId="5BCD6F37"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1210</w:t>
            </w:r>
          </w:p>
        </w:tc>
      </w:tr>
    </w:tbl>
    <w:p w14:paraId="24E187B2" w14:textId="77777777" w:rsidR="0078080F" w:rsidRPr="00107C19" w:rsidRDefault="0078080F" w:rsidP="0078080F">
      <w:pPr>
        <w:keepNext/>
        <w:keepLines/>
        <w:spacing w:before="0" w:after="0" w:line="276" w:lineRule="auto"/>
        <w:contextualSpacing/>
        <w:outlineLvl w:val="1"/>
        <w:rPr>
          <w:rFonts w:ascii="Calibri Light" w:eastAsia="Times New Roman" w:hAnsi="Calibri Light"/>
          <w:b/>
          <w:bCs/>
          <w:color w:val="000000" w:themeColor="text1"/>
          <w:sz w:val="36"/>
          <w:szCs w:val="26"/>
        </w:rPr>
      </w:pPr>
      <w:bookmarkStart w:id="632" w:name="_Toc152597658"/>
    </w:p>
    <w:p w14:paraId="41F5322D" w14:textId="6C2364DE" w:rsidR="006A7C40" w:rsidRPr="00107C19" w:rsidRDefault="006A7C40" w:rsidP="0078080F">
      <w:pPr>
        <w:keepNext/>
        <w:keepLines/>
        <w:spacing w:before="0" w:after="0" w:line="276" w:lineRule="auto"/>
        <w:contextualSpacing/>
        <w:outlineLvl w:val="1"/>
        <w:rPr>
          <w:rFonts w:ascii="Times New Roman" w:eastAsia="Times New Roman" w:hAnsi="Times New Roman"/>
          <w:color w:val="000000" w:themeColor="text1"/>
          <w:szCs w:val="24"/>
        </w:rPr>
      </w:pPr>
      <w:bookmarkStart w:id="633" w:name="_Toc160186109"/>
      <w:r w:rsidRPr="00107C19">
        <w:rPr>
          <w:rFonts w:ascii="Times New Roman" w:eastAsia="Times New Roman" w:hAnsi="Times New Roman"/>
          <w:color w:val="000000" w:themeColor="text1"/>
          <w:szCs w:val="24"/>
        </w:rPr>
        <w:t>TABLE 2. Invention Disclosure and Patenting</w:t>
      </w:r>
      <w:bookmarkEnd w:id="632"/>
      <w:bookmarkEnd w:id="633"/>
    </w:p>
    <w:tbl>
      <w:tblPr>
        <w:tblStyle w:val="LightGrid-Accent129"/>
        <w:tblW w:w="0" w:type="auto"/>
        <w:tblLook w:val="04A0" w:firstRow="1" w:lastRow="0" w:firstColumn="1" w:lastColumn="0" w:noHBand="0" w:noVBand="1"/>
      </w:tblPr>
      <w:tblGrid>
        <w:gridCol w:w="2179"/>
        <w:gridCol w:w="1031"/>
        <w:gridCol w:w="1393"/>
        <w:gridCol w:w="1393"/>
        <w:gridCol w:w="1276"/>
        <w:gridCol w:w="1394"/>
        <w:gridCol w:w="1394"/>
      </w:tblGrid>
      <w:tr w:rsidR="00107C19" w:rsidRPr="00107C19" w14:paraId="617178E2" w14:textId="77777777" w:rsidTr="007808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9" w:type="dxa"/>
          </w:tcPr>
          <w:p w14:paraId="7692CB1A" w14:textId="77777777" w:rsidR="0078080F" w:rsidRPr="00107C19" w:rsidRDefault="0078080F" w:rsidP="006A7C40">
            <w:pPr>
              <w:spacing w:before="0" w:after="200" w:line="276" w:lineRule="auto"/>
              <w:contextualSpacing/>
              <w:rPr>
                <w:rFonts w:eastAsia="Times New Roman"/>
                <w:color w:val="000000" w:themeColor="text1"/>
              </w:rPr>
            </w:pPr>
          </w:p>
        </w:tc>
        <w:tc>
          <w:tcPr>
            <w:tcW w:w="1031" w:type="dxa"/>
          </w:tcPr>
          <w:p w14:paraId="78868DB7" w14:textId="77777777" w:rsidR="0078080F" w:rsidRPr="00107C19" w:rsidRDefault="0078080F"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FY2019</w:t>
            </w:r>
          </w:p>
        </w:tc>
        <w:tc>
          <w:tcPr>
            <w:tcW w:w="1393" w:type="dxa"/>
          </w:tcPr>
          <w:p w14:paraId="5CF7ADA0" w14:textId="77777777" w:rsidR="0078080F" w:rsidRPr="00107C19" w:rsidRDefault="0078080F"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FY2020</w:t>
            </w:r>
          </w:p>
        </w:tc>
        <w:tc>
          <w:tcPr>
            <w:tcW w:w="1393" w:type="dxa"/>
          </w:tcPr>
          <w:p w14:paraId="24CCAE9D" w14:textId="77777777" w:rsidR="0078080F" w:rsidRPr="00107C19" w:rsidRDefault="0078080F"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FY2021</w:t>
            </w:r>
          </w:p>
        </w:tc>
        <w:tc>
          <w:tcPr>
            <w:tcW w:w="1276" w:type="dxa"/>
          </w:tcPr>
          <w:p w14:paraId="5A9149D6" w14:textId="77777777" w:rsidR="0078080F" w:rsidRPr="00107C19" w:rsidRDefault="0078080F"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p>
        </w:tc>
        <w:tc>
          <w:tcPr>
            <w:tcW w:w="1394" w:type="dxa"/>
          </w:tcPr>
          <w:p w14:paraId="5B538E8E" w14:textId="53C57E76" w:rsidR="0078080F" w:rsidRPr="00107C19" w:rsidRDefault="0078080F"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FY2022</w:t>
            </w:r>
          </w:p>
        </w:tc>
        <w:tc>
          <w:tcPr>
            <w:tcW w:w="1394" w:type="dxa"/>
          </w:tcPr>
          <w:p w14:paraId="2F90CF67" w14:textId="77777777" w:rsidR="0078080F" w:rsidRPr="00107C19" w:rsidRDefault="0078080F"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FY2023</w:t>
            </w:r>
          </w:p>
        </w:tc>
      </w:tr>
      <w:tr w:rsidR="00107C19" w:rsidRPr="00107C19" w14:paraId="5ED65747" w14:textId="77777777" w:rsidTr="00780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9" w:type="dxa"/>
          </w:tcPr>
          <w:p w14:paraId="59376778" w14:textId="77777777" w:rsidR="0078080F" w:rsidRPr="00107C19" w:rsidRDefault="0078080F" w:rsidP="006A7C40">
            <w:pPr>
              <w:spacing w:before="0" w:after="200" w:line="276" w:lineRule="auto"/>
              <w:contextualSpacing/>
              <w:rPr>
                <w:rFonts w:eastAsia="Times New Roman"/>
                <w:color w:val="000000" w:themeColor="text1"/>
              </w:rPr>
            </w:pPr>
            <w:r w:rsidRPr="00107C19">
              <w:rPr>
                <w:rFonts w:eastAsia="Times New Roman"/>
                <w:color w:val="000000" w:themeColor="text1"/>
              </w:rPr>
              <w:t>Total number new invention disclosures</w:t>
            </w:r>
          </w:p>
        </w:tc>
        <w:tc>
          <w:tcPr>
            <w:tcW w:w="1031" w:type="dxa"/>
          </w:tcPr>
          <w:p w14:paraId="3D89399D"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9</w:t>
            </w:r>
          </w:p>
        </w:tc>
        <w:tc>
          <w:tcPr>
            <w:tcW w:w="1393" w:type="dxa"/>
          </w:tcPr>
          <w:p w14:paraId="54741FC4"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12</w:t>
            </w:r>
          </w:p>
        </w:tc>
        <w:tc>
          <w:tcPr>
            <w:tcW w:w="1393" w:type="dxa"/>
          </w:tcPr>
          <w:p w14:paraId="05F372FB"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13</w:t>
            </w:r>
          </w:p>
        </w:tc>
        <w:tc>
          <w:tcPr>
            <w:tcW w:w="1276" w:type="dxa"/>
          </w:tcPr>
          <w:p w14:paraId="7B311717"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394" w:type="dxa"/>
          </w:tcPr>
          <w:p w14:paraId="678EB350" w14:textId="12CA6FD6"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10</w:t>
            </w:r>
          </w:p>
        </w:tc>
        <w:tc>
          <w:tcPr>
            <w:tcW w:w="1394" w:type="dxa"/>
          </w:tcPr>
          <w:p w14:paraId="688203BD"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11</w:t>
            </w:r>
          </w:p>
        </w:tc>
      </w:tr>
      <w:tr w:rsidR="00107C19" w:rsidRPr="00107C19" w14:paraId="68828A9A" w14:textId="77777777" w:rsidTr="007808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9" w:type="dxa"/>
          </w:tcPr>
          <w:p w14:paraId="5FDF3507" w14:textId="77777777" w:rsidR="0078080F" w:rsidRPr="00107C19" w:rsidRDefault="0078080F"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t xml:space="preserve">University co-owned </w:t>
            </w:r>
          </w:p>
        </w:tc>
        <w:tc>
          <w:tcPr>
            <w:tcW w:w="1031" w:type="dxa"/>
          </w:tcPr>
          <w:p w14:paraId="11023F83"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2</w:t>
            </w:r>
          </w:p>
        </w:tc>
        <w:tc>
          <w:tcPr>
            <w:tcW w:w="1393" w:type="dxa"/>
          </w:tcPr>
          <w:p w14:paraId="1E4B42A2"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5</w:t>
            </w:r>
          </w:p>
        </w:tc>
        <w:tc>
          <w:tcPr>
            <w:tcW w:w="1393" w:type="dxa"/>
          </w:tcPr>
          <w:p w14:paraId="4848039D"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2</w:t>
            </w:r>
          </w:p>
        </w:tc>
        <w:tc>
          <w:tcPr>
            <w:tcW w:w="1276" w:type="dxa"/>
          </w:tcPr>
          <w:p w14:paraId="01E9B490"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p>
        </w:tc>
        <w:tc>
          <w:tcPr>
            <w:tcW w:w="1394" w:type="dxa"/>
          </w:tcPr>
          <w:p w14:paraId="0DBF71CF" w14:textId="254FCFF5"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3</w:t>
            </w:r>
          </w:p>
        </w:tc>
        <w:tc>
          <w:tcPr>
            <w:tcW w:w="1394" w:type="dxa"/>
          </w:tcPr>
          <w:p w14:paraId="047DC887"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2</w:t>
            </w:r>
          </w:p>
        </w:tc>
      </w:tr>
      <w:tr w:rsidR="00107C19" w:rsidRPr="00107C19" w14:paraId="371ED948" w14:textId="77777777" w:rsidTr="00780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9" w:type="dxa"/>
          </w:tcPr>
          <w:p w14:paraId="730C328C" w14:textId="77777777" w:rsidR="0078080F" w:rsidRPr="00107C19" w:rsidRDefault="0078080F" w:rsidP="006A7C40">
            <w:pPr>
              <w:spacing w:before="0" w:after="200" w:line="276" w:lineRule="auto"/>
              <w:contextualSpacing/>
              <w:rPr>
                <w:rFonts w:eastAsia="Times New Roman"/>
                <w:color w:val="000000" w:themeColor="text1"/>
              </w:rPr>
            </w:pPr>
            <w:r w:rsidRPr="00107C19">
              <w:rPr>
                <w:rFonts w:eastAsia="Times New Roman"/>
                <w:color w:val="000000" w:themeColor="text1"/>
              </w:rPr>
              <w:t>Total number patent applications filed</w:t>
            </w:r>
            <w:r w:rsidRPr="00107C19">
              <w:rPr>
                <w:rFonts w:eastAsia="Times New Roman"/>
                <w:color w:val="000000" w:themeColor="text1"/>
                <w:szCs w:val="20"/>
                <w:vertAlign w:val="superscript"/>
              </w:rPr>
              <w:footnoteReference w:id="2"/>
            </w:r>
          </w:p>
        </w:tc>
        <w:tc>
          <w:tcPr>
            <w:tcW w:w="1031" w:type="dxa"/>
          </w:tcPr>
          <w:p w14:paraId="35FC27AF"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7</w:t>
            </w:r>
          </w:p>
        </w:tc>
        <w:tc>
          <w:tcPr>
            <w:tcW w:w="1393" w:type="dxa"/>
          </w:tcPr>
          <w:p w14:paraId="258B441C"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10</w:t>
            </w:r>
          </w:p>
        </w:tc>
        <w:tc>
          <w:tcPr>
            <w:tcW w:w="1393" w:type="dxa"/>
          </w:tcPr>
          <w:p w14:paraId="6AC0B059"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12</w:t>
            </w:r>
          </w:p>
        </w:tc>
        <w:tc>
          <w:tcPr>
            <w:tcW w:w="1276" w:type="dxa"/>
          </w:tcPr>
          <w:p w14:paraId="620167C6"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394" w:type="dxa"/>
          </w:tcPr>
          <w:p w14:paraId="7D3A3FCA" w14:textId="7DC0A185"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7</w:t>
            </w:r>
          </w:p>
        </w:tc>
        <w:tc>
          <w:tcPr>
            <w:tcW w:w="1394" w:type="dxa"/>
          </w:tcPr>
          <w:p w14:paraId="3EAE1315"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9</w:t>
            </w:r>
          </w:p>
        </w:tc>
      </w:tr>
      <w:tr w:rsidR="00107C19" w:rsidRPr="00107C19" w14:paraId="41D13ADC" w14:textId="77777777" w:rsidTr="007808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9" w:type="dxa"/>
          </w:tcPr>
          <w:p w14:paraId="35827207" w14:textId="77777777" w:rsidR="0078080F" w:rsidRPr="00107C19" w:rsidRDefault="0078080F"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lastRenderedPageBreak/>
              <w:t xml:space="preserve">University co-owned </w:t>
            </w:r>
          </w:p>
        </w:tc>
        <w:tc>
          <w:tcPr>
            <w:tcW w:w="1031" w:type="dxa"/>
          </w:tcPr>
          <w:p w14:paraId="685D4C55"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0</w:t>
            </w:r>
          </w:p>
        </w:tc>
        <w:tc>
          <w:tcPr>
            <w:tcW w:w="1393" w:type="dxa"/>
          </w:tcPr>
          <w:p w14:paraId="5E465841"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1</w:t>
            </w:r>
          </w:p>
        </w:tc>
        <w:tc>
          <w:tcPr>
            <w:tcW w:w="1393" w:type="dxa"/>
          </w:tcPr>
          <w:p w14:paraId="4BB4ADB9"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5</w:t>
            </w:r>
          </w:p>
        </w:tc>
        <w:tc>
          <w:tcPr>
            <w:tcW w:w="1276" w:type="dxa"/>
          </w:tcPr>
          <w:p w14:paraId="203FF311"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p>
        </w:tc>
        <w:tc>
          <w:tcPr>
            <w:tcW w:w="1394" w:type="dxa"/>
          </w:tcPr>
          <w:p w14:paraId="6D797290" w14:textId="6AF6FC75"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6</w:t>
            </w:r>
          </w:p>
        </w:tc>
        <w:tc>
          <w:tcPr>
            <w:tcW w:w="1394" w:type="dxa"/>
          </w:tcPr>
          <w:p w14:paraId="672CEEC7"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2</w:t>
            </w:r>
          </w:p>
        </w:tc>
      </w:tr>
      <w:tr w:rsidR="00107C19" w:rsidRPr="00107C19" w14:paraId="7D1BCAB5" w14:textId="77777777" w:rsidTr="00780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9" w:type="dxa"/>
          </w:tcPr>
          <w:p w14:paraId="12CBD959" w14:textId="77777777" w:rsidR="0078080F" w:rsidRPr="00107C19" w:rsidRDefault="0078080F" w:rsidP="006A7C40">
            <w:pPr>
              <w:spacing w:before="0" w:after="200" w:line="276" w:lineRule="auto"/>
              <w:contextualSpacing/>
              <w:rPr>
                <w:rFonts w:eastAsia="Times New Roman"/>
                <w:color w:val="000000" w:themeColor="text1"/>
              </w:rPr>
            </w:pPr>
            <w:r w:rsidRPr="00107C19">
              <w:rPr>
                <w:rFonts w:eastAsia="Times New Roman"/>
                <w:color w:val="000000" w:themeColor="text1"/>
              </w:rPr>
              <w:t>Total number patents issued</w:t>
            </w:r>
          </w:p>
        </w:tc>
        <w:tc>
          <w:tcPr>
            <w:tcW w:w="1031" w:type="dxa"/>
          </w:tcPr>
          <w:p w14:paraId="315DF37D"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5</w:t>
            </w:r>
          </w:p>
        </w:tc>
        <w:tc>
          <w:tcPr>
            <w:tcW w:w="1393" w:type="dxa"/>
          </w:tcPr>
          <w:p w14:paraId="7C52D92C"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3</w:t>
            </w:r>
          </w:p>
        </w:tc>
        <w:tc>
          <w:tcPr>
            <w:tcW w:w="1393" w:type="dxa"/>
          </w:tcPr>
          <w:p w14:paraId="11627A3A"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4</w:t>
            </w:r>
          </w:p>
        </w:tc>
        <w:tc>
          <w:tcPr>
            <w:tcW w:w="1276" w:type="dxa"/>
          </w:tcPr>
          <w:p w14:paraId="09FF76D3"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394" w:type="dxa"/>
          </w:tcPr>
          <w:p w14:paraId="09F7C5AF" w14:textId="505C8FA4"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4</w:t>
            </w:r>
          </w:p>
        </w:tc>
        <w:tc>
          <w:tcPr>
            <w:tcW w:w="1394" w:type="dxa"/>
          </w:tcPr>
          <w:p w14:paraId="01679069" w14:textId="77777777" w:rsidR="0078080F" w:rsidRPr="00107C19" w:rsidRDefault="0078080F"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4</w:t>
            </w:r>
          </w:p>
        </w:tc>
      </w:tr>
      <w:tr w:rsidR="00107C19" w:rsidRPr="00107C19" w14:paraId="666D2EA8" w14:textId="77777777" w:rsidTr="007808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9" w:type="dxa"/>
          </w:tcPr>
          <w:p w14:paraId="2E3C754C" w14:textId="77777777" w:rsidR="0078080F" w:rsidRPr="00107C19" w:rsidRDefault="0078080F"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t xml:space="preserve">University co-owned </w:t>
            </w:r>
          </w:p>
        </w:tc>
        <w:tc>
          <w:tcPr>
            <w:tcW w:w="1031" w:type="dxa"/>
          </w:tcPr>
          <w:p w14:paraId="606CA712"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4</w:t>
            </w:r>
          </w:p>
        </w:tc>
        <w:tc>
          <w:tcPr>
            <w:tcW w:w="1393" w:type="dxa"/>
          </w:tcPr>
          <w:p w14:paraId="43523BCD"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0</w:t>
            </w:r>
          </w:p>
        </w:tc>
        <w:tc>
          <w:tcPr>
            <w:tcW w:w="1393" w:type="dxa"/>
          </w:tcPr>
          <w:p w14:paraId="44CCEE48"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0</w:t>
            </w:r>
          </w:p>
        </w:tc>
        <w:tc>
          <w:tcPr>
            <w:tcW w:w="1276" w:type="dxa"/>
          </w:tcPr>
          <w:p w14:paraId="0C98ED33"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p>
        </w:tc>
        <w:tc>
          <w:tcPr>
            <w:tcW w:w="1394" w:type="dxa"/>
          </w:tcPr>
          <w:p w14:paraId="04DE0C96" w14:textId="287E33E0"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1</w:t>
            </w:r>
          </w:p>
        </w:tc>
        <w:tc>
          <w:tcPr>
            <w:tcW w:w="1394" w:type="dxa"/>
          </w:tcPr>
          <w:p w14:paraId="55959475" w14:textId="77777777" w:rsidR="0078080F" w:rsidRPr="00107C19" w:rsidRDefault="0078080F"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szCs w:val="20"/>
              </w:rPr>
            </w:pPr>
            <w:r w:rsidRPr="00107C19">
              <w:rPr>
                <w:color w:val="000000" w:themeColor="text1"/>
                <w:szCs w:val="20"/>
              </w:rPr>
              <w:t>0</w:t>
            </w:r>
          </w:p>
        </w:tc>
      </w:tr>
    </w:tbl>
    <w:p w14:paraId="5E84B62E" w14:textId="77777777" w:rsidR="00107C19" w:rsidRDefault="00107C19" w:rsidP="0078080F">
      <w:pPr>
        <w:keepNext/>
        <w:keepLines/>
        <w:spacing w:before="0" w:after="0" w:line="276" w:lineRule="auto"/>
        <w:contextualSpacing/>
        <w:outlineLvl w:val="1"/>
        <w:rPr>
          <w:rFonts w:ascii="Times New Roman" w:eastAsia="Times New Roman" w:hAnsi="Times New Roman"/>
          <w:color w:val="000000" w:themeColor="text1"/>
          <w:szCs w:val="24"/>
        </w:rPr>
      </w:pPr>
    </w:p>
    <w:p w14:paraId="05A3E14A" w14:textId="6C74F916" w:rsidR="006A7C40" w:rsidRPr="00107C19" w:rsidRDefault="006A7C40" w:rsidP="0078080F">
      <w:pPr>
        <w:keepNext/>
        <w:keepLines/>
        <w:spacing w:before="0" w:after="0" w:line="276" w:lineRule="auto"/>
        <w:contextualSpacing/>
        <w:outlineLvl w:val="1"/>
        <w:rPr>
          <w:rFonts w:ascii="Times New Roman" w:eastAsia="Times New Roman" w:hAnsi="Times New Roman"/>
          <w:color w:val="000000" w:themeColor="text1"/>
          <w:szCs w:val="24"/>
        </w:rPr>
      </w:pPr>
      <w:bookmarkStart w:id="634" w:name="_Toc160186110"/>
      <w:r w:rsidRPr="00107C19">
        <w:rPr>
          <w:rFonts w:ascii="Times New Roman" w:eastAsia="Times New Roman" w:hAnsi="Times New Roman"/>
          <w:color w:val="000000" w:themeColor="text1"/>
          <w:szCs w:val="24"/>
        </w:rPr>
        <w:t>TABLE 3. Profile of Active Licenses</w:t>
      </w:r>
      <w:bookmarkEnd w:id="634"/>
    </w:p>
    <w:tbl>
      <w:tblPr>
        <w:tblStyle w:val="LightGrid-Accent129"/>
        <w:tblW w:w="0" w:type="auto"/>
        <w:tblLook w:val="04A0" w:firstRow="1" w:lastRow="0" w:firstColumn="1" w:lastColumn="0" w:noHBand="0" w:noVBand="1"/>
      </w:tblPr>
      <w:tblGrid>
        <w:gridCol w:w="2150"/>
        <w:gridCol w:w="1204"/>
        <w:gridCol w:w="1676"/>
        <w:gridCol w:w="1676"/>
        <w:gridCol w:w="1677"/>
        <w:gridCol w:w="1677"/>
      </w:tblGrid>
      <w:tr w:rsidR="00107C19" w:rsidRPr="00107C19" w14:paraId="048A9CB3" w14:textId="77777777" w:rsidTr="009072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7B0689D4" w14:textId="77777777" w:rsidR="006A7C40" w:rsidRPr="00107C19" w:rsidRDefault="006A7C40" w:rsidP="006A7C40">
            <w:pPr>
              <w:spacing w:before="0" w:after="200" w:line="276" w:lineRule="auto"/>
              <w:contextualSpacing/>
              <w:rPr>
                <w:rFonts w:eastAsia="Times New Roman"/>
                <w:color w:val="000000" w:themeColor="text1"/>
              </w:rPr>
            </w:pPr>
          </w:p>
        </w:tc>
        <w:tc>
          <w:tcPr>
            <w:tcW w:w="1204" w:type="dxa"/>
          </w:tcPr>
          <w:p w14:paraId="44E281D3"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szCs w:val="20"/>
              </w:rPr>
              <w:t>FY2019</w:t>
            </w:r>
          </w:p>
        </w:tc>
        <w:tc>
          <w:tcPr>
            <w:tcW w:w="1676" w:type="dxa"/>
          </w:tcPr>
          <w:p w14:paraId="409B6693"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szCs w:val="20"/>
              </w:rPr>
              <w:t>FY2020</w:t>
            </w:r>
          </w:p>
        </w:tc>
        <w:tc>
          <w:tcPr>
            <w:tcW w:w="1676" w:type="dxa"/>
          </w:tcPr>
          <w:p w14:paraId="24BAF6F6"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szCs w:val="20"/>
              </w:rPr>
              <w:t>FY2021</w:t>
            </w:r>
          </w:p>
        </w:tc>
        <w:tc>
          <w:tcPr>
            <w:tcW w:w="1677" w:type="dxa"/>
          </w:tcPr>
          <w:p w14:paraId="33A101E0"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szCs w:val="20"/>
              </w:rPr>
              <w:t>FY2022</w:t>
            </w:r>
          </w:p>
        </w:tc>
        <w:tc>
          <w:tcPr>
            <w:tcW w:w="1677" w:type="dxa"/>
          </w:tcPr>
          <w:p w14:paraId="42D1C54B"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szCs w:val="20"/>
              </w:rPr>
              <w:t>FY2023</w:t>
            </w:r>
          </w:p>
        </w:tc>
      </w:tr>
      <w:tr w:rsidR="00107C19" w:rsidRPr="00107C19" w14:paraId="02E014E7"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54AA3952"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Total number active licenses</w:t>
            </w:r>
          </w:p>
        </w:tc>
        <w:tc>
          <w:tcPr>
            <w:tcW w:w="1204" w:type="dxa"/>
          </w:tcPr>
          <w:p w14:paraId="2165E4C5"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11</w:t>
            </w:r>
          </w:p>
        </w:tc>
        <w:tc>
          <w:tcPr>
            <w:tcW w:w="1676" w:type="dxa"/>
          </w:tcPr>
          <w:p w14:paraId="5D061535"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13</w:t>
            </w:r>
          </w:p>
        </w:tc>
        <w:tc>
          <w:tcPr>
            <w:tcW w:w="1676" w:type="dxa"/>
          </w:tcPr>
          <w:p w14:paraId="4D688292"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7</w:t>
            </w:r>
          </w:p>
        </w:tc>
        <w:tc>
          <w:tcPr>
            <w:tcW w:w="1677" w:type="dxa"/>
          </w:tcPr>
          <w:p w14:paraId="3D65FF98"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13</w:t>
            </w:r>
          </w:p>
        </w:tc>
        <w:tc>
          <w:tcPr>
            <w:tcW w:w="1677" w:type="dxa"/>
          </w:tcPr>
          <w:p w14:paraId="0D0B3AEC"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10</w:t>
            </w:r>
          </w:p>
        </w:tc>
      </w:tr>
      <w:tr w:rsidR="00107C19" w:rsidRPr="00107C19" w14:paraId="7460FCE0"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698E98FD"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Executed to small businesses</w:t>
            </w:r>
          </w:p>
        </w:tc>
        <w:tc>
          <w:tcPr>
            <w:tcW w:w="1204" w:type="dxa"/>
          </w:tcPr>
          <w:p w14:paraId="1E900F29"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0</w:t>
            </w:r>
          </w:p>
        </w:tc>
        <w:tc>
          <w:tcPr>
            <w:tcW w:w="1676" w:type="dxa"/>
          </w:tcPr>
          <w:p w14:paraId="17A25BEF"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1</w:t>
            </w:r>
          </w:p>
        </w:tc>
        <w:tc>
          <w:tcPr>
            <w:tcW w:w="1676" w:type="dxa"/>
          </w:tcPr>
          <w:p w14:paraId="4AAD909A"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2</w:t>
            </w:r>
          </w:p>
        </w:tc>
        <w:tc>
          <w:tcPr>
            <w:tcW w:w="1677" w:type="dxa"/>
          </w:tcPr>
          <w:p w14:paraId="7F91474C"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2</w:t>
            </w:r>
          </w:p>
        </w:tc>
        <w:tc>
          <w:tcPr>
            <w:tcW w:w="1677" w:type="dxa"/>
          </w:tcPr>
          <w:p w14:paraId="03692945"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4</w:t>
            </w:r>
          </w:p>
        </w:tc>
      </w:tr>
      <w:tr w:rsidR="00107C19" w:rsidRPr="00107C19" w14:paraId="0935F520"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47D22226"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Executed to universities</w:t>
            </w:r>
          </w:p>
        </w:tc>
        <w:tc>
          <w:tcPr>
            <w:tcW w:w="1204" w:type="dxa"/>
          </w:tcPr>
          <w:p w14:paraId="6374E08C"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c>
          <w:tcPr>
            <w:tcW w:w="1676" w:type="dxa"/>
          </w:tcPr>
          <w:p w14:paraId="15D74569"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c>
          <w:tcPr>
            <w:tcW w:w="1676" w:type="dxa"/>
          </w:tcPr>
          <w:p w14:paraId="7E8E8BDB"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w:t>
            </w:r>
          </w:p>
        </w:tc>
        <w:tc>
          <w:tcPr>
            <w:tcW w:w="1677" w:type="dxa"/>
          </w:tcPr>
          <w:p w14:paraId="3D985209"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c>
          <w:tcPr>
            <w:tcW w:w="1677" w:type="dxa"/>
          </w:tcPr>
          <w:p w14:paraId="178FF851"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r>
    </w:tbl>
    <w:p w14:paraId="76097ADA" w14:textId="77777777" w:rsidR="006A7C40" w:rsidRPr="00107C19" w:rsidRDefault="006A7C40" w:rsidP="006A7C40">
      <w:pPr>
        <w:spacing w:before="0" w:after="0"/>
        <w:contextualSpacing/>
        <w:rPr>
          <w:rFonts w:ascii="Times New Roman" w:hAnsi="Times New Roman"/>
          <w:color w:val="000000" w:themeColor="text1"/>
          <w:szCs w:val="24"/>
        </w:rPr>
      </w:pPr>
    </w:p>
    <w:p w14:paraId="64BB002B" w14:textId="77777777" w:rsidR="006A7C40" w:rsidRPr="00107C19" w:rsidRDefault="006A7C40" w:rsidP="0078080F">
      <w:pPr>
        <w:keepNext/>
        <w:keepLines/>
        <w:spacing w:before="0" w:after="0" w:line="276" w:lineRule="auto"/>
        <w:contextualSpacing/>
        <w:outlineLvl w:val="1"/>
        <w:rPr>
          <w:rFonts w:ascii="Times New Roman" w:eastAsia="Times New Roman" w:hAnsi="Times New Roman"/>
          <w:color w:val="000000" w:themeColor="text1"/>
          <w:szCs w:val="24"/>
        </w:rPr>
      </w:pPr>
      <w:bookmarkStart w:id="635" w:name="_Toc152597660"/>
      <w:bookmarkStart w:id="636" w:name="_Toc160186111"/>
      <w:r w:rsidRPr="00107C19">
        <w:rPr>
          <w:rFonts w:ascii="Times New Roman" w:eastAsia="Times New Roman" w:hAnsi="Times New Roman"/>
          <w:color w:val="000000" w:themeColor="text1"/>
          <w:szCs w:val="24"/>
        </w:rPr>
        <w:t>TABLE 4. Characteristics of Income Bearing Licenses</w:t>
      </w:r>
      <w:bookmarkEnd w:id="635"/>
      <w:bookmarkEnd w:id="636"/>
    </w:p>
    <w:tbl>
      <w:tblPr>
        <w:tblStyle w:val="LightGrid-Accent129"/>
        <w:tblW w:w="0" w:type="auto"/>
        <w:tblLook w:val="04A0" w:firstRow="1" w:lastRow="0" w:firstColumn="1" w:lastColumn="0" w:noHBand="0" w:noVBand="1"/>
      </w:tblPr>
      <w:tblGrid>
        <w:gridCol w:w="2150"/>
        <w:gridCol w:w="1204"/>
        <w:gridCol w:w="1676"/>
        <w:gridCol w:w="1676"/>
        <w:gridCol w:w="1677"/>
        <w:gridCol w:w="1677"/>
      </w:tblGrid>
      <w:tr w:rsidR="00107C19" w:rsidRPr="00107C19" w14:paraId="460619F4" w14:textId="77777777" w:rsidTr="009072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75025EF0" w14:textId="77777777" w:rsidR="006A7C40" w:rsidRPr="00107C19" w:rsidRDefault="006A7C40" w:rsidP="006A7C40">
            <w:pPr>
              <w:spacing w:before="0" w:after="200" w:line="276" w:lineRule="auto"/>
              <w:contextualSpacing/>
              <w:rPr>
                <w:rFonts w:eastAsia="Times New Roman"/>
                <w:color w:val="000000" w:themeColor="text1"/>
              </w:rPr>
            </w:pPr>
          </w:p>
        </w:tc>
        <w:tc>
          <w:tcPr>
            <w:tcW w:w="1204" w:type="dxa"/>
          </w:tcPr>
          <w:p w14:paraId="77011DE9"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FY2019</w:t>
            </w:r>
          </w:p>
        </w:tc>
        <w:tc>
          <w:tcPr>
            <w:tcW w:w="1676" w:type="dxa"/>
          </w:tcPr>
          <w:p w14:paraId="00E57640"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FY2020</w:t>
            </w:r>
          </w:p>
        </w:tc>
        <w:tc>
          <w:tcPr>
            <w:tcW w:w="1676" w:type="dxa"/>
          </w:tcPr>
          <w:p w14:paraId="7DF61970"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FY2021</w:t>
            </w:r>
          </w:p>
        </w:tc>
        <w:tc>
          <w:tcPr>
            <w:tcW w:w="1677" w:type="dxa"/>
          </w:tcPr>
          <w:p w14:paraId="653AD3A0"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FY2022</w:t>
            </w:r>
          </w:p>
        </w:tc>
        <w:tc>
          <w:tcPr>
            <w:tcW w:w="1677" w:type="dxa"/>
          </w:tcPr>
          <w:p w14:paraId="1CD582C2"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FY2023</w:t>
            </w:r>
          </w:p>
        </w:tc>
      </w:tr>
      <w:tr w:rsidR="00107C19" w:rsidRPr="00107C19" w14:paraId="41F62CF1"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731E786F"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Total number of income bearing licenses</w:t>
            </w:r>
            <w:r w:rsidRPr="00107C19">
              <w:rPr>
                <w:rFonts w:eastAsia="Times New Roman"/>
                <w:color w:val="000000" w:themeColor="text1"/>
                <w:vertAlign w:val="superscript"/>
              </w:rPr>
              <w:footnoteReference w:id="3"/>
            </w:r>
          </w:p>
        </w:tc>
        <w:tc>
          <w:tcPr>
            <w:tcW w:w="1204" w:type="dxa"/>
          </w:tcPr>
          <w:p w14:paraId="72FF2F82"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11</w:t>
            </w:r>
          </w:p>
        </w:tc>
        <w:tc>
          <w:tcPr>
            <w:tcW w:w="1676" w:type="dxa"/>
          </w:tcPr>
          <w:p w14:paraId="42CE91BA"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13</w:t>
            </w:r>
          </w:p>
        </w:tc>
        <w:tc>
          <w:tcPr>
            <w:tcW w:w="1676" w:type="dxa"/>
          </w:tcPr>
          <w:p w14:paraId="09B95E05"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7</w:t>
            </w:r>
          </w:p>
        </w:tc>
        <w:tc>
          <w:tcPr>
            <w:tcW w:w="1677" w:type="dxa"/>
          </w:tcPr>
          <w:p w14:paraId="2758AA4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7</w:t>
            </w:r>
          </w:p>
        </w:tc>
        <w:tc>
          <w:tcPr>
            <w:tcW w:w="1677" w:type="dxa"/>
          </w:tcPr>
          <w:p w14:paraId="0F8A2690"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7</w:t>
            </w:r>
          </w:p>
        </w:tc>
      </w:tr>
      <w:tr w:rsidR="00107C19" w:rsidRPr="00107C19" w14:paraId="0CC50638"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1C26F018"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t>Exclusive</w:t>
            </w:r>
          </w:p>
        </w:tc>
        <w:tc>
          <w:tcPr>
            <w:tcW w:w="1204" w:type="dxa"/>
          </w:tcPr>
          <w:p w14:paraId="1CD59AB1"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9</w:t>
            </w:r>
          </w:p>
        </w:tc>
        <w:tc>
          <w:tcPr>
            <w:tcW w:w="1676" w:type="dxa"/>
          </w:tcPr>
          <w:p w14:paraId="499C4733"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11</w:t>
            </w:r>
          </w:p>
        </w:tc>
        <w:tc>
          <w:tcPr>
            <w:tcW w:w="1676" w:type="dxa"/>
          </w:tcPr>
          <w:p w14:paraId="0B6453A3"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13</w:t>
            </w:r>
          </w:p>
        </w:tc>
        <w:tc>
          <w:tcPr>
            <w:tcW w:w="1677" w:type="dxa"/>
          </w:tcPr>
          <w:p w14:paraId="22E93B1B"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7</w:t>
            </w:r>
          </w:p>
        </w:tc>
        <w:tc>
          <w:tcPr>
            <w:tcW w:w="1677" w:type="dxa"/>
          </w:tcPr>
          <w:p w14:paraId="688D38B2"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10</w:t>
            </w:r>
          </w:p>
        </w:tc>
      </w:tr>
      <w:tr w:rsidR="00107C19" w:rsidRPr="00107C19" w14:paraId="7D551599"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0" w:type="dxa"/>
          </w:tcPr>
          <w:p w14:paraId="7D8C47FD"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t>Non-exclusive</w:t>
            </w:r>
          </w:p>
        </w:tc>
        <w:tc>
          <w:tcPr>
            <w:tcW w:w="1204" w:type="dxa"/>
          </w:tcPr>
          <w:p w14:paraId="09B2B737"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c>
          <w:tcPr>
            <w:tcW w:w="1676" w:type="dxa"/>
          </w:tcPr>
          <w:p w14:paraId="282B67AA"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c>
          <w:tcPr>
            <w:tcW w:w="1676" w:type="dxa"/>
          </w:tcPr>
          <w:p w14:paraId="24349E74"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c>
          <w:tcPr>
            <w:tcW w:w="1677" w:type="dxa"/>
          </w:tcPr>
          <w:p w14:paraId="11AF9CB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c>
          <w:tcPr>
            <w:tcW w:w="1677" w:type="dxa"/>
          </w:tcPr>
          <w:p w14:paraId="191CB4E9"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0</w:t>
            </w:r>
          </w:p>
        </w:tc>
      </w:tr>
    </w:tbl>
    <w:tbl>
      <w:tblPr>
        <w:tblW w:w="11260" w:type="dxa"/>
        <w:tblInd w:w="-540" w:type="dxa"/>
        <w:tblLook w:val="04A0" w:firstRow="1" w:lastRow="0" w:firstColumn="1" w:lastColumn="0" w:noHBand="0" w:noVBand="1"/>
      </w:tblPr>
      <w:tblGrid>
        <w:gridCol w:w="5683"/>
        <w:gridCol w:w="1163"/>
        <w:gridCol w:w="1136"/>
        <w:gridCol w:w="1059"/>
        <w:gridCol w:w="1154"/>
        <w:gridCol w:w="1065"/>
      </w:tblGrid>
      <w:tr w:rsidR="00107C19" w:rsidRPr="00107C19" w14:paraId="30C910C5" w14:textId="77777777" w:rsidTr="0090728D">
        <w:trPr>
          <w:trHeight w:val="305"/>
        </w:trPr>
        <w:tc>
          <w:tcPr>
            <w:tcW w:w="5683" w:type="dxa"/>
            <w:tcBorders>
              <w:top w:val="nil"/>
              <w:left w:val="nil"/>
              <w:bottom w:val="nil"/>
              <w:right w:val="nil"/>
            </w:tcBorders>
            <w:shd w:val="clear" w:color="auto" w:fill="auto"/>
            <w:noWrap/>
            <w:vAlign w:val="bottom"/>
          </w:tcPr>
          <w:p w14:paraId="442A8F4F" w14:textId="77777777" w:rsidR="006A7C40" w:rsidRPr="00107C19" w:rsidRDefault="006A7C40" w:rsidP="006A7C40">
            <w:pPr>
              <w:spacing w:before="0" w:after="0"/>
              <w:contextualSpacing/>
              <w:rPr>
                <w:rFonts w:ascii="Times New Roman" w:hAnsi="Times New Roman"/>
                <w:color w:val="000000" w:themeColor="text1"/>
                <w:szCs w:val="20"/>
              </w:rPr>
            </w:pPr>
          </w:p>
        </w:tc>
        <w:tc>
          <w:tcPr>
            <w:tcW w:w="1163" w:type="dxa"/>
            <w:tcBorders>
              <w:top w:val="nil"/>
              <w:left w:val="nil"/>
              <w:bottom w:val="nil"/>
              <w:right w:val="nil"/>
            </w:tcBorders>
            <w:shd w:val="clear" w:color="auto" w:fill="auto"/>
            <w:noWrap/>
            <w:vAlign w:val="bottom"/>
          </w:tcPr>
          <w:p w14:paraId="2FC8A5F0" w14:textId="77777777" w:rsidR="006A7C40" w:rsidRPr="00107C19" w:rsidRDefault="006A7C40" w:rsidP="006A7C40">
            <w:pPr>
              <w:spacing w:before="0" w:after="0"/>
              <w:contextualSpacing/>
              <w:jc w:val="center"/>
              <w:rPr>
                <w:rFonts w:ascii="Times New Roman" w:hAnsi="Times New Roman"/>
                <w:color w:val="000000" w:themeColor="text1"/>
                <w:szCs w:val="20"/>
              </w:rPr>
            </w:pPr>
          </w:p>
        </w:tc>
        <w:tc>
          <w:tcPr>
            <w:tcW w:w="1136" w:type="dxa"/>
            <w:tcBorders>
              <w:top w:val="nil"/>
              <w:left w:val="nil"/>
              <w:bottom w:val="nil"/>
              <w:right w:val="nil"/>
            </w:tcBorders>
            <w:shd w:val="clear" w:color="auto" w:fill="auto"/>
            <w:noWrap/>
            <w:vAlign w:val="bottom"/>
          </w:tcPr>
          <w:p w14:paraId="3F92B2AB" w14:textId="77777777" w:rsidR="006A7C40" w:rsidRPr="00107C19" w:rsidRDefault="006A7C40" w:rsidP="006A7C40">
            <w:pPr>
              <w:spacing w:before="0" w:after="0"/>
              <w:contextualSpacing/>
              <w:jc w:val="center"/>
              <w:rPr>
                <w:rFonts w:ascii="Times New Roman" w:hAnsi="Times New Roman"/>
                <w:color w:val="000000" w:themeColor="text1"/>
                <w:szCs w:val="20"/>
              </w:rPr>
            </w:pPr>
          </w:p>
        </w:tc>
        <w:tc>
          <w:tcPr>
            <w:tcW w:w="1059" w:type="dxa"/>
            <w:tcBorders>
              <w:top w:val="nil"/>
              <w:left w:val="nil"/>
              <w:bottom w:val="nil"/>
              <w:right w:val="nil"/>
            </w:tcBorders>
            <w:shd w:val="clear" w:color="auto" w:fill="auto"/>
            <w:noWrap/>
            <w:vAlign w:val="bottom"/>
          </w:tcPr>
          <w:p w14:paraId="79DD12B9" w14:textId="77777777" w:rsidR="006A7C40" w:rsidRPr="00107C19" w:rsidRDefault="006A7C40" w:rsidP="006A7C40">
            <w:pPr>
              <w:spacing w:before="0" w:after="0"/>
              <w:contextualSpacing/>
              <w:jc w:val="center"/>
              <w:rPr>
                <w:rFonts w:ascii="Times New Roman" w:hAnsi="Times New Roman"/>
                <w:color w:val="000000" w:themeColor="text1"/>
                <w:szCs w:val="20"/>
              </w:rPr>
            </w:pPr>
          </w:p>
        </w:tc>
        <w:tc>
          <w:tcPr>
            <w:tcW w:w="1154" w:type="dxa"/>
            <w:tcBorders>
              <w:top w:val="nil"/>
              <w:left w:val="nil"/>
              <w:bottom w:val="nil"/>
              <w:right w:val="nil"/>
            </w:tcBorders>
            <w:shd w:val="clear" w:color="auto" w:fill="auto"/>
            <w:noWrap/>
            <w:vAlign w:val="bottom"/>
          </w:tcPr>
          <w:p w14:paraId="312443C9" w14:textId="77777777" w:rsidR="006A7C40" w:rsidRPr="00107C19" w:rsidRDefault="006A7C40" w:rsidP="006A7C40">
            <w:pPr>
              <w:spacing w:before="0" w:after="0"/>
              <w:contextualSpacing/>
              <w:rPr>
                <w:rFonts w:ascii="Times New Roman" w:hAnsi="Times New Roman"/>
                <w:color w:val="000000" w:themeColor="text1"/>
                <w:szCs w:val="20"/>
              </w:rPr>
            </w:pPr>
          </w:p>
        </w:tc>
        <w:tc>
          <w:tcPr>
            <w:tcW w:w="1065" w:type="dxa"/>
            <w:tcBorders>
              <w:top w:val="nil"/>
              <w:left w:val="nil"/>
              <w:bottom w:val="nil"/>
              <w:right w:val="nil"/>
            </w:tcBorders>
          </w:tcPr>
          <w:p w14:paraId="5749442B" w14:textId="77777777" w:rsidR="006A7C40" w:rsidRPr="00107C19" w:rsidRDefault="006A7C40" w:rsidP="006A7C40">
            <w:pPr>
              <w:spacing w:before="0" w:after="0"/>
              <w:contextualSpacing/>
              <w:rPr>
                <w:rFonts w:ascii="Times New Roman" w:hAnsi="Times New Roman"/>
                <w:color w:val="000000" w:themeColor="text1"/>
                <w:szCs w:val="20"/>
              </w:rPr>
            </w:pPr>
          </w:p>
        </w:tc>
      </w:tr>
    </w:tbl>
    <w:p w14:paraId="2C9525AB" w14:textId="77777777" w:rsidR="006A7C40" w:rsidRPr="00107C19" w:rsidRDefault="006A7C40" w:rsidP="0078080F">
      <w:pPr>
        <w:keepNext/>
        <w:keepLines/>
        <w:spacing w:before="0" w:after="0" w:line="276" w:lineRule="auto"/>
        <w:contextualSpacing/>
        <w:outlineLvl w:val="1"/>
        <w:rPr>
          <w:rFonts w:ascii="Times New Roman" w:eastAsia="Times New Roman" w:hAnsi="Times New Roman"/>
          <w:color w:val="000000" w:themeColor="text1"/>
          <w:szCs w:val="24"/>
        </w:rPr>
      </w:pPr>
      <w:bookmarkStart w:id="637" w:name="_Toc152597661"/>
      <w:bookmarkStart w:id="638" w:name="_Toc160186112"/>
      <w:r w:rsidRPr="00107C19">
        <w:rPr>
          <w:rFonts w:ascii="Times New Roman" w:eastAsia="Times New Roman" w:hAnsi="Times New Roman"/>
          <w:color w:val="000000" w:themeColor="text1"/>
          <w:szCs w:val="24"/>
        </w:rPr>
        <w:t>TABLE 5: Income from Licensing</w:t>
      </w:r>
      <w:bookmarkEnd w:id="637"/>
      <w:bookmarkEnd w:id="638"/>
    </w:p>
    <w:tbl>
      <w:tblPr>
        <w:tblStyle w:val="LightGrid-Accent129"/>
        <w:tblW w:w="0" w:type="auto"/>
        <w:tblLook w:val="04A0" w:firstRow="1" w:lastRow="0" w:firstColumn="1" w:lastColumn="0" w:noHBand="0" w:noVBand="1"/>
      </w:tblPr>
      <w:tblGrid>
        <w:gridCol w:w="1884"/>
        <w:gridCol w:w="1470"/>
        <w:gridCol w:w="1676"/>
        <w:gridCol w:w="1676"/>
        <w:gridCol w:w="1677"/>
        <w:gridCol w:w="1677"/>
      </w:tblGrid>
      <w:tr w:rsidR="00107C19" w:rsidRPr="00107C19" w14:paraId="5079304D" w14:textId="77777777" w:rsidTr="009072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70D2CB43" w14:textId="77777777" w:rsidR="006A7C40" w:rsidRPr="00107C19" w:rsidRDefault="006A7C40" w:rsidP="006A7C40">
            <w:pPr>
              <w:spacing w:before="0" w:after="200" w:line="276" w:lineRule="auto"/>
              <w:contextualSpacing/>
              <w:rPr>
                <w:rFonts w:eastAsia="Times New Roman"/>
                <w:color w:val="000000" w:themeColor="text1"/>
              </w:rPr>
            </w:pPr>
          </w:p>
        </w:tc>
        <w:tc>
          <w:tcPr>
            <w:tcW w:w="1471" w:type="dxa"/>
          </w:tcPr>
          <w:p w14:paraId="61CCC7BE"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FY2019</w:t>
            </w:r>
          </w:p>
        </w:tc>
        <w:tc>
          <w:tcPr>
            <w:tcW w:w="1678" w:type="dxa"/>
          </w:tcPr>
          <w:p w14:paraId="0817AE5A"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FY2020</w:t>
            </w:r>
          </w:p>
        </w:tc>
        <w:tc>
          <w:tcPr>
            <w:tcW w:w="1678" w:type="dxa"/>
          </w:tcPr>
          <w:p w14:paraId="0F885C82"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FY2021</w:t>
            </w:r>
          </w:p>
        </w:tc>
        <w:tc>
          <w:tcPr>
            <w:tcW w:w="1679" w:type="dxa"/>
          </w:tcPr>
          <w:p w14:paraId="7D51A856"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FY2022</w:t>
            </w:r>
          </w:p>
        </w:tc>
        <w:tc>
          <w:tcPr>
            <w:tcW w:w="1679" w:type="dxa"/>
          </w:tcPr>
          <w:p w14:paraId="40B3E587"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FY2023</w:t>
            </w:r>
          </w:p>
        </w:tc>
      </w:tr>
      <w:tr w:rsidR="00107C19" w:rsidRPr="00107C19" w14:paraId="11D11D18"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543EE605"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Total income all active licenses</w:t>
            </w:r>
          </w:p>
        </w:tc>
        <w:tc>
          <w:tcPr>
            <w:tcW w:w="1471" w:type="dxa"/>
          </w:tcPr>
          <w:p w14:paraId="0C0B24D0"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ND</w:t>
            </w:r>
          </w:p>
        </w:tc>
        <w:tc>
          <w:tcPr>
            <w:tcW w:w="1678" w:type="dxa"/>
          </w:tcPr>
          <w:p w14:paraId="228FEE9F"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ND</w:t>
            </w:r>
          </w:p>
        </w:tc>
        <w:tc>
          <w:tcPr>
            <w:tcW w:w="1678" w:type="dxa"/>
          </w:tcPr>
          <w:p w14:paraId="06C1FFF0"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p>
        </w:tc>
        <w:tc>
          <w:tcPr>
            <w:tcW w:w="1679" w:type="dxa"/>
          </w:tcPr>
          <w:p w14:paraId="5B845A2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p>
        </w:tc>
        <w:tc>
          <w:tcPr>
            <w:tcW w:w="1679" w:type="dxa"/>
          </w:tcPr>
          <w:p w14:paraId="7F844ED4"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szCs w:val="20"/>
              </w:rPr>
              <w:t>ND</w:t>
            </w:r>
          </w:p>
        </w:tc>
      </w:tr>
      <w:tr w:rsidR="00107C19" w:rsidRPr="00107C19" w14:paraId="40059414"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1E55E1C9"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szCs w:val="20"/>
              </w:rPr>
              <w:t>Invention licenses</w:t>
            </w:r>
          </w:p>
        </w:tc>
        <w:tc>
          <w:tcPr>
            <w:tcW w:w="1471" w:type="dxa"/>
          </w:tcPr>
          <w:p w14:paraId="5FC39B1C"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ND</w:t>
            </w:r>
          </w:p>
        </w:tc>
        <w:tc>
          <w:tcPr>
            <w:tcW w:w="1678" w:type="dxa"/>
          </w:tcPr>
          <w:p w14:paraId="6E2258C3"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ND</w:t>
            </w:r>
          </w:p>
        </w:tc>
        <w:tc>
          <w:tcPr>
            <w:tcW w:w="1678" w:type="dxa"/>
          </w:tcPr>
          <w:p w14:paraId="36B417A4"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ND</w:t>
            </w:r>
          </w:p>
        </w:tc>
        <w:tc>
          <w:tcPr>
            <w:tcW w:w="1679" w:type="dxa"/>
          </w:tcPr>
          <w:p w14:paraId="35FBD083"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szCs w:val="20"/>
              </w:rPr>
              <w:t>ND</w:t>
            </w:r>
          </w:p>
        </w:tc>
        <w:tc>
          <w:tcPr>
            <w:tcW w:w="1679" w:type="dxa"/>
          </w:tcPr>
          <w:p w14:paraId="187AF494"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szCs w:val="20"/>
              </w:rPr>
              <w:t>ND</w:t>
            </w:r>
          </w:p>
        </w:tc>
      </w:tr>
    </w:tbl>
    <w:p w14:paraId="310E9397" w14:textId="77777777" w:rsidR="006A7C40" w:rsidRPr="00107C19" w:rsidRDefault="006A7C40" w:rsidP="006A7C40">
      <w:pPr>
        <w:spacing w:before="0" w:after="0"/>
        <w:contextualSpacing/>
        <w:rPr>
          <w:rFonts w:ascii="Times New Roman" w:hAnsi="Times New Roman"/>
          <w:color w:val="000000" w:themeColor="text1"/>
        </w:rPr>
      </w:pPr>
    </w:p>
    <w:p w14:paraId="69A1FC57" w14:textId="77777777" w:rsidR="006A7C40" w:rsidRPr="00107C19" w:rsidRDefault="006A7C40" w:rsidP="0078080F">
      <w:pPr>
        <w:keepNext/>
        <w:keepLines/>
        <w:spacing w:before="0" w:after="0" w:line="276" w:lineRule="auto"/>
        <w:contextualSpacing/>
        <w:outlineLvl w:val="1"/>
        <w:rPr>
          <w:rFonts w:ascii="Times New Roman" w:eastAsia="Times New Roman" w:hAnsi="Times New Roman"/>
          <w:color w:val="000000" w:themeColor="text1"/>
          <w:szCs w:val="24"/>
        </w:rPr>
      </w:pPr>
      <w:bookmarkStart w:id="639" w:name="_Toc160186113"/>
      <w:r w:rsidRPr="00107C19">
        <w:rPr>
          <w:rFonts w:ascii="Times New Roman" w:eastAsia="Times New Roman" w:hAnsi="Times New Roman"/>
          <w:color w:val="000000" w:themeColor="text1"/>
          <w:szCs w:val="24"/>
        </w:rPr>
        <w:lastRenderedPageBreak/>
        <w:t>TABLE 6: Fiscal Year 2022 Forest Service Accomplishment Metrics in support of the Research, Education, and Economics Action Plan</w:t>
      </w:r>
      <w:bookmarkEnd w:id="639"/>
      <w:r w:rsidRPr="00107C19">
        <w:rPr>
          <w:rFonts w:ascii="Times New Roman" w:eastAsia="Times New Roman" w:hAnsi="Times New Roman"/>
          <w:color w:val="000000" w:themeColor="text1"/>
          <w:szCs w:val="24"/>
        </w:rPr>
        <w:t xml:space="preserve">  </w:t>
      </w:r>
    </w:p>
    <w:tbl>
      <w:tblPr>
        <w:tblStyle w:val="LightGrid-Accent129"/>
        <w:tblW w:w="0" w:type="auto"/>
        <w:tblLook w:val="04A0" w:firstRow="1" w:lastRow="0" w:firstColumn="1" w:lastColumn="0" w:noHBand="0" w:noVBand="1"/>
      </w:tblPr>
      <w:tblGrid>
        <w:gridCol w:w="3356"/>
        <w:gridCol w:w="3357"/>
      </w:tblGrid>
      <w:tr w:rsidR="00107C19" w:rsidRPr="00107C19" w14:paraId="2033F2B0" w14:textId="77777777" w:rsidTr="009072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065A7C43"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eastAsia="Times New Roman"/>
                <w:color w:val="000000" w:themeColor="text1"/>
              </w:rPr>
              <w:t>Products</w:t>
            </w:r>
          </w:p>
        </w:tc>
        <w:tc>
          <w:tcPr>
            <w:tcW w:w="3357" w:type="dxa"/>
          </w:tcPr>
          <w:p w14:paraId="585DC3F8" w14:textId="77777777" w:rsidR="006A7C40" w:rsidRPr="00107C19" w:rsidRDefault="006A7C40" w:rsidP="006A7C40">
            <w:pPr>
              <w:spacing w:before="0" w:after="200" w:line="276" w:lineRule="auto"/>
              <w:contextualSpacing/>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107C19">
              <w:rPr>
                <w:rFonts w:eastAsia="Times New Roman"/>
                <w:color w:val="000000" w:themeColor="text1"/>
              </w:rPr>
              <w:t>Total Entries</w:t>
            </w:r>
          </w:p>
        </w:tc>
      </w:tr>
      <w:tr w:rsidR="00107C19" w:rsidRPr="00107C19" w14:paraId="36B78A8C"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03F20B81"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ascii="Calibri" w:eastAsia="Times New Roman" w:hAnsi="Calibri" w:cs="Calibri"/>
                <w:color w:val="000000" w:themeColor="text1"/>
              </w:rPr>
              <w:t>Publications (formally refereed)</w:t>
            </w:r>
          </w:p>
        </w:tc>
        <w:tc>
          <w:tcPr>
            <w:tcW w:w="3357" w:type="dxa"/>
          </w:tcPr>
          <w:p w14:paraId="77B004DD"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1117</w:t>
            </w:r>
          </w:p>
        </w:tc>
      </w:tr>
      <w:tr w:rsidR="00107C19" w:rsidRPr="00107C19" w14:paraId="7BE8F470"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3A4AE4DE"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ascii="Calibri" w:eastAsia="Times New Roman" w:hAnsi="Calibri" w:cs="Calibri"/>
                <w:color w:val="000000" w:themeColor="text1"/>
              </w:rPr>
              <w:t> Publications (informally refereed)</w:t>
            </w:r>
          </w:p>
        </w:tc>
        <w:tc>
          <w:tcPr>
            <w:tcW w:w="3357" w:type="dxa"/>
          </w:tcPr>
          <w:p w14:paraId="663AE17A"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336</w:t>
            </w:r>
          </w:p>
        </w:tc>
      </w:tr>
      <w:tr w:rsidR="00107C19" w:rsidRPr="00107C19" w14:paraId="338B58BB"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32F654D7"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ascii="Calibri" w:eastAsia="Times New Roman" w:hAnsi="Calibri" w:cs="Calibri"/>
                <w:color w:val="000000" w:themeColor="text1"/>
              </w:rPr>
              <w:t> Publications (non-refereed)</w:t>
            </w:r>
          </w:p>
        </w:tc>
        <w:tc>
          <w:tcPr>
            <w:tcW w:w="3357" w:type="dxa"/>
          </w:tcPr>
          <w:p w14:paraId="2F21822A"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49</w:t>
            </w:r>
          </w:p>
        </w:tc>
      </w:tr>
      <w:tr w:rsidR="00107C19" w:rsidRPr="00107C19" w14:paraId="2F75FDDB"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03D7BEC0"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ascii="Calibri" w:eastAsia="Times New Roman" w:hAnsi="Calibri" w:cs="Calibri"/>
                <w:color w:val="000000" w:themeColor="text1"/>
              </w:rPr>
              <w:t> Publications (all types)</w:t>
            </w:r>
          </w:p>
        </w:tc>
        <w:tc>
          <w:tcPr>
            <w:tcW w:w="3357" w:type="dxa"/>
          </w:tcPr>
          <w:p w14:paraId="06BD83CD"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1502</w:t>
            </w:r>
          </w:p>
        </w:tc>
      </w:tr>
      <w:tr w:rsidR="00107C19" w:rsidRPr="00107C19" w14:paraId="67CCD48E"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5C987EBE"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ascii="Calibri" w:eastAsia="Times New Roman" w:hAnsi="Calibri" w:cs="Calibri"/>
                <w:color w:val="000000" w:themeColor="text1"/>
              </w:rPr>
              <w:t>Publications Articles (in journals)</w:t>
            </w:r>
          </w:p>
        </w:tc>
        <w:tc>
          <w:tcPr>
            <w:tcW w:w="3357" w:type="dxa"/>
          </w:tcPr>
          <w:p w14:paraId="6143241A"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color w:val="000000" w:themeColor="text1"/>
              </w:rPr>
            </w:pPr>
            <w:r w:rsidRPr="00107C19">
              <w:rPr>
                <w:color w:val="000000" w:themeColor="text1"/>
              </w:rPr>
              <w:t>1082</w:t>
            </w:r>
          </w:p>
        </w:tc>
      </w:tr>
      <w:tr w:rsidR="00107C19" w:rsidRPr="00107C19" w14:paraId="2B7AB779"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380346FE" w14:textId="77777777" w:rsidR="006A7C40" w:rsidRPr="00107C19" w:rsidRDefault="006A7C40" w:rsidP="006A7C40">
            <w:pPr>
              <w:spacing w:before="0" w:after="200" w:line="276" w:lineRule="auto"/>
              <w:contextualSpacing/>
              <w:rPr>
                <w:rFonts w:eastAsia="Times New Roman"/>
                <w:color w:val="000000" w:themeColor="text1"/>
              </w:rPr>
            </w:pPr>
            <w:r w:rsidRPr="00107C19">
              <w:rPr>
                <w:rFonts w:ascii="Calibri" w:eastAsia="Times New Roman" w:hAnsi="Calibri" w:cs="Calibri"/>
                <w:color w:val="000000" w:themeColor="text1"/>
              </w:rPr>
              <w:t> Publications Articles (not in journals)</w:t>
            </w:r>
          </w:p>
        </w:tc>
        <w:tc>
          <w:tcPr>
            <w:tcW w:w="3357" w:type="dxa"/>
          </w:tcPr>
          <w:p w14:paraId="70C75E54"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color w:val="000000" w:themeColor="text1"/>
              </w:rPr>
            </w:pPr>
            <w:r w:rsidRPr="00107C19">
              <w:rPr>
                <w:color w:val="000000" w:themeColor="text1"/>
              </w:rPr>
              <w:t>420</w:t>
            </w:r>
          </w:p>
        </w:tc>
      </w:tr>
      <w:tr w:rsidR="00107C19" w:rsidRPr="00107C19" w14:paraId="461326E4" w14:textId="77777777" w:rsidTr="006A7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1DDD79A5" w14:textId="77777777" w:rsidR="006A7C40" w:rsidRPr="00107C19" w:rsidRDefault="006A7C40" w:rsidP="006A7C40">
            <w:pPr>
              <w:spacing w:before="0" w:after="200" w:line="276" w:lineRule="auto"/>
              <w:contextualSpacing/>
              <w:rPr>
                <w:rFonts w:ascii="Calibri" w:eastAsia="Times New Roman" w:hAnsi="Calibri" w:cs="Calibri"/>
                <w:color w:val="000000" w:themeColor="text1"/>
              </w:rPr>
            </w:pPr>
            <w:r w:rsidRPr="00107C19">
              <w:rPr>
                <w:rFonts w:ascii="Calibri" w:eastAsia="Times New Roman" w:hAnsi="Calibri" w:cs="Calibri"/>
                <w:color w:val="000000" w:themeColor="text1"/>
              </w:rPr>
              <w:t>Science Delivery (activities)</w:t>
            </w:r>
          </w:p>
        </w:tc>
        <w:tc>
          <w:tcPr>
            <w:tcW w:w="3357" w:type="dxa"/>
          </w:tcPr>
          <w:p w14:paraId="54907CDE" w14:textId="77777777" w:rsidR="006A7C40" w:rsidRPr="00107C19" w:rsidRDefault="006A7C40" w:rsidP="006A7C40">
            <w:pPr>
              <w:spacing w:before="0" w:after="200" w:line="276" w:lineRule="auto"/>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rPr>
            </w:pPr>
            <w:r w:rsidRPr="00107C19">
              <w:rPr>
                <w:rFonts w:ascii="Calibri" w:eastAsia="Times New Roman" w:hAnsi="Calibri" w:cs="Calibri"/>
                <w:color w:val="000000" w:themeColor="text1"/>
              </w:rPr>
              <w:t>683</w:t>
            </w:r>
          </w:p>
        </w:tc>
      </w:tr>
      <w:tr w:rsidR="00107C19" w:rsidRPr="00107C19" w14:paraId="7076AE4E" w14:textId="77777777" w:rsidTr="009072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67C7D54A" w14:textId="77777777" w:rsidR="006A7C40" w:rsidRPr="00107C19" w:rsidRDefault="006A7C40" w:rsidP="006A7C40">
            <w:pPr>
              <w:spacing w:before="0" w:after="200" w:line="276" w:lineRule="auto"/>
              <w:contextualSpacing/>
              <w:rPr>
                <w:rFonts w:ascii="Calibri" w:eastAsia="Times New Roman" w:hAnsi="Calibri" w:cs="Calibri"/>
                <w:color w:val="000000" w:themeColor="text1"/>
              </w:rPr>
            </w:pPr>
            <w:r w:rsidRPr="00107C19">
              <w:rPr>
                <w:rFonts w:ascii="Calibri" w:eastAsia="Times New Roman" w:hAnsi="Calibri" w:cs="Calibri"/>
                <w:color w:val="000000" w:themeColor="text1"/>
              </w:rPr>
              <w:t> Science Delivery (products)</w:t>
            </w:r>
          </w:p>
        </w:tc>
        <w:tc>
          <w:tcPr>
            <w:tcW w:w="3357" w:type="dxa"/>
          </w:tcPr>
          <w:p w14:paraId="784E5743" w14:textId="77777777" w:rsidR="006A7C40" w:rsidRPr="00107C19" w:rsidRDefault="006A7C40" w:rsidP="006A7C40">
            <w:pPr>
              <w:spacing w:before="0" w:after="200" w:line="276" w:lineRule="auto"/>
              <w:contextualSpacing/>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rPr>
            </w:pPr>
            <w:r w:rsidRPr="00107C19">
              <w:rPr>
                <w:rFonts w:ascii="Calibri" w:eastAsia="Times New Roman" w:hAnsi="Calibri" w:cs="Calibri"/>
                <w:color w:val="000000" w:themeColor="text1"/>
              </w:rPr>
              <w:t>172</w:t>
            </w:r>
          </w:p>
        </w:tc>
      </w:tr>
    </w:tbl>
    <w:p w14:paraId="1409E80A" w14:textId="77777777" w:rsidR="006A7C40" w:rsidRPr="00107C19" w:rsidRDefault="006A7C40" w:rsidP="006A7C40">
      <w:pPr>
        <w:spacing w:before="0" w:after="200" w:line="276" w:lineRule="auto"/>
        <w:rPr>
          <w:rFonts w:ascii="Times New Roman" w:hAnsi="Times New Roman"/>
          <w:color w:val="000000" w:themeColor="text1"/>
        </w:rPr>
      </w:pPr>
    </w:p>
    <w:p w14:paraId="55011FBC" w14:textId="77777777" w:rsidR="006A7C40" w:rsidRPr="00107C19" w:rsidRDefault="006A7C40" w:rsidP="006A7C40">
      <w:pPr>
        <w:pStyle w:val="BodyText"/>
        <w:rPr>
          <w:color w:val="000000" w:themeColor="text1"/>
        </w:rPr>
      </w:pPr>
    </w:p>
    <w:p w14:paraId="18762515" w14:textId="7B360E26" w:rsidR="003A4BCB" w:rsidRPr="00107C19" w:rsidRDefault="003A4BCB" w:rsidP="00F31C85">
      <w:pPr>
        <w:pStyle w:val="Heading1"/>
        <w:rPr>
          <w:rFonts w:asciiTheme="minorHAnsi" w:hAnsiTheme="minorHAnsi" w:cstheme="minorHAnsi"/>
          <w:b/>
          <w:bCs w:val="0"/>
          <w:color w:val="000000" w:themeColor="text1"/>
        </w:rPr>
      </w:pPr>
      <w:bookmarkStart w:id="640" w:name="_Toc120873426"/>
      <w:bookmarkStart w:id="641" w:name="_Toc160186114"/>
      <w:r w:rsidRPr="00107C19">
        <w:rPr>
          <w:rFonts w:asciiTheme="minorHAnsi" w:hAnsiTheme="minorHAnsi" w:cstheme="minorHAnsi"/>
          <w:b/>
          <w:bCs w:val="0"/>
          <w:color w:val="000000" w:themeColor="text1"/>
        </w:rPr>
        <w:lastRenderedPageBreak/>
        <w:t>National Agricultural Statistics Service (NASS)</w:t>
      </w:r>
      <w:bookmarkEnd w:id="640"/>
      <w:bookmarkEnd w:id="641"/>
    </w:p>
    <w:p w14:paraId="2F4EBA1A" w14:textId="77777777" w:rsidR="006E4997" w:rsidRPr="00107C19" w:rsidRDefault="006E4997" w:rsidP="006E4997">
      <w:pPr>
        <w:keepNext/>
        <w:numPr>
          <w:ilvl w:val="1"/>
          <w:numId w:val="14"/>
        </w:numPr>
        <w:spacing w:before="240" w:after="240" w:line="264" w:lineRule="auto"/>
        <w:outlineLvl w:val="1"/>
        <w:rPr>
          <w:rFonts w:ascii="Calibri" w:eastAsia="Times New Roman" w:hAnsi="Calibri" w:cs="Calibri"/>
          <w:iCs/>
          <w:color w:val="000000" w:themeColor="text1"/>
          <w:kern w:val="32"/>
          <w:sz w:val="32"/>
          <w:szCs w:val="28"/>
        </w:rPr>
      </w:pPr>
      <w:bookmarkStart w:id="642" w:name="_Toc120873427"/>
      <w:r w:rsidRPr="00107C19">
        <w:rPr>
          <w:rFonts w:ascii="Calibri" w:eastAsia="Times New Roman" w:hAnsi="Calibri" w:cs="Calibri"/>
          <w:iCs/>
          <w:color w:val="000000" w:themeColor="text1"/>
          <w:kern w:val="32"/>
          <w:sz w:val="32"/>
          <w:szCs w:val="28"/>
        </w:rPr>
        <w:t xml:space="preserve"> </w:t>
      </w:r>
      <w:bookmarkStart w:id="643" w:name="_Toc160186115"/>
      <w:r w:rsidRPr="00107C19">
        <w:rPr>
          <w:rFonts w:ascii="Calibri" w:eastAsia="Times New Roman" w:hAnsi="Calibri" w:cs="Calibri"/>
          <w:iCs/>
          <w:color w:val="000000" w:themeColor="text1"/>
          <w:kern w:val="32"/>
          <w:sz w:val="32"/>
          <w:szCs w:val="28"/>
        </w:rPr>
        <w:t>Mission Statement</w:t>
      </w:r>
      <w:bookmarkEnd w:id="642"/>
      <w:bookmarkEnd w:id="643"/>
    </w:p>
    <w:p w14:paraId="7A463C14"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“The National Agricultural Statistics Service provides timely, accurate, and useful statistics in service to U.S. agriculture.”  The statistics NASS compiles are used by agricultural producers and businesses to ensure an orderly flow of goods and services among agriculture’s production, processing, and marketing sectors.  Reliable, timely, and detailed crop and livestock statistics help to maintain a stable economic climate and minimize the uncertainties and risks associated with the production, marketing, and distribution of commodities.</w:t>
      </w:r>
    </w:p>
    <w:p w14:paraId="737BB3CA"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NASS data are also vital to policymakers, researchers, and scientists in the agriculture community who depend on reliable and unbiased facts.  The Census of Agriculture, conducted every 5 years, provides comprehensive, county-level data about agricultural communities across the United States.  NASS statistical data are essential to both the public and the private sector for making effective policy and for production and marketing decisions. </w:t>
      </w:r>
    </w:p>
    <w:p w14:paraId="6BAD3535" w14:textId="77777777" w:rsidR="006E4997" w:rsidRPr="00107C19" w:rsidRDefault="006E4997" w:rsidP="006E4997">
      <w:pPr>
        <w:keepNext/>
        <w:numPr>
          <w:ilvl w:val="1"/>
          <w:numId w:val="14"/>
        </w:numPr>
        <w:spacing w:before="240" w:after="240" w:line="264" w:lineRule="auto"/>
        <w:outlineLvl w:val="1"/>
        <w:rPr>
          <w:rFonts w:ascii="Calibri" w:eastAsia="Times New Roman" w:hAnsi="Calibri" w:cs="Calibri"/>
          <w:iCs/>
          <w:color w:val="000000" w:themeColor="text1"/>
          <w:kern w:val="32"/>
          <w:sz w:val="32"/>
          <w:szCs w:val="28"/>
        </w:rPr>
      </w:pPr>
      <w:bookmarkStart w:id="644" w:name="_Toc120873428"/>
      <w:r w:rsidRPr="00107C19">
        <w:rPr>
          <w:rFonts w:ascii="Calibri" w:eastAsia="Times New Roman" w:hAnsi="Calibri" w:cs="Calibri"/>
          <w:iCs/>
          <w:color w:val="000000" w:themeColor="text1"/>
          <w:kern w:val="32"/>
          <w:sz w:val="32"/>
          <w:szCs w:val="28"/>
        </w:rPr>
        <w:t xml:space="preserve"> </w:t>
      </w:r>
      <w:bookmarkStart w:id="645" w:name="_Toc160186116"/>
      <w:r w:rsidRPr="00107C19">
        <w:rPr>
          <w:rFonts w:ascii="Calibri" w:eastAsia="Times New Roman" w:hAnsi="Calibri" w:cs="Calibri"/>
          <w:iCs/>
          <w:color w:val="000000" w:themeColor="text1"/>
          <w:kern w:val="32"/>
          <w:sz w:val="32"/>
          <w:szCs w:val="28"/>
        </w:rPr>
        <w:t>Nature and Structure of Research Program</w:t>
      </w:r>
      <w:bookmarkEnd w:id="644"/>
      <w:bookmarkEnd w:id="645"/>
    </w:p>
    <w:p w14:paraId="6EDF1096"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NASS primarily conducts applied research to improve and enhance the agency’s census and survey programs.  Research strives to increase the efficiency, accuracy, and quality of official estimates by improving statistical and survey methodology.</w:t>
      </w:r>
    </w:p>
    <w:p w14:paraId="7E8C3EB4"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NASS’s Research and Development Division is in Washington, DC, and has about 35 permanent Federal researchers working on various statistical, methodological, and geospatial research projects.  Additionally, NASS augments its research capacity by seeking input from academics through contracts or cooperative agreements. </w:t>
      </w:r>
    </w:p>
    <w:p w14:paraId="654E751A"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NASS does special tabulations of its data in response to requests and makes unpublished data available in Data Labs to other government agencies and university researchers.  Advanced security technology allows such access to data, which is tightly controlled and monitored to ensure all output retains the confidentiality of the farmers’ individual information.</w:t>
      </w:r>
    </w:p>
    <w:p w14:paraId="0DEF4E13" w14:textId="77777777" w:rsidR="006E4997" w:rsidRPr="00107C19" w:rsidRDefault="006E4997" w:rsidP="006E4997">
      <w:pPr>
        <w:keepNext/>
        <w:numPr>
          <w:ilvl w:val="1"/>
          <w:numId w:val="14"/>
        </w:numPr>
        <w:spacing w:before="240" w:after="240" w:line="264" w:lineRule="auto"/>
        <w:outlineLvl w:val="1"/>
        <w:rPr>
          <w:rFonts w:ascii="Calibri" w:eastAsia="Times New Roman" w:hAnsi="Calibri" w:cs="Calibri"/>
          <w:iCs/>
          <w:color w:val="000000" w:themeColor="text1"/>
          <w:kern w:val="32"/>
          <w:sz w:val="32"/>
          <w:szCs w:val="28"/>
        </w:rPr>
      </w:pPr>
      <w:bookmarkStart w:id="646" w:name="_Toc120873429"/>
      <w:r w:rsidRPr="00107C19">
        <w:rPr>
          <w:rFonts w:ascii="Calibri" w:eastAsia="Times New Roman" w:hAnsi="Calibri" w:cs="Calibri"/>
          <w:iCs/>
          <w:color w:val="000000" w:themeColor="text1"/>
          <w:kern w:val="32"/>
          <w:sz w:val="32"/>
          <w:szCs w:val="28"/>
        </w:rPr>
        <w:t xml:space="preserve"> </w:t>
      </w:r>
      <w:bookmarkStart w:id="647" w:name="_Toc160186117"/>
      <w:r w:rsidRPr="00107C19">
        <w:rPr>
          <w:rFonts w:ascii="Calibri" w:eastAsia="Times New Roman" w:hAnsi="Calibri" w:cs="Calibri"/>
          <w:iCs/>
          <w:color w:val="000000" w:themeColor="text1"/>
          <w:kern w:val="32"/>
          <w:sz w:val="32"/>
          <w:szCs w:val="28"/>
        </w:rPr>
        <w:t>Downstream Outcomes</w:t>
      </w:r>
      <w:bookmarkEnd w:id="646"/>
      <w:bookmarkEnd w:id="647"/>
      <w:r w:rsidRPr="00107C19">
        <w:rPr>
          <w:rFonts w:ascii="Calibri" w:eastAsia="Times New Roman" w:hAnsi="Calibri" w:cs="Calibri"/>
          <w:iCs/>
          <w:color w:val="000000" w:themeColor="text1"/>
          <w:kern w:val="32"/>
          <w:sz w:val="32"/>
          <w:szCs w:val="28"/>
        </w:rPr>
        <w:t xml:space="preserve"> </w:t>
      </w:r>
    </w:p>
    <w:p w14:paraId="3092EA66" w14:textId="77777777" w:rsidR="006E4997" w:rsidRPr="00107C19" w:rsidRDefault="006E4997" w:rsidP="006E4997">
      <w:pPr>
        <w:keepNext/>
        <w:numPr>
          <w:ilvl w:val="2"/>
          <w:numId w:val="14"/>
        </w:numPr>
        <w:spacing w:before="240" w:after="240" w:line="264" w:lineRule="auto"/>
        <w:outlineLvl w:val="2"/>
        <w:rPr>
          <w:rFonts w:ascii="Calibri" w:hAnsi="Calibri" w:cs="Calibri"/>
          <w:bCs/>
          <w:iCs/>
          <w:color w:val="000000" w:themeColor="text1"/>
          <w:kern w:val="32"/>
          <w:sz w:val="28"/>
          <w:szCs w:val="26"/>
        </w:rPr>
      </w:pPr>
      <w:bookmarkStart w:id="648" w:name="_Toc120873430"/>
      <w:r w:rsidRPr="00107C19">
        <w:rPr>
          <w:rFonts w:ascii="Calibri" w:hAnsi="Calibri" w:cs="Calibri"/>
          <w:bCs/>
          <w:iCs/>
          <w:color w:val="000000" w:themeColor="text1"/>
          <w:kern w:val="32"/>
          <w:sz w:val="28"/>
          <w:szCs w:val="26"/>
        </w:rPr>
        <w:t xml:space="preserve"> </w:t>
      </w:r>
      <w:bookmarkStart w:id="649" w:name="_Toc160186118"/>
      <w:r w:rsidRPr="00107C19">
        <w:rPr>
          <w:rFonts w:ascii="Calibri" w:hAnsi="Calibri" w:cs="Calibri"/>
          <w:bCs/>
          <w:iCs/>
          <w:color w:val="000000" w:themeColor="text1"/>
          <w:kern w:val="32"/>
          <w:sz w:val="28"/>
          <w:szCs w:val="26"/>
        </w:rPr>
        <w:t>Estimation Enhancements:</w:t>
      </w:r>
      <w:bookmarkEnd w:id="648"/>
      <w:bookmarkEnd w:id="649"/>
      <w:r w:rsidRPr="00107C19">
        <w:rPr>
          <w:rFonts w:ascii="Calibri" w:hAnsi="Calibri" w:cs="Calibri"/>
          <w:bCs/>
          <w:iCs/>
          <w:color w:val="000000" w:themeColor="text1"/>
          <w:kern w:val="32"/>
          <w:sz w:val="28"/>
          <w:szCs w:val="26"/>
        </w:rPr>
        <w:t xml:space="preserve">  </w:t>
      </w:r>
    </w:p>
    <w:p w14:paraId="0F370713"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 xml:space="preserve">NASS used model-based estimation, within a capture-recapture framework, to produce official estimates for the 2012 Census of Agriculture. Since then, NASS has expanded its use of model-based estimation techniques to improve the statistical reliability of published forecasts/estimates and to provide accurate measures of uncertainty. These methods are proving to be especially helpful when producing estimates for hard-to-survey populations, such as farmers market managers and hemp </w:t>
      </w:r>
      <w:r w:rsidRPr="00107C19">
        <w:rPr>
          <w:rFonts w:ascii="Calibri" w:hAnsi="Calibri" w:cs="Calibri"/>
          <w:color w:val="000000" w:themeColor="text1"/>
          <w:kern w:val="2"/>
          <w:szCs w:val="24"/>
          <w14:ligatures w14:val="standardContextual"/>
        </w:rPr>
        <w:lastRenderedPageBreak/>
        <w:t xml:space="preserve">farms, which tend to be smaller, more transient, and more highly dispersed compared to traditional agricultural operations in rural areas of the U.S. </w:t>
      </w:r>
    </w:p>
    <w:p w14:paraId="4D172A56"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 xml:space="preserve">Forecasts of yield for corn, soybean, wheat, and cotton, derived from Bayesian hierarchical models, are now being produced for each crop’s largest producing States in parallel with NASS operational survey processes, and the results are provided to the Agricultural Statistics Board for their consideration in producing reports. </w:t>
      </w:r>
      <w:r w:rsidRPr="00107C19">
        <w:rPr>
          <w:rFonts w:ascii="Calibri" w:eastAsia="Times New Roman" w:hAnsi="Calibri" w:cs="Calibri"/>
          <w:color w:val="000000" w:themeColor="text1"/>
          <w:kern w:val="2"/>
          <w:szCs w:val="24"/>
          <w14:ligatures w14:val="standardContextual"/>
        </w:rPr>
        <w:t xml:space="preserve">After the season’s full conclusion, county-level yield estimates for corn and soybeans are generated by integrating MODIS Land Surface Temperature (LST) products through modeling. </w:t>
      </w:r>
      <w:r w:rsidRPr="00107C19">
        <w:rPr>
          <w:rFonts w:ascii="Calibri" w:hAnsi="Calibri" w:cs="Calibri"/>
          <w:color w:val="000000" w:themeColor="text1"/>
          <w:kern w:val="2"/>
          <w:szCs w:val="24"/>
          <w14:ligatures w14:val="standardContextual"/>
        </w:rPr>
        <w:t xml:space="preserve"> </w:t>
      </w:r>
    </w:p>
    <w:p w14:paraId="0CBFF532"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Small area models have been developed to improve the county-level estimates of acreage, yield, and production. In FY 2021, models for all 13 nationally reported crops were implemented for the 2020 crop year. Measures of uncertainty were published with the resulting official statistics. Further, the rounding processes have been automated, reducing burden on the field staff who have had that responsibility. A new small area model for county-level cash rental rates was developed based on annual data collection and implemented in FY 2021. Measures of uncertainties were published with the resulting official statistics. In FY 2022, a new small area spatial model for state-level cash rental rates was developed and implemented. Both models account for outliers and provide more reliable estimates, especially for areas with small sample sizes. Improved small area models were developed and implemented for the agricultural labor program. The entire modeling process was automated and provides harmonious estimates among nested geographic levels and worker types. NASS has worked collaboratively with outside consultants to develop these models.</w:t>
      </w:r>
    </w:p>
    <w:p w14:paraId="3B2E2B5F" w14:textId="79345369" w:rsidR="006E4997" w:rsidRPr="00107C19" w:rsidRDefault="006E4997" w:rsidP="006E4997">
      <w:pPr>
        <w:spacing w:afterLines="120" w:after="288"/>
        <w:rPr>
          <w:rFonts w:ascii="Calibri" w:hAnsi="Calibri" w:cs="Calibri"/>
          <w:color w:val="000000" w:themeColor="text1"/>
          <w:szCs w:val="24"/>
          <w:shd w:val="clear" w:color="auto" w:fill="FFFFFF"/>
        </w:rPr>
      </w:pPr>
      <w:r w:rsidRPr="00107C19">
        <w:rPr>
          <w:rFonts w:ascii="Calibri" w:hAnsi="Calibri" w:cs="Calibri"/>
          <w:color w:val="000000" w:themeColor="text1"/>
          <w:szCs w:val="24"/>
          <w:shd w:val="clear" w:color="auto" w:fill="FFFFFF"/>
        </w:rPr>
        <w:t xml:space="preserve">The quality of modeled estimates depends heavily on the quality of the data used to develop the models. Anomalies in the data, e.g. unusually large values, can negatively impact quality. The simple decision rules that NASS has traditionally used to identify anomalies do not detect all anomalies, such as when the data do not reflect known linear relationships among variables. Therefore, NASS has investigated methods to modernize its anomaly detection system. In FY 2023, an algorithm, called FuzzyHRT, was developed for detecting cellwise anomalies in the survey response datasets effectively and efficiently.  And, it was implemented into the iDART system, which is </w:t>
      </w:r>
      <w:r w:rsidRPr="00107C19">
        <w:rPr>
          <w:rFonts w:ascii="Calibri" w:eastAsia="Times New Roman" w:hAnsi="Calibri" w:cs="Calibri"/>
          <w:color w:val="000000" w:themeColor="text1"/>
          <w:szCs w:val="24"/>
        </w:rPr>
        <w:t>the new Interactive Data Analysis and Reviewing Tool that </w:t>
      </w:r>
      <w:r w:rsidRPr="00107C19">
        <w:rPr>
          <w:rFonts w:ascii="Calibri" w:eastAsia="Times New Roman" w:hAnsi="Calibri" w:cs="Calibri"/>
          <w:color w:val="000000" w:themeColor="text1"/>
          <w:szCs w:val="24"/>
          <w:shd w:val="clear" w:color="auto" w:fill="FFFFFF"/>
        </w:rPr>
        <w:t>provides easy to use, interactive data analyses and outlier detection tools to reduce survey measurement error.</w:t>
      </w:r>
      <w:r w:rsidRPr="00107C19">
        <w:rPr>
          <w:rFonts w:ascii="Calibri" w:hAnsi="Calibri" w:cs="Calibri"/>
          <w:color w:val="000000" w:themeColor="text1"/>
          <w:szCs w:val="24"/>
          <w:shd w:val="clear" w:color="auto" w:fill="FFFFFF"/>
        </w:rPr>
        <w:t xml:space="preserve"> This method can identify four different types of anomalies: (1) cellwise outliers, which occur due to errors or data format inconsistencies; (2) historical anomalies, which occur when reported data diverge greatly from previously reported data; (3) distribution-tail anomalies, which result from atypical behavior of the data in the tails of their distributions; and (4) cellwise outliers that do not honor known relationships among multiple variables. After all survey respondent data are organized (sample master data, survey responses, previous reported data and calculated variables are combined into a single file), the FuzzyHRT is applied to the data. Each piece of the FuzzyHRT is applied where relevant (i.e., if no historic data are available, the historic test is not performed). Once all tests have been performed, results for the full FuzzyHRT are flagged as potentially anomalous or not based on a set threshold. Flagged anomaly records as well as the calculated result of each piece of the FuzzyHRT are combined with the organized data and exported to </w:t>
      </w:r>
      <w:r w:rsidR="00B42497" w:rsidRPr="00107C19">
        <w:rPr>
          <w:rFonts w:ascii="Calibri" w:hAnsi="Calibri" w:cs="Calibri"/>
          <w:color w:val="000000" w:themeColor="text1"/>
          <w:szCs w:val="24"/>
          <w:shd w:val="clear" w:color="auto" w:fill="FFFFFF"/>
        </w:rPr>
        <w:t>iDART</w:t>
      </w:r>
      <w:r w:rsidRPr="00107C19">
        <w:rPr>
          <w:rFonts w:ascii="Calibri" w:hAnsi="Calibri" w:cs="Calibri"/>
          <w:color w:val="000000" w:themeColor="text1"/>
          <w:szCs w:val="24"/>
          <w:shd w:val="clear" w:color="auto" w:fill="FFFFFF"/>
        </w:rPr>
        <w:t xml:space="preserve">. Data flagged as anomalies are then brought to </w:t>
      </w:r>
      <w:r w:rsidR="00AE19C1" w:rsidRPr="00107C19">
        <w:rPr>
          <w:rFonts w:ascii="Calibri" w:hAnsi="Calibri" w:cs="Calibri"/>
          <w:color w:val="000000" w:themeColor="text1"/>
          <w:szCs w:val="24"/>
          <w:shd w:val="clear" w:color="auto" w:fill="FFFFFF"/>
        </w:rPr>
        <w:t>users’</w:t>
      </w:r>
      <w:r w:rsidRPr="00107C19">
        <w:rPr>
          <w:rFonts w:ascii="Calibri" w:hAnsi="Calibri" w:cs="Calibri"/>
          <w:color w:val="000000" w:themeColor="text1"/>
          <w:szCs w:val="24"/>
          <w:shd w:val="clear" w:color="auto" w:fill="FFFFFF"/>
        </w:rPr>
        <w:t xml:space="preserve"> attention in information boxes and graphs. The ‘likely’ reason for the anomaly flag is identified based on the highest scoring piece of the FuzzyHRT.  Users can use the graphs or information boxes to evaluate the flagged record to confirm or ignore the anomaly flag, </w:t>
      </w:r>
      <w:r w:rsidRPr="00107C19">
        <w:rPr>
          <w:rFonts w:ascii="Calibri" w:hAnsi="Calibri" w:cs="Calibri"/>
          <w:color w:val="000000" w:themeColor="text1"/>
          <w:szCs w:val="24"/>
          <w:shd w:val="clear" w:color="auto" w:fill="FFFFFF"/>
        </w:rPr>
        <w:lastRenderedPageBreak/>
        <w:t>at which point they can choose to edit the record or to mark the record as reviewed or need-further-review.</w:t>
      </w:r>
    </w:p>
    <w:p w14:paraId="1C2B443F"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 xml:space="preserve">To obtain accurate estimates for the Census of Agriculture, NASS estimates weights for each responding farm that account for </w:t>
      </w:r>
      <w:r w:rsidRPr="00107C19">
        <w:rPr>
          <w:rFonts w:ascii="Calibri" w:eastAsia="Times New Roman" w:hAnsi="Calibri" w:cs="Calibri"/>
          <w:color w:val="000000" w:themeColor="text1"/>
          <w:kern w:val="2"/>
          <w:szCs w:val="24"/>
          <w14:ligatures w14:val="standardContextual"/>
        </w:rPr>
        <w:t>undercoverage</w:t>
      </w:r>
      <w:r w:rsidRPr="00107C19">
        <w:rPr>
          <w:rFonts w:ascii="Calibri" w:hAnsi="Calibri" w:cs="Calibri"/>
          <w:color w:val="000000" w:themeColor="text1"/>
          <w:kern w:val="2"/>
          <w:szCs w:val="24"/>
          <w14:ligatures w14:val="standardContextual"/>
        </w:rPr>
        <w:t xml:space="preserve"> of the Census Mail List (CML), nonresponse, and misclassification. For the 2012 and 2017 Censuses of Agriculture, a capture-recapture modeling approach based on a subset of the Census responses provided estimates of these weights; that subset included all records from the June Area Survey and the CML records that were included in the June Area Survey. In FY 2023, a unified estimation approach was developed that uses all available Census and June Area Survey records. This new method, which allows for joint estimation of weights to account for undercoverage, nonresponse, and misclassification instead of separate models for each component, was used to produce the estimated weights for the 2022 Census of Agriculture. Because more records are used in the estimation process, the new approach provides more precise estimates. In addition, the new method can be implemented more easily in a variety of software programs. NASS worked collaboratively with an outside consultant to develop these models.</w:t>
      </w:r>
    </w:p>
    <w:p w14:paraId="42E5F523"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50" w:name="_Toc160186119"/>
      <w:r w:rsidRPr="00107C19">
        <w:rPr>
          <w:rFonts w:ascii="Calibri" w:eastAsia="Times New Roman" w:hAnsi="Calibri" w:cs="Calibri"/>
          <w:bCs/>
          <w:iCs/>
          <w:color w:val="000000" w:themeColor="text1"/>
          <w:kern w:val="32"/>
          <w:sz w:val="28"/>
          <w:szCs w:val="26"/>
        </w:rPr>
        <w:t>Decision Support System (DSS)</w:t>
      </w:r>
      <w:bookmarkEnd w:id="650"/>
      <w:r w:rsidRPr="00107C19">
        <w:rPr>
          <w:rFonts w:ascii="Calibri" w:eastAsia="Times New Roman" w:hAnsi="Calibri" w:cs="Calibri"/>
          <w:bCs/>
          <w:iCs/>
          <w:color w:val="000000" w:themeColor="text1"/>
          <w:kern w:val="32"/>
          <w:sz w:val="28"/>
          <w:szCs w:val="26"/>
        </w:rPr>
        <w:t xml:space="preserve"> </w:t>
      </w:r>
    </w:p>
    <w:p w14:paraId="0AFA07CD" w14:textId="77777777" w:rsidR="006E4997" w:rsidRPr="00107C19" w:rsidRDefault="006E4997" w:rsidP="006E4997">
      <w:pPr>
        <w:rPr>
          <w:rFonts w:ascii="Calibri" w:hAnsi="Calibri" w:cs="Calibri"/>
          <w:color w:val="000000" w:themeColor="text1"/>
          <w:kern w:val="2"/>
          <w:szCs w:val="24"/>
          <w:highlight w:val="yellow"/>
          <w14:ligatures w14:val="standardContextual"/>
        </w:rPr>
      </w:pPr>
      <w:r w:rsidRPr="00107C19">
        <w:rPr>
          <w:rFonts w:ascii="Calibri" w:hAnsi="Calibri" w:cs="Calibri"/>
          <w:color w:val="000000" w:themeColor="text1"/>
          <w:kern w:val="2"/>
          <w:szCs w:val="24"/>
          <w14:ligatures w14:val="standardContextual"/>
        </w:rPr>
        <w:t>Seasonal climate variability is a significant source of crop production risk that could create additional challenges for NASS's analysts when setting crop forecasts and estimates. To address this issue, NASS collaborated with the University of Florida to develop a Decision Support System (DSS) to identify and monitor climate anomalies that may impact crop production across the continental U.S. The DSS was designed to include climate monitoring tools that meet the requirements of NASS end-users. It provides links to external monitoring services, climate forecast sources and outlooks, and information about relevant climate cycles, such as the El Niño Southern Oscillation. The system provides continuous, intuitive, and secure access to information through maps, tables, and graphs, with a flexible back-end architecture (database and services) to facilitate data integration and processing. In FY 2023, NASS staff used the DSS data to identify areas of concern due to climate anomalies. The information from the DSS assists NASS staff in assessing and interpreting potential weather-related impacts in major-producing regions, allowing them to make timely and informed decisions.</w:t>
      </w:r>
    </w:p>
    <w:p w14:paraId="3509ECE9" w14:textId="77777777" w:rsidR="006E4997" w:rsidRPr="00107C19" w:rsidRDefault="006E4997" w:rsidP="006E4997">
      <w:pPr>
        <w:keepNext/>
        <w:numPr>
          <w:ilvl w:val="2"/>
          <w:numId w:val="14"/>
        </w:numPr>
        <w:spacing w:before="240" w:after="240" w:line="264" w:lineRule="auto"/>
        <w:outlineLvl w:val="2"/>
        <w:rPr>
          <w:rFonts w:ascii="Calibri" w:hAnsi="Calibri" w:cs="Calibri"/>
          <w:bCs/>
          <w:iCs/>
          <w:color w:val="000000" w:themeColor="text1"/>
          <w:kern w:val="32"/>
          <w:sz w:val="28"/>
          <w:szCs w:val="26"/>
        </w:rPr>
      </w:pPr>
      <w:bookmarkStart w:id="651" w:name="_Toc120873431"/>
      <w:r w:rsidRPr="00107C19">
        <w:rPr>
          <w:rFonts w:ascii="Calibri" w:hAnsi="Calibri" w:cs="Calibri"/>
          <w:bCs/>
          <w:iCs/>
          <w:color w:val="000000" w:themeColor="text1"/>
          <w:kern w:val="32"/>
          <w:sz w:val="28"/>
          <w:szCs w:val="26"/>
        </w:rPr>
        <w:t xml:space="preserve"> </w:t>
      </w:r>
      <w:bookmarkStart w:id="652" w:name="_Toc160186120"/>
      <w:r w:rsidRPr="00107C19">
        <w:rPr>
          <w:rFonts w:ascii="Calibri" w:hAnsi="Calibri" w:cs="Calibri"/>
          <w:bCs/>
          <w:iCs/>
          <w:color w:val="000000" w:themeColor="text1"/>
          <w:kern w:val="32"/>
          <w:sz w:val="28"/>
          <w:szCs w:val="26"/>
        </w:rPr>
        <w:t>Effect of Revisions in the post-2020 June Area Survey on Data Quality:</w:t>
      </w:r>
      <w:bookmarkEnd w:id="651"/>
      <w:bookmarkEnd w:id="652"/>
    </w:p>
    <w:p w14:paraId="58D26B47"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 xml:space="preserve">The COVID-19 pandemic has had a major impact on data collection. In 2020, NASS did not conduct the June Area Survey (JAS), which had always collected data through face-to-face interviews. Given the on-going nature of the pandemic, NASS made the decision to revise survey processes so that it could collect data using telephone interviews (no face-to-face interviews) for the 2021 JAS. Consequently, the JAS process was reviewed, and numerous modifications were made, including a revision of the JAS questionnaire; the creation of a pre-prescreening tool (PPT), which provided maps and administrative and other data useful for identifying the current operator associated with fields in the sample; new data collection procedures; and adoption of a new editing system. </w:t>
      </w:r>
      <w:r w:rsidRPr="00107C19">
        <w:rPr>
          <w:rFonts w:ascii="Calibri" w:eastAsia="Times New Roman" w:hAnsi="Calibri" w:cs="Calibri"/>
          <w:color w:val="000000" w:themeColor="text1"/>
          <w:kern w:val="2"/>
          <w:szCs w:val="24"/>
          <w14:ligatures w14:val="standardContextual"/>
        </w:rPr>
        <w:t>These changes contributed to reduced reliance on paper, less need for express shipping, and more interaction with administrative data. The technical innovations were incorporated into the 2022 and 2023 JAS production processes.</w:t>
      </w:r>
    </w:p>
    <w:p w14:paraId="1B6A6B52"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lastRenderedPageBreak/>
        <w:t>In FY 2023, a study of the impact these revisions, and in particular the use of telephone interviews, had on data quality was conducted for corn and soybeans. Administrative data from the Farm Service Agency provide producer-reported information on the crops planted to specific land parcels (fields). These data served as the gold standard for comparing the quality of the 2019, 2021, and 2022 JAS reported and imputed data. For the states with the highest production of corn and soybeans, the quality of both the reported and imputed data were higher in 2021 and 2022 compared to 2019. However, the data from the lower-producing states had decreased quality for both reported and imputed data. For all states, the proportion of fully reported data tended to be lower, and the quality of the imputed data was less than that of the reported data. Therefore, limited face-to-face interviews were conducted during the 2022 JAS and were used more frequently in the 2023 survey; however, this did not result in an increase in fully reported data. Additionally, mode effects were investigated for the 2022 JAS, and it was found that telephone-based interviews performed about as well as face-to-face interviews.</w:t>
      </w:r>
    </w:p>
    <w:p w14:paraId="5CA3EB2D" w14:textId="77777777" w:rsidR="006E4997" w:rsidRPr="00107C19" w:rsidRDefault="006E4997" w:rsidP="006E4997">
      <w:pPr>
        <w:keepNext/>
        <w:numPr>
          <w:ilvl w:val="2"/>
          <w:numId w:val="14"/>
        </w:numPr>
        <w:spacing w:before="240" w:after="240" w:line="264" w:lineRule="auto"/>
        <w:outlineLvl w:val="2"/>
        <w:rPr>
          <w:rFonts w:ascii="Calibri" w:hAnsi="Calibri" w:cs="Calibri"/>
          <w:bCs/>
          <w:iCs/>
          <w:color w:val="000000" w:themeColor="text1"/>
          <w:kern w:val="32"/>
          <w:sz w:val="28"/>
          <w:szCs w:val="26"/>
        </w:rPr>
      </w:pPr>
      <w:bookmarkStart w:id="653" w:name="_Toc120873432"/>
      <w:r w:rsidRPr="00107C19">
        <w:rPr>
          <w:rFonts w:ascii="Calibri" w:hAnsi="Calibri" w:cs="Calibri"/>
          <w:bCs/>
          <w:iCs/>
          <w:color w:val="000000" w:themeColor="text1"/>
          <w:kern w:val="32"/>
          <w:sz w:val="28"/>
          <w:szCs w:val="26"/>
        </w:rPr>
        <w:t xml:space="preserve"> </w:t>
      </w:r>
      <w:bookmarkStart w:id="654" w:name="_Toc160186121"/>
      <w:r w:rsidRPr="00107C19">
        <w:rPr>
          <w:rFonts w:ascii="Calibri" w:hAnsi="Calibri" w:cs="Calibri"/>
          <w:bCs/>
          <w:iCs/>
          <w:color w:val="000000" w:themeColor="text1"/>
          <w:kern w:val="32"/>
          <w:sz w:val="28"/>
          <w:szCs w:val="26"/>
        </w:rPr>
        <w:t>Automated Stratification for Construction of Area Frame:</w:t>
      </w:r>
      <w:bookmarkEnd w:id="653"/>
      <w:bookmarkEnd w:id="654"/>
    </w:p>
    <w:p w14:paraId="1781F4A4"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NASS uses its area frame both as a stand-alone frame to estimate numbers of farms, land in farms, and a wide variety of commodities, and as a measure of incompleteness for its list surveys–including the quinquennial Census of Agriculture.  To date, new area frames for Oklahoma, Arizona, New Mexico, Georgia, South Dakota, Alabama, North Carolina, Wisconsin, Nebraska, Texas, Missouri, Ohio, Tennessee, Louisiana, and Puerto Rico have been created using a hybrid stratification approach that uses automatic stratification with manual editing. The new frames have more uniform strata than those based on the traditional manual stratification, leading to more precise estimates at no additional cost.</w:t>
      </w:r>
    </w:p>
    <w:p w14:paraId="6F930281" w14:textId="77777777" w:rsidR="006E4997" w:rsidRPr="00107C19" w:rsidRDefault="006E4997" w:rsidP="006E4997">
      <w:pPr>
        <w:keepNext/>
        <w:numPr>
          <w:ilvl w:val="2"/>
          <w:numId w:val="14"/>
        </w:numPr>
        <w:spacing w:before="240" w:after="240" w:line="264" w:lineRule="auto"/>
        <w:outlineLvl w:val="2"/>
        <w:rPr>
          <w:rFonts w:ascii="Calibri" w:hAnsi="Calibri" w:cs="Calibri"/>
          <w:bCs/>
          <w:iCs/>
          <w:color w:val="000000" w:themeColor="text1"/>
          <w:kern w:val="32"/>
          <w:sz w:val="28"/>
          <w:szCs w:val="26"/>
        </w:rPr>
      </w:pPr>
      <w:bookmarkStart w:id="655" w:name="_Toc120873433"/>
      <w:r w:rsidRPr="00107C19">
        <w:rPr>
          <w:rFonts w:ascii="Calibri" w:hAnsi="Calibri" w:cs="Calibri"/>
          <w:bCs/>
          <w:iCs/>
          <w:color w:val="000000" w:themeColor="text1"/>
          <w:kern w:val="32"/>
          <w:sz w:val="28"/>
          <w:szCs w:val="26"/>
        </w:rPr>
        <w:t xml:space="preserve"> </w:t>
      </w:r>
      <w:bookmarkStart w:id="656" w:name="_Toc160186122"/>
      <w:r w:rsidRPr="00107C19">
        <w:rPr>
          <w:rFonts w:ascii="Calibri" w:hAnsi="Calibri" w:cs="Calibri"/>
          <w:bCs/>
          <w:iCs/>
          <w:color w:val="000000" w:themeColor="text1"/>
          <w:kern w:val="32"/>
          <w:sz w:val="28"/>
          <w:szCs w:val="26"/>
        </w:rPr>
        <w:t>Sampling Frames and Webscraping:</w:t>
      </w:r>
      <w:bookmarkEnd w:id="655"/>
      <w:bookmarkEnd w:id="656"/>
    </w:p>
    <w:p w14:paraId="75D40147"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For most NASS surveys, the sampling frame is the NASS list frame, which is ideally a complete and up-to-date list of all U.S. agricultural operations. However, as is the case with all list frames for complex populations, the NASS list frame is not complete; that is, not all farms are on the list.  This lack of completeness has significant implications for the quality of survey data and the official estimates.   NASS has examined the use of webscraping techniques to identify farms, especially the non-traditional agricultural operations, to measure the undercoverage of the NASS list frame.  NASS has collaborated with the Multi Agency Collaboration Environment (MACE), a cross-agency effort to create data sharing partnerships across the federal government, to harvest open-source information to develop webscraped lists of agricultural operations that are not well covered by the NASS list frame, such as urban farms, operators of farmers markets, and local food producers. </w:t>
      </w:r>
    </w:p>
    <w:p w14:paraId="6141E8B8"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 xml:space="preserve">NASS has been developing the capacity to conduct web scraping. Two webscraped list frames of hemp farms were created, one by MACE and the other by NASS. In FY 2022, MACE’s list was used to assess undercoverage in the Agricultural Marketing Service (AMS) list of licensed industrial hemp growers during the Hemp Acreage and Production Survey, a joint effort between NASS and AMS. The quality of the two webscraped list frames are being compared to each other and the AMS list, with a final report expected in FY 2024. </w:t>
      </w:r>
    </w:p>
    <w:p w14:paraId="3889B249"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lastRenderedPageBreak/>
        <w:t>As part of the list building process for the 2022 Census Mail List, 686 websites with names and addresses of agricultural operations were scraped in FY 2022. The information pulled from these websites was input into the record linkage list building process. If the websites are still active, they will be re-scraped once each census cycle. As new sites are discovered, they will be added to the webscraping process.  </w:t>
      </w:r>
    </w:p>
    <w:p w14:paraId="15897363" w14:textId="77777777" w:rsidR="006E4997" w:rsidRPr="00107C19" w:rsidRDefault="006E4997" w:rsidP="006E4997">
      <w:pPr>
        <w:keepNext/>
        <w:numPr>
          <w:ilvl w:val="2"/>
          <w:numId w:val="14"/>
        </w:numPr>
        <w:spacing w:before="240" w:after="240" w:line="264" w:lineRule="auto"/>
        <w:outlineLvl w:val="2"/>
        <w:rPr>
          <w:rFonts w:ascii="Calibri" w:hAnsi="Calibri" w:cs="Calibri"/>
          <w:bCs/>
          <w:iCs/>
          <w:color w:val="000000" w:themeColor="text1"/>
          <w:kern w:val="32"/>
          <w:sz w:val="28"/>
          <w:szCs w:val="26"/>
        </w:rPr>
      </w:pPr>
      <w:bookmarkStart w:id="657" w:name="_Toc120873434"/>
      <w:r w:rsidRPr="00107C19">
        <w:rPr>
          <w:rFonts w:ascii="Calibri" w:hAnsi="Calibri" w:cs="Calibri"/>
          <w:bCs/>
          <w:iCs/>
          <w:color w:val="000000" w:themeColor="text1"/>
          <w:kern w:val="32"/>
          <w:sz w:val="28"/>
          <w:szCs w:val="26"/>
        </w:rPr>
        <w:t xml:space="preserve"> </w:t>
      </w:r>
      <w:bookmarkStart w:id="658" w:name="_Toc160186123"/>
      <w:r w:rsidRPr="00107C19">
        <w:rPr>
          <w:rFonts w:ascii="Calibri" w:hAnsi="Calibri" w:cs="Calibri"/>
          <w:bCs/>
          <w:iCs/>
          <w:color w:val="000000" w:themeColor="text1"/>
          <w:kern w:val="32"/>
          <w:sz w:val="28"/>
          <w:szCs w:val="26"/>
        </w:rPr>
        <w:t>Geospatial Products:</w:t>
      </w:r>
      <w:bookmarkEnd w:id="657"/>
      <w:bookmarkEnd w:id="658"/>
      <w:r w:rsidRPr="00107C19">
        <w:rPr>
          <w:rFonts w:ascii="Calibri" w:hAnsi="Calibri" w:cs="Calibri"/>
          <w:bCs/>
          <w:iCs/>
          <w:color w:val="000000" w:themeColor="text1"/>
          <w:kern w:val="32"/>
          <w:sz w:val="28"/>
          <w:szCs w:val="26"/>
        </w:rPr>
        <w:t xml:space="preserve">  </w:t>
      </w:r>
    </w:p>
    <w:p w14:paraId="551C60C6"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 xml:space="preserve">NASS completed its 48-state Cropland Data Layer (CDL) in FY 2023 for the 2022 crop year, making 15 years of national CDLs available. </w:t>
      </w:r>
      <w:r w:rsidRPr="00107C19">
        <w:rPr>
          <w:rFonts w:ascii="Calibri" w:eastAsia="Times New Roman" w:hAnsi="Calibri"/>
          <w:color w:val="000000" w:themeColor="text1"/>
          <w:kern w:val="2"/>
          <w:szCs w:val="24"/>
          <w14:ligatures w14:val="standardContextual"/>
        </w:rPr>
        <w:t>The</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CDL</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is</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the</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agency’s</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core</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remote</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sensing</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product;</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it</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provides</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crop-specific land</w:t>
      </w:r>
      <w:r w:rsidRPr="00107C19">
        <w:rPr>
          <w:rFonts w:ascii="Calibri" w:eastAsia="Times New Roman" w:hAnsi="Calibri"/>
          <w:color w:val="000000" w:themeColor="text1"/>
          <w:spacing w:val="-1"/>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cover</w:t>
      </w:r>
      <w:r w:rsidRPr="00107C19">
        <w:rPr>
          <w:rFonts w:ascii="Calibri" w:eastAsia="Times New Roman" w:hAnsi="Calibri"/>
          <w:color w:val="000000" w:themeColor="text1"/>
          <w:spacing w:val="-1"/>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information</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and</w:t>
      </w:r>
      <w:r w:rsidRPr="00107C19">
        <w:rPr>
          <w:rFonts w:ascii="Calibri" w:eastAsia="Times New Roman" w:hAnsi="Calibri"/>
          <w:color w:val="000000" w:themeColor="text1"/>
          <w:spacing w:val="-1"/>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serves</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as</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the</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basis</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of</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acreage</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estimation.</w:t>
      </w:r>
      <w:r w:rsidRPr="00107C19">
        <w:rPr>
          <w:rFonts w:ascii="Calibri" w:eastAsia="Times New Roman" w:hAnsi="Calibri"/>
          <w:color w:val="000000" w:themeColor="text1"/>
          <w:spacing w:val="-1"/>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The</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CDL</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shows</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the</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type</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and</w:t>
      </w:r>
      <w:r w:rsidRPr="00107C19">
        <w:rPr>
          <w:rFonts w:ascii="Calibri" w:eastAsia="Times New Roman" w:hAnsi="Calibri"/>
          <w:color w:val="000000" w:themeColor="text1"/>
          <w:spacing w:val="-1"/>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location</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of</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crops planted in a particular season using freely available mid-resolution satellite imagery, such as Landsat 8 and 9 and Copernicus</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Programme</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Sentinel</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2a</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and</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2b;</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high-quality</w:t>
      </w:r>
      <w:r w:rsidRPr="00107C19">
        <w:rPr>
          <w:rFonts w:ascii="Calibri" w:eastAsia="Times New Roman" w:hAnsi="Calibri"/>
          <w:color w:val="000000" w:themeColor="text1"/>
          <w:spacing w:val="-4"/>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ground</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reference</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data;</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and</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efficient</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and</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robust</w:t>
      </w:r>
      <w:r w:rsidRPr="00107C19">
        <w:rPr>
          <w:rFonts w:ascii="Calibri" w:eastAsia="Times New Roman" w:hAnsi="Calibri"/>
          <w:color w:val="000000" w:themeColor="text1"/>
          <w:spacing w:val="-3"/>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land</w:t>
      </w:r>
      <w:r w:rsidRPr="00107C19">
        <w:rPr>
          <w:rFonts w:ascii="Calibri" w:eastAsia="Times New Roman" w:hAnsi="Calibri"/>
          <w:color w:val="000000" w:themeColor="text1"/>
          <w:spacing w:val="-2"/>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cover classification software</w:t>
      </w:r>
      <w:r w:rsidRPr="00107C19">
        <w:rPr>
          <w:rFonts w:ascii="Calibri" w:hAnsi="Calibri" w:cs="Calibri"/>
          <w:color w:val="000000" w:themeColor="text1"/>
          <w:kern w:val="2"/>
          <w:szCs w:val="24"/>
          <w14:ligatures w14:val="standardContextual"/>
        </w:rPr>
        <w:t xml:space="preserve">. NASS continued its collaboration with </w:t>
      </w:r>
      <w:r w:rsidRPr="00107C19">
        <w:rPr>
          <w:rFonts w:ascii="Calibri" w:hAnsi="Calibri" w:cs="Calibri"/>
          <w:bCs/>
          <w:color w:val="000000" w:themeColor="text1"/>
          <w:kern w:val="2"/>
          <w:szCs w:val="24"/>
          <w14:ligatures w14:val="standardContextual"/>
        </w:rPr>
        <w:t xml:space="preserve">the USDA Agricultural Research Service (ARS) to publish the end-of-year CDL on CroplandCROS ( </w:t>
      </w:r>
      <w:hyperlink r:id="rId51" w:history="1">
        <w:r w:rsidRPr="00107C19">
          <w:rPr>
            <w:rFonts w:ascii="Calibri" w:hAnsi="Calibri" w:cs="Calibri"/>
            <w:bCs/>
            <w:color w:val="000000" w:themeColor="text1"/>
            <w:kern w:val="2"/>
            <w:szCs w:val="24"/>
            <w:u w:val="single"/>
            <w14:ligatures w14:val="standardContextual"/>
          </w:rPr>
          <w:t>https://croplandcros.scinet.usda.gov</w:t>
        </w:r>
      </w:hyperlink>
      <w:r w:rsidRPr="00107C19">
        <w:rPr>
          <w:rFonts w:ascii="Calibri" w:hAnsi="Calibri" w:cs="Calibri"/>
          <w:bCs/>
          <w:color w:val="000000" w:themeColor="text1"/>
          <w:kern w:val="2"/>
          <w:szCs w:val="24"/>
          <w14:ligatures w14:val="standardContextual"/>
        </w:rPr>
        <w:t xml:space="preserve">) in the USDA cloud. </w:t>
      </w:r>
    </w:p>
    <w:p w14:paraId="3CB97488"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color w:val="000000" w:themeColor="text1"/>
          <w:kern w:val="2"/>
          <w:szCs w:val="24"/>
          <w14:ligatures w14:val="standardContextual"/>
        </w:rPr>
        <w:t>The 48-State Crop Frequency Layers, a CDL derivative, were released in FY 2023 for the 2022 crop season. The Crop Frequency Layers identify crop-specific planting frequencies and are based on land cover information derived from the 2008 through 2022 CDL. Currently, these are produced for corn, soybeans, wheat, and cotton.  Additionally, the 48-State Cultivated Layer was published that identifies the most recent five years (2018-2022) of cultivated land.</w:t>
      </w:r>
    </w:p>
    <w:p w14:paraId="31B84EC3"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hAnsi="Calibri" w:cs="Calibri"/>
          <w:bCs/>
          <w:color w:val="000000" w:themeColor="text1"/>
          <w:kern w:val="2"/>
          <w:szCs w:val="24"/>
          <w14:ligatures w14:val="standardContextual"/>
        </w:rPr>
        <w:t xml:space="preserve">The Crop Condition and Soil Moisture Application (Crop-CASMA), ( </w:t>
      </w:r>
      <w:hyperlink r:id="rId52" w:history="1">
        <w:r w:rsidRPr="00107C19">
          <w:rPr>
            <w:rFonts w:ascii="Calibri" w:hAnsi="Calibri" w:cs="Calibri"/>
            <w:bCs/>
            <w:color w:val="000000" w:themeColor="text1"/>
            <w:kern w:val="2"/>
            <w:szCs w:val="24"/>
            <w:u w:val="single"/>
            <w14:ligatures w14:val="standardContextual"/>
          </w:rPr>
          <w:t>https://cloud.csiss.gmu.edu/Crop-CASMA</w:t>
        </w:r>
      </w:hyperlink>
      <w:r w:rsidRPr="00107C19">
        <w:rPr>
          <w:rFonts w:ascii="Calibri" w:hAnsi="Calibri" w:cs="Calibri"/>
          <w:bCs/>
          <w:color w:val="000000" w:themeColor="text1"/>
          <w:kern w:val="2"/>
          <w:szCs w:val="24"/>
          <w14:ligatures w14:val="standardContextual"/>
        </w:rPr>
        <w:t xml:space="preserve">) continues to provide daily and weekly top and subsoil volumetric and categorical measurements; the measurements have been calibrated to the categorical moisture assessments presented in the weekly NASS Crop Progress and Condition Report. This product facilitates early determination of drought stress and excessive water or inundation. </w:t>
      </w:r>
      <w:r w:rsidRPr="00107C19">
        <w:rPr>
          <w:rFonts w:ascii="Calibri" w:hAnsi="Calibri" w:cs="Calibri"/>
          <w:color w:val="000000" w:themeColor="text1"/>
          <w:kern w:val="2"/>
          <w:szCs w:val="24"/>
          <w14:ligatures w14:val="standardContextual"/>
        </w:rPr>
        <w:t>NASS continues to produce national scale coverage from VegScape, which is a geospatial data service offering automated updates of vegetative conditions at daily, weekly, and biweekly intervals. The Delta and California Regional Field Offices included CropCASMA updates into their weekly Crop Process and Condition Reports.</w:t>
      </w:r>
    </w:p>
    <w:p w14:paraId="06B26204" w14:textId="7AF54729" w:rsidR="006E4997" w:rsidRPr="00107C19" w:rsidRDefault="006E4997" w:rsidP="006E4997">
      <w:pPr>
        <w:rPr>
          <w:rFonts w:ascii="Calibri" w:hAnsi="Calibri" w:cs="Calibri"/>
          <w:bCs/>
          <w:color w:val="000000" w:themeColor="text1"/>
          <w:kern w:val="2"/>
          <w:szCs w:val="24"/>
          <w14:ligatures w14:val="standardContextual"/>
        </w:rPr>
      </w:pPr>
      <w:r w:rsidRPr="00107C19">
        <w:rPr>
          <w:rFonts w:ascii="Calibri" w:hAnsi="Calibri" w:cs="Calibri"/>
          <w:bCs/>
          <w:color w:val="000000" w:themeColor="text1"/>
          <w:kern w:val="2"/>
          <w:szCs w:val="24"/>
          <w14:ligatures w14:val="standardContextual"/>
        </w:rPr>
        <w:t>The Crop Progress and Condition Layer added winter wheat to the data catalog in FY 2023 (</w:t>
      </w:r>
      <w:hyperlink r:id="rId53" w:history="1">
        <w:r w:rsidRPr="00107C19">
          <w:rPr>
            <w:rFonts w:ascii="Calibri" w:hAnsi="Calibri" w:cs="Calibri"/>
            <w:bCs/>
            <w:color w:val="000000" w:themeColor="text1"/>
            <w:kern w:val="2"/>
            <w:szCs w:val="24"/>
            <w:u w:val="single"/>
            <w14:ligatures w14:val="standardContextual"/>
          </w:rPr>
          <w:t>https://www.nass.usda.gov/Research_and_Science/Crop_Progress_Gridded_Layers/index.php</w:t>
        </w:r>
      </w:hyperlink>
      <w:r w:rsidRPr="00107C19">
        <w:rPr>
          <w:rFonts w:ascii="Calibri" w:hAnsi="Calibri" w:cs="Calibri"/>
          <w:bCs/>
          <w:color w:val="000000" w:themeColor="text1"/>
          <w:kern w:val="2"/>
          <w:szCs w:val="24"/>
          <w14:ligatures w14:val="standardContextual"/>
        </w:rPr>
        <w:t xml:space="preserve">). This gridded geospatial dataset provides fully synthetic representations of confidential, county-level data for corn, cotton, soybeans, and (beginning in 2023) wheat. The current archive of these datasets </w:t>
      </w:r>
      <w:r w:rsidR="00AE19C1" w:rsidRPr="00107C19">
        <w:rPr>
          <w:rFonts w:ascii="Calibri" w:hAnsi="Calibri" w:cs="Calibri"/>
          <w:bCs/>
          <w:color w:val="000000" w:themeColor="text1"/>
          <w:kern w:val="2"/>
          <w:szCs w:val="24"/>
          <w14:ligatures w14:val="standardContextual"/>
        </w:rPr>
        <w:t>spans</w:t>
      </w:r>
      <w:r w:rsidRPr="00107C19">
        <w:rPr>
          <w:rFonts w:ascii="Calibri" w:hAnsi="Calibri" w:cs="Calibri"/>
          <w:bCs/>
          <w:color w:val="000000" w:themeColor="text1"/>
          <w:kern w:val="2"/>
          <w:szCs w:val="24"/>
          <w14:ligatures w14:val="standardContextual"/>
        </w:rPr>
        <w:t xml:space="preserve"> growing-season weeks for all years from 2015 to present. </w:t>
      </w:r>
    </w:p>
    <w:p w14:paraId="0466D866"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Geospatial decision-support products were derived and provided for rapid response to assess natural disasters. </w:t>
      </w:r>
      <w:r w:rsidRPr="00107C19">
        <w:rPr>
          <w:rFonts w:ascii="Calibri" w:eastAsia="Times New Roman" w:hAnsi="Calibri"/>
          <w:color w:val="000000" w:themeColor="text1"/>
          <w:kern w:val="2"/>
          <w:szCs w:val="24"/>
          <w14:ligatures w14:val="standardContextual"/>
        </w:rPr>
        <w:t xml:space="preserve">Hurricanes Nicole in November 2022 and Idalia in September 2023 were assessed for flooding and potential agricultural losses in Florida. In June 2023, a Midwestern Derecho was assessed for widespread destructive winds damaging several forested and agricultural areas, and agricultural infrastructure. In August 2023, an assessment was made of the Hawaiian Wildfires driven by high wind conditions that impacted agricultural lands. </w:t>
      </w:r>
      <w:r w:rsidRPr="00107C19">
        <w:rPr>
          <w:rFonts w:ascii="Calibri" w:eastAsia="Times New Roman" w:hAnsi="Calibri" w:cs="Calibri"/>
          <w:color w:val="000000" w:themeColor="text1"/>
          <w:kern w:val="2"/>
          <w:szCs w:val="24"/>
          <w14:ligatures w14:val="standardContextual"/>
        </w:rPr>
        <w:t xml:space="preserve">All disaster assessment analyses were performed within Google Earth Engine. </w:t>
      </w:r>
      <w:r w:rsidRPr="00107C19">
        <w:rPr>
          <w:rFonts w:ascii="Calibri" w:eastAsia="Times New Roman" w:hAnsi="Calibri"/>
          <w:color w:val="000000" w:themeColor="text1"/>
          <w:kern w:val="2"/>
          <w:szCs w:val="24"/>
          <w14:ligatures w14:val="standardContextual"/>
        </w:rPr>
        <w:t xml:space="preserve">The geospatial data assessment products were derived from remote sensing </w:t>
      </w:r>
      <w:r w:rsidRPr="00107C19">
        <w:rPr>
          <w:rFonts w:ascii="Calibri" w:eastAsia="Times New Roman" w:hAnsi="Calibri"/>
          <w:color w:val="000000" w:themeColor="text1"/>
          <w:kern w:val="2"/>
          <w:szCs w:val="24"/>
          <w14:ligatures w14:val="standardContextual"/>
        </w:rPr>
        <w:lastRenderedPageBreak/>
        <w:t xml:space="preserve">satellites such as MODIS, Sentinel-1 Synthetic Aperture Radar (SAR), and Sentinel-2. National Hurricane Center and Central Pacific Hurricane Center, and NOAA National Weather Service provided wind speed (gust) and tornado track data for the hurricane and derecho events. Hawaiian burned areas were visually confirmed using WorldView-3, WorldView-2, and GeoEye-1 © 2023 Maxar, USG Plus imagery. </w:t>
      </w:r>
      <w:r w:rsidRPr="00107C19">
        <w:rPr>
          <w:rFonts w:ascii="Calibri" w:eastAsia="Times New Roman" w:hAnsi="Calibri" w:cs="Calibri"/>
          <w:color w:val="000000" w:themeColor="text1"/>
          <w:kern w:val="2"/>
          <w:szCs w:val="24"/>
          <w14:ligatures w14:val="standardContextual"/>
        </w:rPr>
        <w:t xml:space="preserve">The disaster assessment reports, maps, crop inundation raster layers, metadata and a methodology report were posted on the NASS website for public dissemination at  </w:t>
      </w:r>
      <w:hyperlink r:id="rId54" w:history="1">
        <w:r w:rsidRPr="00107C19">
          <w:rPr>
            <w:rFonts w:ascii="Calibri" w:hAnsi="Calibri" w:cs="Calibri"/>
            <w:color w:val="000000" w:themeColor="text1"/>
            <w:kern w:val="2"/>
            <w:szCs w:val="24"/>
            <w:u w:val="single"/>
            <w14:ligatures w14:val="standardContextual"/>
          </w:rPr>
          <w:t>https://www.nass.usda.gov/Research_and_Science/Disaster-Analysis/index.php</w:t>
        </w:r>
      </w:hyperlink>
      <w:r w:rsidRPr="00107C19">
        <w:rPr>
          <w:rFonts w:ascii="Calibri" w:eastAsia="Times New Roman" w:hAnsi="Calibri" w:cs="Calibri"/>
          <w:color w:val="000000" w:themeColor="text1"/>
          <w:kern w:val="2"/>
          <w:szCs w:val="24"/>
          <w14:ligatures w14:val="standardContextual"/>
        </w:rPr>
        <w:t>.  Final reports, excluding in-season crop and pasture hay estimates, were posted on the NASS website for public use.</w:t>
      </w:r>
    </w:p>
    <w:p w14:paraId="78886338"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hAnsi="Calibri" w:cs="Calibri"/>
          <w:bCs/>
          <w:color w:val="000000" w:themeColor="text1"/>
          <w:kern w:val="2"/>
          <w:szCs w:val="24"/>
          <w14:ligatures w14:val="standardContextual"/>
        </w:rPr>
        <w:t>A new geospatial product, the Crop Sequence Boundaries (CSBs) (</w:t>
      </w:r>
      <w:hyperlink r:id="rId55" w:history="1">
        <w:r w:rsidRPr="00107C19">
          <w:rPr>
            <w:rFonts w:ascii="Calibri" w:hAnsi="Calibri" w:cs="Calibri"/>
            <w:bCs/>
            <w:color w:val="000000" w:themeColor="text1"/>
            <w:kern w:val="2"/>
            <w:szCs w:val="24"/>
            <w:u w:val="single"/>
            <w14:ligatures w14:val="standardContextual"/>
          </w:rPr>
          <w:t>https://www.nass.usda.gov/Research_and_Science/Crop-Sequence-Boundaries/index.php</w:t>
        </w:r>
      </w:hyperlink>
      <w:r w:rsidRPr="00107C19">
        <w:rPr>
          <w:rFonts w:ascii="Calibri" w:hAnsi="Calibri" w:cs="Calibri"/>
          <w:bCs/>
          <w:color w:val="000000" w:themeColor="text1"/>
          <w:kern w:val="2"/>
          <w:szCs w:val="24"/>
          <w14:ligatures w14:val="standardContextual"/>
        </w:rPr>
        <w:t xml:space="preserve">) was developed collaboratively with the USDA Economic Research Service. </w:t>
      </w:r>
      <w:r w:rsidRPr="00107C19">
        <w:rPr>
          <w:rFonts w:ascii="Calibri" w:eastAsia="Times New Roman" w:hAnsi="Calibri" w:cs="Calibri"/>
          <w:color w:val="000000" w:themeColor="text1"/>
          <w:kern w:val="2"/>
          <w:szCs w:val="24"/>
          <w14:ligatures w14:val="standardContextual"/>
        </w:rPr>
        <w:t xml:space="preserve">This annual dataset provides synthetic agricultural field polygons, including their acreage and crop rotation history, for the conterminous U.S. The CSBs are used at NASS for multiple purposes, such as serving as a foundation for modeling and improving coverage of the NASS list frame. </w:t>
      </w:r>
      <w:r w:rsidRPr="00107C19">
        <w:rPr>
          <w:rFonts w:ascii="Calibri" w:hAnsi="Calibri" w:cs="Calibri"/>
          <w:bCs/>
          <w:color w:val="000000" w:themeColor="text1"/>
          <w:kern w:val="2"/>
          <w:szCs w:val="24"/>
          <w14:ligatures w14:val="standardContextual"/>
        </w:rPr>
        <w:t>CSBs were released as a public dataset in FY 2023, and the archive spans from 2015 to present.</w:t>
      </w:r>
    </w:p>
    <w:p w14:paraId="235354F4"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59" w:name="_Toc120873435"/>
      <w:r w:rsidRPr="00107C19">
        <w:rPr>
          <w:rFonts w:ascii="Calibri" w:eastAsia="Times New Roman" w:hAnsi="Calibri" w:cs="Calibri"/>
          <w:bCs/>
          <w:iCs/>
          <w:color w:val="000000" w:themeColor="text1"/>
          <w:kern w:val="32"/>
          <w:sz w:val="28"/>
          <w:szCs w:val="26"/>
        </w:rPr>
        <w:t xml:space="preserve"> </w:t>
      </w:r>
      <w:bookmarkStart w:id="660" w:name="_Toc160186124"/>
      <w:r w:rsidRPr="00107C19">
        <w:rPr>
          <w:rFonts w:ascii="Calibri" w:eastAsia="Times New Roman" w:hAnsi="Calibri" w:cs="Calibri"/>
          <w:bCs/>
          <w:iCs/>
          <w:color w:val="000000" w:themeColor="text1"/>
          <w:kern w:val="32"/>
          <w:sz w:val="28"/>
          <w:szCs w:val="26"/>
        </w:rPr>
        <w:t>Data Collection Enhancement for the Census of Agriculture and NASS Surveys:</w:t>
      </w:r>
      <w:bookmarkEnd w:id="659"/>
      <w:bookmarkEnd w:id="660"/>
      <w:r w:rsidRPr="00107C19">
        <w:rPr>
          <w:rFonts w:ascii="Calibri" w:eastAsia="Times New Roman" w:hAnsi="Calibri" w:cs="Calibri"/>
          <w:bCs/>
          <w:iCs/>
          <w:color w:val="000000" w:themeColor="text1"/>
          <w:kern w:val="32"/>
          <w:sz w:val="28"/>
          <w:szCs w:val="26"/>
        </w:rPr>
        <w:t xml:space="preserve">  </w:t>
      </w:r>
    </w:p>
    <w:p w14:paraId="4EEEE6FC" w14:textId="77777777" w:rsidR="006E4997" w:rsidRPr="00107C19" w:rsidRDefault="006E4997" w:rsidP="006E4997">
      <w:pPr>
        <w:rPr>
          <w:rFonts w:ascii="Calibri" w:hAnsi="Calibri" w:cs="Calibri"/>
          <w:color w:val="000000" w:themeColor="text1"/>
          <w:kern w:val="2"/>
          <w:szCs w:val="24"/>
          <w14:ligatures w14:val="standardContextual"/>
        </w:rPr>
      </w:pPr>
      <w:r w:rsidRPr="00107C19">
        <w:rPr>
          <w:rFonts w:ascii="Calibri" w:eastAsia="Times New Roman" w:hAnsi="Calibri" w:cs="Calibri"/>
          <w:bCs/>
          <w:color w:val="000000" w:themeColor="text1"/>
          <w:kern w:val="2"/>
          <w:szCs w:val="24"/>
          <w14:ligatures w14:val="standardContextual"/>
        </w:rPr>
        <w:t xml:space="preserve">During FY 2023, NASS successfully collected data for all surveys and the 2022 Census of Agriculture via the NASS Respondent Portal, a modern, responsive web, data-collection system. The Respondent Portal provides a single point of entry for respondents to complete NASS surveys and censuses </w:t>
      </w:r>
      <w:r w:rsidRPr="00107C19">
        <w:rPr>
          <w:rFonts w:ascii="Calibri" w:eastAsia="Times New Roman" w:hAnsi="Calibri" w:cs="Calibri"/>
          <w:color w:val="000000" w:themeColor="text1"/>
          <w:kern w:val="2"/>
          <w:szCs w:val="24"/>
          <w14:ligatures w14:val="standardContextual"/>
        </w:rPr>
        <w:t>and quickly access their most requested links. NASS continues to realize increased responses via the web with nearly 40% of all 2022 Census of Agriculture responses coming from web reporting, compared to just under 25% five years ago. This web-based data collection instrument provides respondents streamlined reporting with better options to ‘save and return’ along with the ability for the producer to print a copy for their records. The online tool speeds up reporting for the respondent by customizing the instrument based on the types of crops and livestock they produce. Also, for the first time, NASS provided online respondents with access to select data that they have previously reported for other NASS survey programs.</w:t>
      </w:r>
    </w:p>
    <w:p w14:paraId="3E20434A"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61" w:name="_Toc120873437"/>
      <w:r w:rsidRPr="00107C19">
        <w:rPr>
          <w:rFonts w:ascii="Calibri" w:eastAsia="Times New Roman" w:hAnsi="Calibri" w:cs="Calibri"/>
          <w:bCs/>
          <w:iCs/>
          <w:color w:val="000000" w:themeColor="text1"/>
          <w:kern w:val="32"/>
          <w:sz w:val="28"/>
          <w:szCs w:val="26"/>
        </w:rPr>
        <w:t xml:space="preserve"> </w:t>
      </w:r>
      <w:bookmarkStart w:id="662" w:name="_Toc160186125"/>
      <w:r w:rsidRPr="00107C19">
        <w:rPr>
          <w:rFonts w:ascii="Calibri" w:eastAsia="Times New Roman" w:hAnsi="Calibri" w:cs="Calibri"/>
          <w:bCs/>
          <w:iCs/>
          <w:color w:val="000000" w:themeColor="text1"/>
          <w:kern w:val="32"/>
          <w:sz w:val="28"/>
          <w:szCs w:val="26"/>
        </w:rPr>
        <w:t>Using Email and Text Communications in Data Collection:</w:t>
      </w:r>
      <w:bookmarkEnd w:id="661"/>
      <w:bookmarkEnd w:id="662"/>
      <w:r w:rsidRPr="00107C19">
        <w:rPr>
          <w:rFonts w:ascii="Calibri" w:eastAsia="Times New Roman" w:hAnsi="Calibri" w:cs="Calibri"/>
          <w:bCs/>
          <w:iCs/>
          <w:color w:val="000000" w:themeColor="text1"/>
          <w:kern w:val="32"/>
          <w:sz w:val="28"/>
          <w:szCs w:val="26"/>
        </w:rPr>
        <w:t xml:space="preserve">  </w:t>
      </w:r>
    </w:p>
    <w:p w14:paraId="76C23D61" w14:textId="77777777" w:rsidR="006E4997" w:rsidRPr="00107C19" w:rsidRDefault="006E4997" w:rsidP="006E4997">
      <w:pPr>
        <w:spacing w:after="0"/>
        <w:rPr>
          <w:rFonts w:ascii="Calibri" w:hAnsi="Calibri" w:cs="Calibri"/>
          <w:color w:val="000000" w:themeColor="text1"/>
          <w:szCs w:val="24"/>
        </w:rPr>
      </w:pPr>
      <w:r w:rsidRPr="00107C19">
        <w:rPr>
          <w:rFonts w:ascii="Calibri" w:hAnsi="Calibri" w:cs="Calibri"/>
          <w:color w:val="000000" w:themeColor="text1"/>
          <w:szCs w:val="24"/>
        </w:rPr>
        <w:t xml:space="preserve">To expand NASS’s communication methods with agricultural operators, the agency developed a custom-built system called the NASS Enterprise Messaging Outreach (NEMO) system. This system allows NASS to provide electronic data collection reminders or alerts with links that facilitate easier access to NASS web, data-collection instruments and helps encourage operators to complete questionnaires before the due date. The NEMO system allows and controls electronic messaging with agricultural operators through a multi-stage process for designing, approving, verifying, and tracking message campaigns. The NEMO system is designed to meet the requirements of federal email and text regulations such as the Telephone Consumer Protection Act (TCPA) and the CAN-SPAM Act.  </w:t>
      </w:r>
    </w:p>
    <w:p w14:paraId="14B9A7BB" w14:textId="77777777" w:rsidR="006E4997" w:rsidRPr="00107C19" w:rsidRDefault="006E4997" w:rsidP="006E4997">
      <w:pPr>
        <w:rPr>
          <w:rFonts w:ascii="Calibri" w:hAnsi="Calibri" w:cs="Calibri"/>
          <w:color w:val="000000" w:themeColor="text1"/>
          <w:szCs w:val="24"/>
        </w:rPr>
      </w:pPr>
      <w:r w:rsidRPr="00107C19">
        <w:rPr>
          <w:rFonts w:ascii="Calibri" w:hAnsi="Calibri" w:cs="Calibri"/>
          <w:color w:val="000000" w:themeColor="text1"/>
          <w:szCs w:val="24"/>
        </w:rPr>
        <w:t xml:space="preserve">In FY 2023, NASS used the NEMO system to send nearly 1.5 million emails and 7,500 texts to remind agricultural operators to participate in the 2022 Census of Agriculture. NASS also sent electronic </w:t>
      </w:r>
      <w:r w:rsidRPr="00107C19">
        <w:rPr>
          <w:rFonts w:ascii="Calibri" w:hAnsi="Calibri" w:cs="Calibri"/>
          <w:color w:val="000000" w:themeColor="text1"/>
          <w:szCs w:val="24"/>
        </w:rPr>
        <w:lastRenderedPageBreak/>
        <w:t xml:space="preserve">reminders for 45 other surveys in FY 2023. Electronic reminders are cheaper and faster than mailed reminders and help reduce the need for more costly follow-up methods. They also have links that make it easier for operators to access NASS web instruments and complete questionnaires on time. Operators can reply to the reminders to contact NASS with any questions or issues. </w:t>
      </w:r>
    </w:p>
    <w:p w14:paraId="31645D38"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In FY 2023, NASS prepared its policy and standards documentation to set up a complete set of standards and guidelines for managing and sending email and text reminders. NASS will keep working on improving its communication strategy with other contact methods. This can enhance relationships with agricultural operators and save agency resources. In FY 2024, NASS will continue evaluating the analytics and effectiveness of electronic campaigns to ensure future success.</w:t>
      </w:r>
    </w:p>
    <w:p w14:paraId="7258EE3B"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r w:rsidRPr="00107C19">
        <w:rPr>
          <w:rFonts w:ascii="Calibri" w:eastAsia="Times New Roman" w:hAnsi="Calibri" w:cs="Calibri"/>
          <w:bCs/>
          <w:iCs/>
          <w:color w:val="000000" w:themeColor="text1"/>
          <w:kern w:val="32"/>
          <w:sz w:val="28"/>
          <w:szCs w:val="26"/>
        </w:rPr>
        <w:t xml:space="preserve">  </w:t>
      </w:r>
      <w:bookmarkStart w:id="663" w:name="_Toc160186126"/>
      <w:r w:rsidRPr="00107C19">
        <w:rPr>
          <w:rFonts w:ascii="Calibri" w:eastAsia="Times New Roman" w:hAnsi="Calibri" w:cs="Calibri"/>
          <w:bCs/>
          <w:iCs/>
          <w:color w:val="000000" w:themeColor="text1"/>
          <w:kern w:val="32"/>
          <w:sz w:val="28"/>
          <w:szCs w:val="26"/>
        </w:rPr>
        <w:t>Computer-Assisted Personal Interviewing (CAPI):</w:t>
      </w:r>
      <w:bookmarkEnd w:id="663"/>
      <w:r w:rsidRPr="00107C19">
        <w:rPr>
          <w:rFonts w:ascii="Calibri" w:eastAsia="Times New Roman" w:hAnsi="Calibri" w:cs="Calibri"/>
          <w:bCs/>
          <w:iCs/>
          <w:color w:val="000000" w:themeColor="text1"/>
          <w:kern w:val="32"/>
          <w:sz w:val="28"/>
          <w:szCs w:val="26"/>
        </w:rPr>
        <w:t xml:space="preserve">   </w:t>
      </w:r>
    </w:p>
    <w:p w14:paraId="58B832CF" w14:textId="77777777" w:rsidR="006E4997" w:rsidRPr="00107C19" w:rsidRDefault="006E4997" w:rsidP="006E4997">
      <w:pPr>
        <w:rPr>
          <w:rFonts w:ascii="Calibri" w:hAnsi="Calibri" w:cs="Calibri"/>
          <w:color w:val="000000" w:themeColor="text1"/>
          <w:szCs w:val="24"/>
        </w:rPr>
      </w:pPr>
      <w:r w:rsidRPr="00107C19">
        <w:rPr>
          <w:rFonts w:ascii="Calibri" w:hAnsi="Calibri" w:cs="Calibri"/>
          <w:color w:val="000000" w:themeColor="text1"/>
          <w:szCs w:val="24"/>
        </w:rPr>
        <w:t xml:space="preserve">CAPI is a tool that NASS uses to simplify and control survey data collection remotely. It reduces costs, enhances data collection processes, and protects data security. CAPI relies on cloud technology, broadband transmission, and mobile tablets that do not keep any data on the hard drive. </w:t>
      </w:r>
    </w:p>
    <w:p w14:paraId="2D822643" w14:textId="77777777" w:rsidR="006E4997" w:rsidRPr="00107C19" w:rsidRDefault="006E4997" w:rsidP="006E4997">
      <w:pPr>
        <w:rPr>
          <w:rFonts w:ascii="Calibri" w:hAnsi="Calibri" w:cs="Calibri"/>
          <w:color w:val="000000" w:themeColor="text1"/>
          <w:szCs w:val="24"/>
        </w:rPr>
      </w:pPr>
      <w:r w:rsidRPr="00107C19">
        <w:rPr>
          <w:rFonts w:ascii="Calibri" w:hAnsi="Calibri" w:cs="Calibri"/>
          <w:color w:val="000000" w:themeColor="text1"/>
          <w:szCs w:val="24"/>
        </w:rPr>
        <w:t xml:space="preserve">NASS conducted a thorough review of the CAPI application in FY 2023 and applied numerous effective solutions that boost stability, performance, and user experience. These changes enable CAPI to remain a vital component in NASS’s remote management of mission critical data collections across twelve regional field offices. </w:t>
      </w:r>
    </w:p>
    <w:p w14:paraId="7502A3DD" w14:textId="77777777" w:rsidR="006E4997" w:rsidRPr="00107C19" w:rsidRDefault="006E4997" w:rsidP="006E4997">
      <w:pPr>
        <w:rPr>
          <w:rFonts w:ascii="Calibri" w:hAnsi="Calibri" w:cs="Calibri"/>
          <w:color w:val="000000" w:themeColor="text1"/>
          <w:szCs w:val="24"/>
        </w:rPr>
      </w:pPr>
      <w:r w:rsidRPr="00107C19">
        <w:rPr>
          <w:rFonts w:ascii="Calibri" w:hAnsi="Calibri" w:cs="Calibri"/>
          <w:color w:val="000000" w:themeColor="text1"/>
          <w:szCs w:val="24"/>
        </w:rPr>
        <w:t>NASS also developed a CAPI call scheduler solution in FY 2023 that will help field enumerators collect data from survey respondents. The call scheduler has a softphone, case delivery and automatic dialing features that will allow enumerators to increase efficiency and capacity of calling. NASS will test the call scheduler in a pilot study with a few enumerators in two regional field offices in early FY 2024 to assess its impact on NASS data collection efficiency. NASS will review the results of the pilot and apply the lessons learned before fully implementing the call scheduler across all regional field offices.</w:t>
      </w:r>
    </w:p>
    <w:p w14:paraId="01555917"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r w:rsidRPr="00107C19">
        <w:rPr>
          <w:rFonts w:ascii="Calibri" w:eastAsia="Times New Roman" w:hAnsi="Calibri" w:cs="Calibri"/>
          <w:bCs/>
          <w:iCs/>
          <w:color w:val="000000" w:themeColor="text1"/>
          <w:kern w:val="32"/>
          <w:sz w:val="28"/>
          <w:szCs w:val="26"/>
        </w:rPr>
        <w:t xml:space="preserve">  </w:t>
      </w:r>
      <w:bookmarkStart w:id="664" w:name="_Toc160186127"/>
      <w:r w:rsidRPr="00107C19">
        <w:rPr>
          <w:rFonts w:ascii="Calibri" w:eastAsia="Times New Roman" w:hAnsi="Calibri" w:cs="Calibri"/>
          <w:bCs/>
          <w:iCs/>
          <w:color w:val="000000" w:themeColor="text1"/>
          <w:kern w:val="32"/>
          <w:sz w:val="28"/>
          <w:szCs w:val="26"/>
        </w:rPr>
        <w:t>NASS Mobility Management:</w:t>
      </w:r>
      <w:bookmarkEnd w:id="664"/>
    </w:p>
    <w:p w14:paraId="424767F3" w14:textId="77777777" w:rsidR="006E4997" w:rsidRPr="00107C19" w:rsidRDefault="006E4997" w:rsidP="006E4997">
      <w:pPr>
        <w:rPr>
          <w:rFonts w:ascii="Calibri" w:hAnsi="Calibri" w:cs="Calibri"/>
          <w:color w:val="000000" w:themeColor="text1"/>
          <w:szCs w:val="24"/>
        </w:rPr>
      </w:pPr>
      <w:r w:rsidRPr="00107C19">
        <w:rPr>
          <w:rFonts w:ascii="Calibri" w:hAnsi="Calibri" w:cs="Calibri"/>
          <w:color w:val="000000" w:themeColor="text1"/>
          <w:szCs w:val="24"/>
        </w:rPr>
        <w:t>The integration of IT services with the USDA Office of the Chief Information Officer’s (OCIO’s) Client Experience Center (CEC) and the change of work assignments by some key experts made it more challenging for NASS to manage its mobility inventory. NASS worked with CEC specialists in FY 2023 to update its mobile device inventory and match the records of Telecom Provider services with CEC’s internal records. NASS has now set up procedures to handle its mobile devices, which maintain accuracy of the records, improve efficiency, and provide future cost savings.</w:t>
      </w:r>
    </w:p>
    <w:p w14:paraId="486BAFA4"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r w:rsidRPr="00107C19">
        <w:rPr>
          <w:rFonts w:ascii="Calibri" w:hAnsi="Calibri" w:cs="Calibri"/>
          <w:bCs/>
          <w:iCs/>
          <w:color w:val="000000" w:themeColor="text1"/>
          <w:kern w:val="32"/>
          <w:sz w:val="28"/>
          <w:szCs w:val="26"/>
        </w:rPr>
        <w:t xml:space="preserve"> </w:t>
      </w:r>
      <w:bookmarkStart w:id="665" w:name="_Toc120873439"/>
      <w:bookmarkStart w:id="666" w:name="_Toc160186128"/>
      <w:r w:rsidRPr="00107C19">
        <w:rPr>
          <w:rFonts w:ascii="Calibri" w:eastAsia="Times New Roman" w:hAnsi="Calibri" w:cs="Calibri"/>
          <w:bCs/>
          <w:iCs/>
          <w:color w:val="000000" w:themeColor="text1"/>
          <w:kern w:val="32"/>
          <w:sz w:val="28"/>
          <w:szCs w:val="26"/>
        </w:rPr>
        <w:t>NASS Data Collection Systems and Applications:</w:t>
      </w:r>
      <w:bookmarkEnd w:id="665"/>
      <w:bookmarkEnd w:id="666"/>
      <w:r w:rsidRPr="00107C19">
        <w:rPr>
          <w:rFonts w:ascii="Calibri" w:eastAsia="Times New Roman" w:hAnsi="Calibri" w:cs="Calibri"/>
          <w:bCs/>
          <w:iCs/>
          <w:color w:val="000000" w:themeColor="text1"/>
          <w:kern w:val="32"/>
          <w:sz w:val="28"/>
          <w:szCs w:val="26"/>
        </w:rPr>
        <w:t xml:space="preserve">  </w:t>
      </w:r>
    </w:p>
    <w:p w14:paraId="663E0E21"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NASS achieved the Department’s goal of moving its data collection systems and applications to the Cloud Environment. The move was a challenging and cooperative effort with CEC, as NASS had to make sure that its systems and applications worked well before launching its critical data collections, such as the 2022 Census of Agriculture. This move is an important step in NASS’s efforts to use the most advanced technology to make its data collection systems more flexible, dependable, and user-friendly.</w:t>
      </w:r>
    </w:p>
    <w:p w14:paraId="75B0E2E0"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r w:rsidRPr="00107C19">
        <w:rPr>
          <w:rFonts w:ascii="Calibri" w:eastAsia="Times New Roman" w:hAnsi="Calibri" w:cs="Calibri"/>
          <w:bCs/>
          <w:iCs/>
          <w:color w:val="000000" w:themeColor="text1"/>
          <w:kern w:val="32"/>
          <w:sz w:val="28"/>
          <w:szCs w:val="26"/>
        </w:rPr>
        <w:lastRenderedPageBreak/>
        <w:t xml:space="preserve"> </w:t>
      </w:r>
      <w:bookmarkStart w:id="667" w:name="_Toc160186129"/>
      <w:r w:rsidRPr="00107C19">
        <w:rPr>
          <w:rFonts w:ascii="Calibri" w:eastAsia="Times New Roman" w:hAnsi="Calibri" w:cs="Calibri"/>
          <w:bCs/>
          <w:iCs/>
          <w:color w:val="000000" w:themeColor="text1"/>
          <w:kern w:val="32"/>
          <w:sz w:val="28"/>
          <w:szCs w:val="26"/>
        </w:rPr>
        <w:t>Print Order Tracking System:</w:t>
      </w:r>
      <w:bookmarkEnd w:id="667"/>
      <w:r w:rsidRPr="00107C19">
        <w:rPr>
          <w:rFonts w:ascii="Calibri" w:eastAsia="Times New Roman" w:hAnsi="Calibri" w:cs="Calibri"/>
          <w:bCs/>
          <w:iCs/>
          <w:color w:val="000000" w:themeColor="text1"/>
          <w:kern w:val="32"/>
          <w:sz w:val="28"/>
          <w:szCs w:val="26"/>
        </w:rPr>
        <w:t xml:space="preserve">  </w:t>
      </w:r>
    </w:p>
    <w:p w14:paraId="1DFC91E1" w14:textId="77777777" w:rsidR="006E4997" w:rsidRPr="00107C19" w:rsidRDefault="006E4997" w:rsidP="006E4997">
      <w:pPr>
        <w:rPr>
          <w:rFonts w:ascii="Calibri" w:hAnsi="Calibri" w:cs="Calibri"/>
          <w:color w:val="000000" w:themeColor="text1"/>
          <w:szCs w:val="24"/>
        </w:rPr>
      </w:pPr>
      <w:bookmarkStart w:id="668" w:name="_Toc120873440"/>
      <w:r w:rsidRPr="00107C19">
        <w:rPr>
          <w:rFonts w:ascii="Calibri" w:eastAsia="Times New Roman" w:hAnsi="Calibri" w:cs="Calibri"/>
          <w:color w:val="000000" w:themeColor="text1"/>
          <w:szCs w:val="24"/>
        </w:rPr>
        <w:t xml:space="preserve">In FY 2023, the USDA Office of the Chief Information Officer (OCIO) asked NASS for assistance with developing requirements and testing a new application for submitting print jobs to the General Printing Office, the official printer for USDA. </w:t>
      </w:r>
      <w:r w:rsidRPr="00107C19">
        <w:rPr>
          <w:rFonts w:ascii="Calibri" w:hAnsi="Calibri" w:cs="Calibri"/>
          <w:color w:val="000000" w:themeColor="text1"/>
          <w:szCs w:val="24"/>
        </w:rPr>
        <w:t>This application, developed by the Department, streamlines the process and improves the tracking and quality control of print jobs, leading to less delays and costs. All USDA agencies can use this application and save time and resources.</w:t>
      </w:r>
    </w:p>
    <w:p w14:paraId="7D752ACB"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r w:rsidRPr="00107C19">
        <w:rPr>
          <w:rFonts w:ascii="Calibri" w:eastAsia="Times New Roman" w:hAnsi="Calibri" w:cs="Calibri"/>
          <w:bCs/>
          <w:iCs/>
          <w:color w:val="000000" w:themeColor="text1"/>
          <w:kern w:val="32"/>
          <w:sz w:val="28"/>
          <w:szCs w:val="26"/>
        </w:rPr>
        <w:t xml:space="preserve"> </w:t>
      </w:r>
      <w:bookmarkStart w:id="669" w:name="_Toc160186130"/>
      <w:r w:rsidRPr="00107C19">
        <w:rPr>
          <w:rFonts w:ascii="Calibri" w:eastAsia="Times New Roman" w:hAnsi="Calibri" w:cs="Calibri"/>
          <w:bCs/>
          <w:iCs/>
          <w:color w:val="000000" w:themeColor="text1"/>
          <w:kern w:val="32"/>
          <w:sz w:val="28"/>
          <w:szCs w:val="26"/>
        </w:rPr>
        <w:t>Modernization of Data Dissemination:</w:t>
      </w:r>
      <w:bookmarkEnd w:id="668"/>
      <w:bookmarkEnd w:id="669"/>
    </w:p>
    <w:p w14:paraId="12F7A795"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NASS has traditionally provided information to the public by posting on the web, its published reports and aggregated survey data in Quick Stats. To enhance the usability of the information, NASS is developing a new data dissemination process that focuses on a subject area, such as dairy, and offers easy access to data and visualization of relevant information. In FY 2021, the database and user interface foundation were completed. In FY 2022, the public-facing dairy and economics landing pages were introduced. In FY 2023, the secure dissemination REE CIPSEA cloud pipeline to release reports in real time was  completed, and the economics and field crops landing pages were deployed. In FY 2024 numerous additional release products will be made available through the various landing pages and development will begin on a robust search feature.</w:t>
      </w:r>
    </w:p>
    <w:p w14:paraId="41E4C018"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70" w:name="_Toc120873441"/>
      <w:r w:rsidRPr="00107C19">
        <w:rPr>
          <w:rFonts w:ascii="Calibri" w:eastAsia="Times New Roman" w:hAnsi="Calibri" w:cs="Calibri"/>
          <w:bCs/>
          <w:iCs/>
          <w:color w:val="000000" w:themeColor="text1"/>
          <w:kern w:val="32"/>
          <w:sz w:val="28"/>
          <w:szCs w:val="26"/>
        </w:rPr>
        <w:t xml:space="preserve"> </w:t>
      </w:r>
      <w:bookmarkStart w:id="671" w:name="_Toc160186131"/>
      <w:r w:rsidRPr="00107C19">
        <w:rPr>
          <w:rFonts w:ascii="Calibri" w:eastAsia="Times New Roman" w:hAnsi="Calibri" w:cs="Calibri"/>
          <w:bCs/>
          <w:iCs/>
          <w:color w:val="000000" w:themeColor="text1"/>
          <w:kern w:val="32"/>
          <w:sz w:val="28"/>
          <w:szCs w:val="26"/>
        </w:rPr>
        <w:t>Integrating, Modeling and Analysis of Non-Survey with Survey Data into NASS Estimation Processes:</w:t>
      </w:r>
      <w:bookmarkEnd w:id="670"/>
      <w:bookmarkEnd w:id="671"/>
      <w:r w:rsidRPr="00107C19">
        <w:rPr>
          <w:rFonts w:ascii="Calibri" w:eastAsia="Times New Roman" w:hAnsi="Calibri" w:cs="Calibri"/>
          <w:bCs/>
          <w:iCs/>
          <w:color w:val="000000" w:themeColor="text1"/>
          <w:kern w:val="32"/>
          <w:sz w:val="28"/>
          <w:szCs w:val="26"/>
        </w:rPr>
        <w:t xml:space="preserve">  </w:t>
      </w:r>
    </w:p>
    <w:p w14:paraId="7FAA1EB3"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Federal statistical agencies, including NASS, have relied on probability-based surveys as the foundation for official statistics for more than 50 years. For most survey programs, list frame coverage and response rates have steadily decreased while costs have risen in recent years, and other data sources, such as administrative, weather, earth observation and geospatial data, have become increasingly available. Consequently, federal statistical agencies have increasingly moved to incorporate these alternative data sources into the estimation processes in a statistically principled way. Because farms are inherently geographically based, all non-survey data identified to date are geospatially referenced. Historically the farms on the NASS list frame have not been geospatially referenced, making linkage of the survey and non-survey data at the farm level challenging. Although the processes associated with using surveys to produce official statistics are well established, the approaches to collecting non-survey data and integrating them with survey data are less well defined. With massive amounts of data and tight timelines, it is critical for all facets of data collection, integration, analysis, and dissemination to be automated to the extent possible. NASS has been developing and delivering operational data products and automated workflows born from cloud computing capabilities and the acquisition and integration of non-survey data with NASS frames, surveys, and estimates since FY 2021. </w:t>
      </w:r>
    </w:p>
    <w:p w14:paraId="3C68ABE5"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As part of that effort, in FY 2023, NASS migrated from the USDA EDAPT environment to the REE CIPSEA Azure cloud for high-performance computing required for the collection and integration of these diverse data. The new REE CIPSEA Azure cloud has also served as a platform for modernizing and automating operational geospatial processes, such as the creation of Crop Sequence Boundaries (CSBs), </w:t>
      </w:r>
      <w:r w:rsidRPr="00107C19">
        <w:rPr>
          <w:rFonts w:ascii="Calibri" w:eastAsia="Times New Roman" w:hAnsi="Calibri" w:cs="Calibri"/>
          <w:color w:val="000000" w:themeColor="text1"/>
          <w:kern w:val="2"/>
          <w:szCs w:val="24"/>
          <w14:ligatures w14:val="standardContextual"/>
        </w:rPr>
        <w:lastRenderedPageBreak/>
        <w:t xml:space="preserve">Predictive Cropland Data Layer (PCDL), and ongoing work to migrate essential JAS and Census mapping activities from outdated software and Personal Virtual Machines (PVMs) to modern software on Azure hosted multi-session virtual machines (VMs).  Further progress in automation is planned for FY 2024.  In FY 2023, modeled pre-season forecasts and in-season estimates of acreage planted to corn and soybeans were produced for the twelve states with the largest corn and soybean production, referred to as the speculative states, and provided to the NASS Agricultural Statistics Board for their use in setting official statistics. </w:t>
      </w:r>
    </w:p>
    <w:p w14:paraId="16973534"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Since FY 2021, NASS has been geo-referencing farms on its list frame. As part of the geo-referencing effort, in the corn and soybean speculative states, farms were added to the NASS list frame, improving its coverage for the 2022 Census of Agriculture. This was accomplished by adding administrative records from Farm Service Agency (FSA) and by identifying non-FSA farmland using the recent geospatial product known as Crop Sequence Boundaries (CSBs). Geo-referencing farms also allowed NASS to leverage the use of more administrative data in the imputation processes for the 2022 Census of Agriculture. </w:t>
      </w:r>
      <w:r w:rsidRPr="00107C19">
        <w:rPr>
          <w:rFonts w:ascii="Calibri" w:eastAsia="Times New Roman" w:hAnsi="Calibri" w:cs="Calibri"/>
          <w:color w:val="000000" w:themeColor="text1"/>
          <w:kern w:val="36"/>
          <w:szCs w:val="24"/>
        </w:rPr>
        <w:t>The Census Output of Operation Lookup (COOL) application was developed to support the effort and allow staff to see administrative data side</w:t>
      </w:r>
      <w:r w:rsidRPr="00107C19">
        <w:rPr>
          <w:rFonts w:ascii="Calibri" w:eastAsia="Times New Roman" w:hAnsi="Calibri" w:cs="Calibri"/>
          <w:color w:val="000000" w:themeColor="text1"/>
          <w:kern w:val="36"/>
          <w:szCs w:val="24"/>
          <w14:ligatures w14:val="standardContextual"/>
        </w:rPr>
        <w:t>-</w:t>
      </w:r>
      <w:r w:rsidRPr="00107C19">
        <w:rPr>
          <w:rFonts w:ascii="Calibri" w:eastAsia="Times New Roman" w:hAnsi="Calibri" w:cs="Calibri"/>
          <w:color w:val="000000" w:themeColor="text1"/>
          <w:kern w:val="36"/>
          <w:szCs w:val="24"/>
        </w:rPr>
        <w:t>by</w:t>
      </w:r>
      <w:r w:rsidRPr="00107C19">
        <w:rPr>
          <w:rFonts w:ascii="Calibri" w:eastAsia="Times New Roman" w:hAnsi="Calibri" w:cs="Calibri"/>
          <w:color w:val="000000" w:themeColor="text1"/>
          <w:kern w:val="36"/>
          <w:szCs w:val="24"/>
          <w14:ligatures w14:val="standardContextual"/>
        </w:rPr>
        <w:t>-</w:t>
      </w:r>
      <w:r w:rsidRPr="00107C19">
        <w:rPr>
          <w:rFonts w:ascii="Calibri" w:eastAsia="Times New Roman" w:hAnsi="Calibri" w:cs="Calibri"/>
          <w:color w:val="000000" w:themeColor="text1"/>
          <w:kern w:val="36"/>
          <w:szCs w:val="24"/>
        </w:rPr>
        <w:t>side with other NASS data with just one click.  This effort greatly reduced workload and also enhanced census quality by presenting all known information to staff.</w:t>
      </w:r>
      <w:r w:rsidRPr="00107C19">
        <w:rPr>
          <w:rFonts w:ascii="Calibri" w:eastAsia="Times New Roman" w:hAnsi="Calibri" w:cs="Calibri"/>
          <w:color w:val="000000" w:themeColor="text1"/>
          <w:kern w:val="2"/>
          <w:szCs w:val="24"/>
          <w14:ligatures w14:val="standardContextual"/>
        </w:rPr>
        <w:t xml:space="preserve">  </w:t>
      </w:r>
    </w:p>
    <w:p w14:paraId="41E0CA88" w14:textId="77777777" w:rsidR="006E4997" w:rsidRPr="00107C19" w:rsidRDefault="006E4997" w:rsidP="006E4997">
      <w:pPr>
        <w:rPr>
          <w:rFonts w:ascii="Calibri" w:hAnsi="Calibri" w:cs="Calibri"/>
          <w:bCs/>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The CSBs, which were developed collaboratively with the USDA Economic Research Service, provide synthetic agricultural field polygons, including their crop rotation history, for the conterminous U.S. The CSBs serve as a foundation for modeling, improving coverage of the NASS list frame, and facilitating georeferencing of farms. </w:t>
      </w:r>
      <w:r w:rsidRPr="00107C19">
        <w:rPr>
          <w:rFonts w:ascii="Calibri" w:hAnsi="Calibri" w:cs="Calibri"/>
          <w:bCs/>
          <w:color w:val="000000" w:themeColor="text1"/>
          <w:kern w:val="2"/>
          <w:szCs w:val="24"/>
          <w14:ligatures w14:val="standardContextual"/>
        </w:rPr>
        <w:t>CSBs were released as a public dataset in FY 2023, and the archive spans from 2015 to present. (</w:t>
      </w:r>
      <w:hyperlink r:id="rId56" w:history="1">
        <w:r w:rsidRPr="00107C19">
          <w:rPr>
            <w:rFonts w:ascii="Calibri" w:hAnsi="Calibri" w:cs="Calibri"/>
            <w:bCs/>
            <w:color w:val="000000" w:themeColor="text1"/>
            <w:kern w:val="2"/>
            <w:szCs w:val="24"/>
            <w:u w:val="single"/>
            <w14:ligatures w14:val="standardContextual"/>
          </w:rPr>
          <w:t>https://www.nass.usda.gov/Research_and_Science/Crop-Sequence-Boundaries/index.php</w:t>
        </w:r>
      </w:hyperlink>
      <w:r w:rsidRPr="00107C19">
        <w:rPr>
          <w:rFonts w:ascii="Calibri" w:hAnsi="Calibri" w:cs="Calibri"/>
          <w:bCs/>
          <w:color w:val="000000" w:themeColor="text1"/>
          <w:kern w:val="2"/>
          <w:szCs w:val="24"/>
          <w14:ligatures w14:val="standardContextual"/>
        </w:rPr>
        <w:t xml:space="preserve">). </w:t>
      </w:r>
    </w:p>
    <w:p w14:paraId="67C6978C" w14:textId="77777777" w:rsidR="006E4997" w:rsidRPr="00107C19" w:rsidRDefault="006E4997" w:rsidP="006E4997">
      <w:pPr>
        <w:rPr>
          <w:rFonts w:ascii="Calibri" w:hAnsi="Calibri" w:cs="Calibri"/>
          <w:bCs/>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Another geospatial product, the Predictive Cropland Data Layers (PCDLs), was created in FY 2023 for all states in the conterminous U.S. The PCDLs were used for editing and imputation during the June Area Survey. The PCDL and CSB were used in tandem to develop an automated imputation system to address missing data in Section D of the June Area Survey. In FY 2024, modeling research will continue by incorporating survey data into models for the corn and soybean speculative states; farms in all U.S. conterminous states will be georeferenced; the new automatic imputation system for Section D will be implemented in the NASS JAMES imputation system; automation and standardization of data processes will be enhanced and planning for the integration of these new products and processes into the production process will continue.  </w:t>
      </w:r>
    </w:p>
    <w:p w14:paraId="48B0D563"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72" w:name="_Toc120873442"/>
      <w:r w:rsidRPr="00107C19">
        <w:rPr>
          <w:rFonts w:ascii="Calibri" w:eastAsia="Times New Roman" w:hAnsi="Calibri" w:cs="Calibri"/>
          <w:bCs/>
          <w:iCs/>
          <w:color w:val="000000" w:themeColor="text1"/>
          <w:kern w:val="32"/>
          <w:sz w:val="28"/>
          <w:szCs w:val="26"/>
        </w:rPr>
        <w:t xml:space="preserve"> </w:t>
      </w:r>
      <w:bookmarkStart w:id="673" w:name="_Toc160186132"/>
      <w:r w:rsidRPr="00107C19">
        <w:rPr>
          <w:rFonts w:ascii="Calibri" w:eastAsia="Times New Roman" w:hAnsi="Calibri" w:cs="Calibri"/>
          <w:bCs/>
          <w:iCs/>
          <w:color w:val="000000" w:themeColor="text1"/>
          <w:kern w:val="32"/>
          <w:sz w:val="28"/>
          <w:szCs w:val="26"/>
        </w:rPr>
        <w:t>Use of Previously Reported Data in NASS Surveys and the Census of Agriculture:</w:t>
      </w:r>
      <w:bookmarkEnd w:id="672"/>
      <w:bookmarkEnd w:id="673"/>
    </w:p>
    <w:p w14:paraId="42F716A6"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With the goal of providing previously reported data (PRD) for the 2022 Census of Agriculture, experiments assessing the potential impacts of the use of PRD were conducted within the 2020 September Agricultural Survey and the 2020 Census of Agriculture Content Test; no negative impacts on data quality were identified. Based on feedback collected on the use of PRD after the 2020 Census of Agriculture Content Test and the 2021 Web Only Test, respondents liked having the PRD, thought </w:t>
      </w:r>
      <w:r w:rsidRPr="00107C19">
        <w:rPr>
          <w:rFonts w:ascii="Calibri" w:eastAsia="Times New Roman" w:hAnsi="Calibri" w:cs="Calibri"/>
          <w:color w:val="000000" w:themeColor="text1"/>
          <w:kern w:val="2"/>
          <w:szCs w:val="24"/>
          <w14:ligatures w14:val="standardContextual"/>
        </w:rPr>
        <w:lastRenderedPageBreak/>
        <w:t>PRD made the survey easier to complete, and wanted PRD for more questions. During FY 2022, PRD was provided to respondents using the fully automated system for 13 surveys, and feedback led to further development and refinements. In FY 2023, NASS continued providing PRD for surveys and offered PRD to producers completing the 2022 Census of Agriculture.</w:t>
      </w:r>
    </w:p>
    <w:p w14:paraId="1C2CB66C"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74" w:name="_Toc120873443"/>
      <w:r w:rsidRPr="00107C19">
        <w:rPr>
          <w:rFonts w:ascii="Calibri" w:eastAsia="Times New Roman" w:hAnsi="Calibri" w:cs="Calibri"/>
          <w:bCs/>
          <w:iCs/>
          <w:color w:val="000000" w:themeColor="text1"/>
          <w:kern w:val="32"/>
          <w:sz w:val="28"/>
          <w:szCs w:val="26"/>
        </w:rPr>
        <w:t xml:space="preserve"> </w:t>
      </w:r>
      <w:bookmarkStart w:id="675" w:name="_Toc160186133"/>
      <w:r w:rsidRPr="00107C19">
        <w:rPr>
          <w:rFonts w:ascii="Calibri" w:eastAsia="Times New Roman" w:hAnsi="Calibri" w:cs="Calibri"/>
          <w:bCs/>
          <w:iCs/>
          <w:color w:val="000000" w:themeColor="text1"/>
          <w:kern w:val="32"/>
          <w:sz w:val="28"/>
          <w:szCs w:val="26"/>
        </w:rPr>
        <w:t>Automated Editing and Imputation:</w:t>
      </w:r>
      <w:bookmarkEnd w:id="674"/>
      <w:bookmarkEnd w:id="675"/>
    </w:p>
    <w:p w14:paraId="7A5F1816"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 xml:space="preserve">Historically much of the editing and imputation for NASS surveys have been completed manually by field office staff. Based on a recommendation from an external review of NASS’s editing and imputation processes, NASS explored approaches to automating editing and imputation processes while improving data quality. The first phase of the modularized editing and imputation system focuses  on </w:t>
      </w:r>
      <w:r w:rsidRPr="00107C19">
        <w:rPr>
          <w:rFonts w:ascii="Calibri" w:eastAsia="Times New Roman" w:hAnsi="Calibri"/>
          <w:color w:val="000000" w:themeColor="text1"/>
          <w:kern w:val="2"/>
          <w:szCs w:val="24"/>
          <w14:ligatures w14:val="standardContextual"/>
        </w:rPr>
        <w:t>the Agricultural Production and County Agricultural Production Surveys</w:t>
      </w:r>
      <w:r w:rsidRPr="00107C19">
        <w:rPr>
          <w:rFonts w:ascii="Calibri" w:eastAsia="Times New Roman" w:hAnsi="Calibri" w:cs="Calibri"/>
          <w:color w:val="000000" w:themeColor="text1"/>
          <w:kern w:val="2"/>
          <w:szCs w:val="24"/>
          <w14:ligatures w14:val="standardContextual"/>
        </w:rPr>
        <w:t xml:space="preserve">.   </w:t>
      </w:r>
      <w:r w:rsidRPr="00107C19">
        <w:rPr>
          <w:rFonts w:ascii="Calibri" w:eastAsia="Times New Roman" w:hAnsi="Calibri"/>
          <w:color w:val="000000" w:themeColor="text1"/>
          <w:kern w:val="2"/>
          <w:szCs w:val="24"/>
          <w14:ligatures w14:val="standardContextual"/>
        </w:rPr>
        <w:t>In FY 2023, a streamlined production system was finalized in the REE CIPSEA cloud, tested with survey data, and used in production for a portion of the County Agricultural Production Survey for row crops.  In FY 2024, the system will be put in production for all of the Agricultural Production and County Agricultural Production Surveys.  It will also be expanded to improve generalization, scalability, and integration with other NASS systems.  Other surveys will be added to the system in subsequent years.</w:t>
      </w:r>
    </w:p>
    <w:p w14:paraId="2D2BEF71"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r w:rsidRPr="00107C19">
        <w:rPr>
          <w:rFonts w:ascii="Calibri" w:eastAsia="Times New Roman" w:hAnsi="Calibri" w:cs="Calibri"/>
          <w:bCs/>
          <w:iCs/>
          <w:color w:val="000000" w:themeColor="text1"/>
          <w:kern w:val="32"/>
          <w:sz w:val="28"/>
          <w:szCs w:val="26"/>
        </w:rPr>
        <w:t xml:space="preserve"> </w:t>
      </w:r>
      <w:bookmarkStart w:id="676" w:name="_Toc120873444"/>
      <w:bookmarkStart w:id="677" w:name="_Toc160186134"/>
      <w:r w:rsidRPr="00107C19">
        <w:rPr>
          <w:rFonts w:ascii="Calibri" w:eastAsia="Times New Roman" w:hAnsi="Calibri" w:cs="Calibri"/>
          <w:bCs/>
          <w:iCs/>
          <w:color w:val="000000" w:themeColor="text1"/>
          <w:kern w:val="32"/>
          <w:sz w:val="28"/>
          <w:szCs w:val="26"/>
        </w:rPr>
        <w:t>Modernization of Data Analysis:</w:t>
      </w:r>
      <w:bookmarkEnd w:id="676"/>
      <w:bookmarkEnd w:id="677"/>
    </w:p>
    <w:p w14:paraId="098D87D0" w14:textId="77777777" w:rsidR="006E4997" w:rsidRPr="00107C19" w:rsidRDefault="006E4997" w:rsidP="006E4997">
      <w:pPr>
        <w:shd w:val="clear" w:color="auto" w:fill="FFFFFF"/>
        <w:rPr>
          <w:rFonts w:ascii="Calibri" w:eastAsia="Times New Roman" w:hAnsi="Calibri" w:cs="Calibri"/>
          <w:color w:val="000000" w:themeColor="text1"/>
          <w:szCs w:val="24"/>
        </w:rPr>
      </w:pPr>
      <w:r w:rsidRPr="00107C19">
        <w:rPr>
          <w:rFonts w:ascii="Calibri" w:eastAsia="Times New Roman" w:hAnsi="Calibri" w:cs="Calibri"/>
          <w:color w:val="000000" w:themeColor="text1"/>
          <w:szCs w:val="24"/>
        </w:rPr>
        <w:t>NASS conducts over 100 unique surveys each year, and the data must be reviewed in a short period of time to ensure high data publications.  Historically. NASS has used the Interactive Data Analysis System (IDAS), which relies on old technology that runs distributed on individual desktops. Currently, NASS has completed the initial development of a modern system called the Interactive Data Analysis Review Tool (iDART).  Several surveys have been fully migrated into iDART and used in a production setting. iDART uses common statistical software that enables the use of the latest statistical methods and graphic tools, integrates with existing systems and metadata, and is fully parameterized to work for all NASS surveys.  One new addition to the analysis tool includes the use of machine learning techniques to identify potential anomalies in data.  This automation saves users times and helps guarantee a quality final product.  In addition, this enterprise  system has also been migrated to the cloud and is fully version controlled and will ultimately replace 26 independent systems.   </w:t>
      </w:r>
    </w:p>
    <w:p w14:paraId="159FEE2A" w14:textId="77777777" w:rsidR="006E4997" w:rsidRPr="00107C19" w:rsidRDefault="006E4997" w:rsidP="006E4997">
      <w:pPr>
        <w:shd w:val="clear" w:color="auto" w:fill="FFFFFF"/>
        <w:rPr>
          <w:rFonts w:ascii="Calibri" w:eastAsia="Times New Roman" w:hAnsi="Calibri" w:cs="Calibri"/>
          <w:color w:val="000000" w:themeColor="text1"/>
          <w:szCs w:val="24"/>
        </w:rPr>
      </w:pPr>
      <w:r w:rsidRPr="00107C19">
        <w:rPr>
          <w:rFonts w:ascii="Calibri" w:eastAsia="Times New Roman" w:hAnsi="Calibri" w:cs="Calibri"/>
          <w:color w:val="000000" w:themeColor="text1"/>
          <w:szCs w:val="24"/>
        </w:rPr>
        <w:t>Furthermore, NASS conducts the Census of Agriculture every 5 years.  A Census Analysis Tool (cenAT) was developed to run in parallel with the 2022 Census of Agriculture review.  The tool is slated to be used for upcoming censuses and surveys that build upon the 2022 Census of Agriculture, including the Census of Aquaculture and the Irrigation Water Management Survey.  Similar to iDART, cenAT relies heavily on parameterization of systems to create consistent analysis for the end user.</w:t>
      </w:r>
    </w:p>
    <w:p w14:paraId="33806C31" w14:textId="77777777" w:rsidR="006E4997" w:rsidRPr="00107C19" w:rsidRDefault="006E4997" w:rsidP="006E4997">
      <w:pPr>
        <w:keepNext/>
        <w:numPr>
          <w:ilvl w:val="1"/>
          <w:numId w:val="14"/>
        </w:numPr>
        <w:spacing w:before="240" w:after="240" w:line="264" w:lineRule="auto"/>
        <w:outlineLvl w:val="1"/>
        <w:rPr>
          <w:rFonts w:ascii="Calibri" w:eastAsia="Times New Roman" w:hAnsi="Calibri" w:cs="Calibri"/>
          <w:iCs/>
          <w:color w:val="000000" w:themeColor="text1"/>
          <w:kern w:val="32"/>
          <w:sz w:val="32"/>
          <w:szCs w:val="28"/>
        </w:rPr>
      </w:pPr>
      <w:bookmarkStart w:id="678" w:name="_Toc120873445"/>
      <w:r w:rsidRPr="00107C19">
        <w:rPr>
          <w:rFonts w:ascii="Calibri" w:eastAsia="Times New Roman" w:hAnsi="Calibri" w:cs="Calibri"/>
          <w:iCs/>
          <w:color w:val="000000" w:themeColor="text1"/>
          <w:kern w:val="32"/>
          <w:sz w:val="32"/>
          <w:szCs w:val="28"/>
        </w:rPr>
        <w:lastRenderedPageBreak/>
        <w:t xml:space="preserve"> </w:t>
      </w:r>
      <w:bookmarkStart w:id="679" w:name="_Toc160186135"/>
      <w:r w:rsidRPr="00107C19">
        <w:rPr>
          <w:rFonts w:ascii="Calibri" w:eastAsia="Times New Roman" w:hAnsi="Calibri" w:cs="Calibri"/>
          <w:iCs/>
          <w:color w:val="000000" w:themeColor="text1"/>
          <w:kern w:val="32"/>
          <w:sz w:val="32"/>
          <w:szCs w:val="28"/>
        </w:rPr>
        <w:t>Outreach Activities</w:t>
      </w:r>
      <w:bookmarkEnd w:id="678"/>
      <w:bookmarkEnd w:id="679"/>
    </w:p>
    <w:p w14:paraId="60C370B6"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80" w:name="_Toc120873446"/>
      <w:r w:rsidRPr="00107C19">
        <w:rPr>
          <w:rFonts w:ascii="Calibri" w:eastAsia="Times New Roman" w:hAnsi="Calibri" w:cs="Calibri"/>
          <w:bCs/>
          <w:iCs/>
          <w:color w:val="000000" w:themeColor="text1"/>
          <w:kern w:val="32"/>
          <w:sz w:val="28"/>
          <w:szCs w:val="26"/>
        </w:rPr>
        <w:t xml:space="preserve"> </w:t>
      </w:r>
      <w:bookmarkStart w:id="681" w:name="_Toc160186136"/>
      <w:r w:rsidRPr="00107C19">
        <w:rPr>
          <w:rFonts w:ascii="Calibri" w:eastAsia="Times New Roman" w:hAnsi="Calibri" w:cs="Calibri"/>
          <w:bCs/>
          <w:iCs/>
          <w:color w:val="000000" w:themeColor="text1"/>
          <w:kern w:val="32"/>
          <w:sz w:val="28"/>
          <w:szCs w:val="26"/>
        </w:rPr>
        <w:t>Data User Input:</w:t>
      </w:r>
      <w:bookmarkEnd w:id="680"/>
      <w:bookmarkEnd w:id="681"/>
    </w:p>
    <w:p w14:paraId="44C7D8F3"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14:ligatures w14:val="standardContextual"/>
        </w:rPr>
        <w:t>NASS holds biannual data-users’ meetings to gather input to ensure the agency’s statistical program is meeting the needs of its user community. The 2023 Spring Data Users’ Meeting was held in Omaha, NE using a hybrid model on April 18-19, 2023, and the 2023 Fall Data Users’ Meeting was held virtually on October  17-18, 2023. Each meeting featured representatives from NASS as well as other USDA agencies and provided an open forum for data users to ask questions about the entire USDA statistics program. From a customer service perspective, the meeting provided an excellent opportunity for NASS to learn about data users' concerns and desires for improvements or changes to the statistics and economics programs. The virtual attendance option at all meetings allowed for broader participation.</w:t>
      </w:r>
    </w:p>
    <w:p w14:paraId="41DAAC28" w14:textId="77777777" w:rsidR="006E4997" w:rsidRPr="00107C19" w:rsidRDefault="006E4997" w:rsidP="006E4997">
      <w:pPr>
        <w:rPr>
          <w:rFonts w:ascii="Calibri" w:eastAsia="Times New Roman" w:hAnsi="Calibri" w:cs="Calibri"/>
          <w:color w:val="000000" w:themeColor="text1"/>
          <w:kern w:val="2"/>
          <w:szCs w:val="24"/>
          <w14:ligatures w14:val="standardContextual"/>
        </w:rPr>
      </w:pPr>
      <w:r w:rsidRPr="00107C19">
        <w:rPr>
          <w:rFonts w:ascii="Calibri" w:eastAsia="Times New Roman" w:hAnsi="Calibri" w:cs="Calibri"/>
          <w:color w:val="000000" w:themeColor="text1"/>
          <w:kern w:val="2"/>
          <w:szCs w:val="24"/>
          <w:shd w:val="clear" w:color="auto" w:fill="FFFFFF"/>
          <w14:ligatures w14:val="standardContextual"/>
        </w:rPr>
        <w:t>In an effort to promote the 2022 Census of Agriculture and especially the NASS online reporting instrument, Regional Field Office staff hosted many interactions with stakeholder groups throughout FY 2023. In particular, NASS met with leaders of Community Based Organizations (CBO) to encourage responses as it continues its effort to improve coverage of underserved community operations. In addition to meetings with CBO and commodity group leaders, NASS promoted "sign up to be counted" and "respond online" messaging throughout FY 2023 in its outreach products and activities, including social media, partner updates, media interviews, brochures, press releases, and trade shows. Also, to reach the widest possible audience, NASS translated more outreach materials into several languages for the 2022 Census of Agriculture than ever before.</w:t>
      </w:r>
    </w:p>
    <w:p w14:paraId="7D0B581D" w14:textId="77777777" w:rsidR="006E4997" w:rsidRPr="00107C19" w:rsidRDefault="006E4997" w:rsidP="006E4997">
      <w:pPr>
        <w:keepNext/>
        <w:numPr>
          <w:ilvl w:val="1"/>
          <w:numId w:val="14"/>
        </w:numPr>
        <w:spacing w:before="240" w:after="240" w:line="264" w:lineRule="auto"/>
        <w:outlineLvl w:val="1"/>
        <w:rPr>
          <w:rFonts w:ascii="Calibri" w:eastAsia="Times New Roman" w:hAnsi="Calibri" w:cs="Calibri"/>
          <w:iCs/>
          <w:color w:val="000000" w:themeColor="text1"/>
          <w:kern w:val="32"/>
          <w:sz w:val="32"/>
          <w:szCs w:val="28"/>
        </w:rPr>
      </w:pPr>
      <w:bookmarkStart w:id="682" w:name="_Toc120873447"/>
      <w:r w:rsidRPr="00107C19">
        <w:rPr>
          <w:rFonts w:ascii="Calibri" w:eastAsia="Times New Roman" w:hAnsi="Calibri" w:cs="Calibri"/>
          <w:iCs/>
          <w:color w:val="000000" w:themeColor="text1"/>
          <w:kern w:val="32"/>
          <w:sz w:val="32"/>
          <w:szCs w:val="28"/>
        </w:rPr>
        <w:t xml:space="preserve"> </w:t>
      </w:r>
      <w:bookmarkStart w:id="683" w:name="_Toc160186137"/>
      <w:r w:rsidRPr="00107C19">
        <w:rPr>
          <w:rFonts w:ascii="Calibri" w:eastAsia="Times New Roman" w:hAnsi="Calibri" w:cs="Calibri"/>
          <w:iCs/>
          <w:color w:val="000000" w:themeColor="text1"/>
          <w:kern w:val="32"/>
          <w:sz w:val="32"/>
          <w:szCs w:val="28"/>
        </w:rPr>
        <w:t>Publications</w:t>
      </w:r>
      <w:bookmarkEnd w:id="682"/>
      <w:bookmarkEnd w:id="683"/>
    </w:p>
    <w:p w14:paraId="37404BB8"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84" w:name="_Toc120873448"/>
      <w:r w:rsidRPr="00107C19">
        <w:rPr>
          <w:rFonts w:ascii="Calibri" w:eastAsia="Times New Roman" w:hAnsi="Calibri" w:cs="Calibri"/>
          <w:bCs/>
          <w:iCs/>
          <w:color w:val="000000" w:themeColor="text1"/>
          <w:kern w:val="32"/>
          <w:sz w:val="28"/>
          <w:szCs w:val="26"/>
        </w:rPr>
        <w:t xml:space="preserve"> </w:t>
      </w:r>
      <w:bookmarkStart w:id="685" w:name="_Toc160186138"/>
      <w:r w:rsidRPr="00107C19">
        <w:rPr>
          <w:rFonts w:ascii="Calibri" w:eastAsia="Times New Roman" w:hAnsi="Calibri" w:cs="Calibri"/>
          <w:bCs/>
          <w:iCs/>
          <w:color w:val="000000" w:themeColor="text1"/>
          <w:kern w:val="32"/>
          <w:sz w:val="28"/>
          <w:szCs w:val="26"/>
        </w:rPr>
        <w:t>Peer-Reviewed Scientific Publications</w:t>
      </w:r>
      <w:r w:rsidRPr="00107C19">
        <w:rPr>
          <w:rFonts w:ascii="Calibri" w:eastAsia="Times New Roman" w:hAnsi="Calibri" w:cs="Calibri"/>
          <w:bCs/>
          <w:iCs/>
          <w:color w:val="000000" w:themeColor="text1"/>
          <w:kern w:val="32"/>
          <w:sz w:val="28"/>
          <w:szCs w:val="26"/>
        </w:rPr>
        <w:tab/>
        <w:t xml:space="preserve"> 9 entries</w:t>
      </w:r>
      <w:bookmarkEnd w:id="684"/>
      <w:bookmarkEnd w:id="685"/>
    </w:p>
    <w:p w14:paraId="38A59CFF"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bookmarkStart w:id="686" w:name="_Hlk155197463"/>
      <w:r w:rsidRPr="00107C19">
        <w:rPr>
          <w:rFonts w:ascii="Calibri" w:eastAsia="Times New Roman" w:hAnsi="Calibri" w:cs="Calibri"/>
          <w:iCs/>
          <w:color w:val="000000" w:themeColor="text1"/>
          <w:szCs w:val="24"/>
        </w:rPr>
        <w:t xml:space="preserve">Abernethy, J., Beeson, P., Boryan, C., Hunt, K., and Sartore, L. 2023. Preseason crop type prediction using crop sequence boundaries. </w:t>
      </w:r>
      <w:r w:rsidRPr="00107C19">
        <w:rPr>
          <w:rFonts w:ascii="Calibri" w:eastAsia="Times New Roman" w:hAnsi="Calibri" w:cs="Calibri"/>
          <w:i/>
          <w:color w:val="000000" w:themeColor="text1"/>
          <w:szCs w:val="24"/>
        </w:rPr>
        <w:t>Computers and Electronics in Agriculture</w:t>
      </w:r>
      <w:r w:rsidRPr="00107C19">
        <w:rPr>
          <w:rFonts w:ascii="Calibri" w:eastAsia="Times New Roman" w:hAnsi="Calibri" w:cs="Calibri"/>
          <w:iCs/>
          <w:color w:val="000000" w:themeColor="text1"/>
          <w:szCs w:val="24"/>
        </w:rPr>
        <w:t>, 208, 107768.</w:t>
      </w:r>
      <w:bookmarkEnd w:id="686"/>
      <w:r w:rsidRPr="00107C19">
        <w:rPr>
          <w:rFonts w:ascii="Calibri" w:eastAsia="Times New Roman" w:hAnsi="Calibri" w:cs="Calibri"/>
          <w:iCs/>
          <w:color w:val="000000" w:themeColor="text1"/>
          <w:szCs w:val="24"/>
        </w:rPr>
        <w:t xml:space="preserve"> </w:t>
      </w:r>
      <w:hyperlink r:id="rId57" w:tgtFrame="_blank" w:tooltip="Persistent link using digital object identifier" w:history="1">
        <w:r w:rsidRPr="00107C19">
          <w:rPr>
            <w:rFonts w:ascii="Calibri" w:hAnsi="Calibri" w:cs="Calibri"/>
            <w:iCs/>
            <w:color w:val="000000" w:themeColor="text1"/>
            <w:szCs w:val="24"/>
            <w:u w:val="single"/>
          </w:rPr>
          <w:t>https://doi.org/10.1016/j.compag.2023.107768</w:t>
        </w:r>
      </w:hyperlink>
      <w:r w:rsidRPr="00107C19">
        <w:rPr>
          <w:rFonts w:ascii="Times New Roman" w:eastAsia="Times New Roman" w:hAnsi="Times New Roman"/>
          <w:iCs/>
          <w:color w:val="000000" w:themeColor="text1"/>
          <w:sz w:val="22"/>
          <w:szCs w:val="24"/>
        </w:rPr>
        <w:t>.</w:t>
      </w:r>
    </w:p>
    <w:p w14:paraId="4484C398"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pacing w:val="-4"/>
          <w:szCs w:val="24"/>
        </w:rPr>
        <w:t xml:space="preserve">Benecha, H., Abreu, D. A., Jennings, R., and Young, L.J. (2023). Data reconciliation and estimation in an agricultural survey. </w:t>
      </w:r>
      <w:r w:rsidRPr="00107C19">
        <w:rPr>
          <w:rFonts w:ascii="Calibri" w:eastAsia="Times New Roman" w:hAnsi="Calibri" w:cs="Calibri"/>
          <w:i/>
          <w:color w:val="000000" w:themeColor="text1"/>
          <w:spacing w:val="-4"/>
          <w:szCs w:val="24"/>
        </w:rPr>
        <w:t>Statistical Journal of International Association for Official Statistics</w:t>
      </w:r>
      <w:r w:rsidRPr="00107C19">
        <w:rPr>
          <w:rFonts w:ascii="Calibri" w:eastAsia="Times New Roman" w:hAnsi="Calibri" w:cs="Calibri"/>
          <w:iCs/>
          <w:color w:val="000000" w:themeColor="text1"/>
          <w:spacing w:val="-4"/>
          <w:szCs w:val="24"/>
        </w:rPr>
        <w:t xml:space="preserve">, 39(2): 461-472. </w:t>
      </w:r>
      <w:hyperlink r:id="rId58" w:history="1">
        <w:r w:rsidRPr="00107C19">
          <w:rPr>
            <w:rFonts w:ascii="Calibri" w:hAnsi="Calibri" w:cs="Calibri"/>
            <w:iCs/>
            <w:color w:val="000000" w:themeColor="text1"/>
            <w:szCs w:val="24"/>
            <w:u w:val="single"/>
          </w:rPr>
          <w:t>https://doi.org/10.3233/SJI-220087</w:t>
        </w:r>
      </w:hyperlink>
      <w:r w:rsidRPr="00107C19">
        <w:rPr>
          <w:rFonts w:ascii="Times New Roman" w:eastAsia="Times New Roman" w:hAnsi="Times New Roman"/>
          <w:iCs/>
          <w:color w:val="000000" w:themeColor="text1"/>
          <w:sz w:val="22"/>
          <w:szCs w:val="24"/>
        </w:rPr>
        <w:t>.</w:t>
      </w:r>
    </w:p>
    <w:p w14:paraId="345079B5"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Ma, Y., Yang, Z., and Zhang, Z. 2023. Multi-source maximum predictor discrepancy for unsupervised domain adaptation on corn yield prediction. </w:t>
      </w:r>
      <w:r w:rsidRPr="00107C19">
        <w:rPr>
          <w:rFonts w:ascii="Calibri" w:eastAsia="Times New Roman" w:hAnsi="Calibri" w:cs="Calibri"/>
          <w:i/>
          <w:color w:val="000000" w:themeColor="text1"/>
          <w:szCs w:val="24"/>
        </w:rPr>
        <w:t>IEEE Transactions on Geoscience and Remote Sensing</w:t>
      </w:r>
      <w:r w:rsidRPr="00107C19">
        <w:rPr>
          <w:rFonts w:ascii="Calibri" w:eastAsia="Times New Roman" w:hAnsi="Calibri" w:cs="Calibri"/>
          <w:iCs/>
          <w:color w:val="000000" w:themeColor="text1"/>
          <w:szCs w:val="24"/>
        </w:rPr>
        <w:t>, 61: 1-15.</w:t>
      </w:r>
      <w:r w:rsidRPr="00107C19">
        <w:rPr>
          <w:rFonts w:ascii="Calibri" w:eastAsia="Times New Roman" w:hAnsi="Calibri" w:cs="Calibri"/>
          <w:i/>
          <w:color w:val="000000" w:themeColor="text1"/>
          <w:szCs w:val="24"/>
          <w:u w:val="single"/>
        </w:rPr>
        <w:t xml:space="preserve"> </w:t>
      </w:r>
      <w:hyperlink r:id="rId59" w:history="1">
        <w:r w:rsidRPr="00107C19">
          <w:rPr>
            <w:rFonts w:ascii="Calibri" w:eastAsia="Times New Roman" w:hAnsi="Calibri" w:cs="Calibri"/>
            <w:iCs/>
            <w:color w:val="000000" w:themeColor="text1"/>
            <w:szCs w:val="24"/>
            <w:u w:val="single"/>
          </w:rPr>
          <w:t>https://doi.org/10.1109/TGRS.2023.3247343</w:t>
        </w:r>
      </w:hyperlink>
      <w:r w:rsidRPr="00107C19">
        <w:rPr>
          <w:rFonts w:ascii="Calibri" w:eastAsia="Times New Roman" w:hAnsi="Calibri" w:cs="Calibri"/>
          <w:iCs/>
          <w:color w:val="000000" w:themeColor="text1"/>
          <w:szCs w:val="24"/>
        </w:rPr>
        <w:t>.</w:t>
      </w:r>
    </w:p>
    <w:p w14:paraId="0E59E647"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bookmarkStart w:id="687" w:name="_Hlk145747123"/>
      <w:r w:rsidRPr="00107C19">
        <w:rPr>
          <w:rFonts w:ascii="Calibri" w:eastAsia="Times New Roman" w:hAnsi="Calibri" w:cs="Calibri"/>
          <w:iCs/>
          <w:color w:val="000000" w:themeColor="text1"/>
          <w:szCs w:val="24"/>
        </w:rPr>
        <w:t>Ma</w:t>
      </w:r>
      <w:r w:rsidRPr="00107C19">
        <w:rPr>
          <w:rFonts w:ascii="Calibri" w:eastAsia="Times New Roman" w:hAnsi="Calibri" w:cs="Calibri"/>
          <w:b/>
          <w:bCs/>
          <w:iCs/>
          <w:color w:val="000000" w:themeColor="text1"/>
          <w:szCs w:val="24"/>
        </w:rPr>
        <w:t xml:space="preserve">, </w:t>
      </w:r>
      <w:r w:rsidRPr="00107C19">
        <w:rPr>
          <w:rFonts w:ascii="Calibri" w:eastAsia="Times New Roman" w:hAnsi="Calibri" w:cs="Calibri"/>
          <w:iCs/>
          <w:color w:val="000000" w:themeColor="text1"/>
          <w:szCs w:val="24"/>
        </w:rPr>
        <w:t>Y.,</w:t>
      </w:r>
      <w:r w:rsidRPr="00107C19">
        <w:rPr>
          <w:rFonts w:ascii="Calibri" w:eastAsia="Times New Roman" w:hAnsi="Calibri" w:cs="Calibri"/>
          <w:b/>
          <w:bCs/>
          <w:iCs/>
          <w:color w:val="000000" w:themeColor="text1"/>
          <w:szCs w:val="24"/>
        </w:rPr>
        <w:t xml:space="preserve"> </w:t>
      </w:r>
      <w:r w:rsidRPr="00107C19">
        <w:rPr>
          <w:rFonts w:ascii="Calibri" w:eastAsia="Times New Roman" w:hAnsi="Calibri" w:cs="Calibri"/>
          <w:iCs/>
          <w:color w:val="000000" w:themeColor="text1"/>
          <w:szCs w:val="24"/>
        </w:rPr>
        <w:t xml:space="preserve">Yang, Z., and Zhang, Z. 2023. Improving the transferability of deep learning models for crop yield prediction: A partial domain adaptation approach. </w:t>
      </w:r>
      <w:r w:rsidRPr="00107C19">
        <w:rPr>
          <w:rFonts w:ascii="Calibri" w:eastAsia="Times New Roman" w:hAnsi="Calibri" w:cs="Calibri"/>
          <w:i/>
          <w:color w:val="000000" w:themeColor="text1"/>
          <w:szCs w:val="24"/>
        </w:rPr>
        <w:t>Remote Sensing</w:t>
      </w:r>
      <w:r w:rsidRPr="00107C19">
        <w:rPr>
          <w:rFonts w:ascii="Calibri" w:eastAsia="Times New Roman" w:hAnsi="Calibri" w:cs="Calibri"/>
          <w:iCs/>
          <w:color w:val="000000" w:themeColor="text1"/>
          <w:szCs w:val="24"/>
        </w:rPr>
        <w:t xml:space="preserve">, 15(18): 4562. </w:t>
      </w:r>
      <w:bookmarkEnd w:id="687"/>
      <w:r w:rsidRPr="00107C19">
        <w:rPr>
          <w:rFonts w:ascii="Calibri" w:eastAsia="Times New Roman" w:hAnsi="Calibri" w:cs="Calibri"/>
          <w:color w:val="000000" w:themeColor="text1"/>
          <w:szCs w:val="24"/>
          <w:u w:val="single"/>
        </w:rPr>
        <w:fldChar w:fldCharType="begin"/>
      </w:r>
      <w:r w:rsidRPr="00107C19">
        <w:rPr>
          <w:rFonts w:ascii="Calibri" w:eastAsia="Times New Roman" w:hAnsi="Calibri" w:cs="Calibri"/>
          <w:color w:val="000000" w:themeColor="text1"/>
          <w:szCs w:val="24"/>
          <w:u w:val="single"/>
        </w:rPr>
        <w:instrText>HYPERLINK "https://gcc02.safelinks.protection.outlook.com/?url=https%3A%2F%2Fdoi.org%2F10.3390%2Frs15184562&amp;data=05%7C01%7Clinda.j.young%40usda.gov%7C3401fce18fd24610155308dbbdf291df%7Ced5b36e701ee4ebc867ee03cfa0d4697%7C1%7C0%7C638312621743896044%7CUnknown%7CTWFpbGZsb3d8eyJWIjoiMC4wLjAwMDAiLCJQIjoiV2luMzIiLCJBTiI6Ik1haWwiLCJXVCI6Mn0%3D%7C3000%7C%7C%7C&amp;sdata=cI0A4Glpi1jDtRAHbucHX4p8svzy5cfGulVW8%2Fq7Fgc%3D&amp;reserved=0"</w:instrText>
      </w:r>
      <w:r w:rsidRPr="00107C19">
        <w:rPr>
          <w:rFonts w:ascii="Calibri" w:eastAsia="Times New Roman" w:hAnsi="Calibri" w:cs="Calibri"/>
          <w:color w:val="000000" w:themeColor="text1"/>
          <w:szCs w:val="24"/>
          <w:u w:val="single"/>
        </w:rPr>
      </w:r>
      <w:r w:rsidRPr="00107C19">
        <w:rPr>
          <w:rFonts w:ascii="Calibri" w:eastAsia="Times New Roman" w:hAnsi="Calibri" w:cs="Calibri"/>
          <w:color w:val="000000" w:themeColor="text1"/>
          <w:szCs w:val="24"/>
          <w:u w:val="single"/>
        </w:rPr>
        <w:fldChar w:fldCharType="separate"/>
      </w:r>
      <w:r w:rsidRPr="00107C19">
        <w:rPr>
          <w:rFonts w:ascii="Calibri" w:eastAsia="Times New Roman" w:hAnsi="Calibri" w:cs="Calibri"/>
          <w:color w:val="000000" w:themeColor="text1"/>
          <w:szCs w:val="24"/>
          <w:u w:val="single"/>
        </w:rPr>
        <w:t>https://doi.org/10.3390/rs15184562</w:t>
      </w:r>
      <w:r w:rsidRPr="00107C19">
        <w:rPr>
          <w:rFonts w:ascii="Calibri" w:eastAsia="Times New Roman" w:hAnsi="Calibri" w:cs="Calibri"/>
          <w:color w:val="000000" w:themeColor="text1"/>
          <w:szCs w:val="24"/>
          <w:u w:val="single"/>
        </w:rPr>
        <w:fldChar w:fldCharType="end"/>
      </w:r>
      <w:r w:rsidRPr="00107C19">
        <w:rPr>
          <w:rFonts w:ascii="Calibri" w:eastAsia="Times New Roman" w:hAnsi="Calibri" w:cs="Calibri"/>
          <w:color w:val="000000" w:themeColor="text1"/>
          <w:szCs w:val="24"/>
        </w:rPr>
        <w:t>.</w:t>
      </w:r>
    </w:p>
    <w:p w14:paraId="29E3FD3F"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CMR10" w:hAnsi="Calibri" w:cs="Calibri"/>
          <w:iCs/>
          <w:color w:val="000000" w:themeColor="text1"/>
          <w:szCs w:val="24"/>
          <w14:ligatures w14:val="standardContextual"/>
        </w:rPr>
        <w:t>Nandram, B., Cruze, N. B. and Erciulescu, A. L. 2023. Bayesian small area models under</w:t>
      </w:r>
      <w:r w:rsidRPr="00107C19">
        <w:rPr>
          <w:rFonts w:ascii="Calibri" w:eastAsia="CMR10" w:hAnsi="Calibri" w:cs="Calibri"/>
          <w:iCs/>
          <w:color w:val="000000" w:themeColor="text1"/>
          <w:szCs w:val="24"/>
        </w:rPr>
        <w:t xml:space="preserve"> i</w:t>
      </w:r>
      <w:r w:rsidRPr="00107C19">
        <w:rPr>
          <w:rFonts w:ascii="Calibri" w:eastAsia="CMR10" w:hAnsi="Calibri" w:cs="Calibri"/>
          <w:iCs/>
          <w:color w:val="000000" w:themeColor="text1"/>
          <w:szCs w:val="24"/>
          <w14:ligatures w14:val="standardContextual"/>
        </w:rPr>
        <w:t xml:space="preserve">nequality constraints with benchmarking and double shrinkage. </w:t>
      </w:r>
      <w:r w:rsidRPr="00107C19">
        <w:rPr>
          <w:rFonts w:ascii="Calibri" w:eastAsia="CMTI10" w:hAnsi="Calibri" w:cs="Calibri"/>
          <w:i/>
          <w:color w:val="000000" w:themeColor="text1"/>
          <w:szCs w:val="24"/>
          <w14:ligatures w14:val="standardContextual"/>
        </w:rPr>
        <w:t>Survey Methodology</w:t>
      </w:r>
      <w:r w:rsidRPr="00107C19">
        <w:rPr>
          <w:rFonts w:ascii="Calibri" w:eastAsia="CMTI10" w:hAnsi="Calibri" w:cs="Calibri"/>
          <w:iCs/>
          <w:color w:val="000000" w:themeColor="text1"/>
          <w:szCs w:val="24"/>
          <w14:ligatures w14:val="standardContextual"/>
        </w:rPr>
        <w:t xml:space="preserve"> </w:t>
      </w:r>
      <w:r w:rsidRPr="00107C19">
        <w:rPr>
          <w:rFonts w:ascii="Calibri" w:eastAsia="CMR10" w:hAnsi="Calibri" w:cs="Calibri"/>
          <w:iCs/>
          <w:color w:val="000000" w:themeColor="text1"/>
          <w:szCs w:val="24"/>
          <w14:ligatures w14:val="standardContextual"/>
        </w:rPr>
        <w:t>(in</w:t>
      </w:r>
      <w:r w:rsidRPr="00107C19">
        <w:rPr>
          <w:rFonts w:ascii="Calibri" w:eastAsia="CMR10" w:hAnsi="Calibri" w:cs="Calibri"/>
          <w:iCs/>
          <w:color w:val="000000" w:themeColor="text1"/>
          <w:szCs w:val="24"/>
        </w:rPr>
        <w:t xml:space="preserve"> </w:t>
      </w:r>
      <w:r w:rsidRPr="00107C19">
        <w:rPr>
          <w:rFonts w:ascii="Calibri" w:eastAsia="CMR10" w:hAnsi="Calibri" w:cs="Calibri"/>
          <w:iCs/>
          <w:color w:val="000000" w:themeColor="text1"/>
          <w:szCs w:val="24"/>
          <w14:ligatures w14:val="standardContextual"/>
        </w:rPr>
        <w:t xml:space="preserve">press), 1-30. </w:t>
      </w:r>
    </w:p>
    <w:p w14:paraId="2A77305B"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CMR10" w:hAnsi="Calibri" w:cs="Calibri"/>
          <w:iCs/>
          <w:color w:val="000000" w:themeColor="text1"/>
          <w:szCs w:val="24"/>
          <w14:ligatures w14:val="standardContextual"/>
        </w:rPr>
        <w:lastRenderedPageBreak/>
        <w:t xml:space="preserve">Ridolfo, H. and Thompson, A. 2023. Conducting small-scale multimethod questionnaire evaluation. </w:t>
      </w:r>
      <w:r w:rsidRPr="00107C19">
        <w:rPr>
          <w:rFonts w:ascii="Calibri" w:eastAsia="CMR10" w:hAnsi="Calibri" w:cs="Calibri"/>
          <w:i/>
          <w:color w:val="000000" w:themeColor="text1"/>
          <w:szCs w:val="24"/>
          <w14:ligatures w14:val="standardContextual"/>
        </w:rPr>
        <w:t>Survey Practice</w:t>
      </w:r>
      <w:r w:rsidRPr="00107C19">
        <w:rPr>
          <w:rFonts w:ascii="Calibri" w:eastAsia="CMR10" w:hAnsi="Calibri" w:cs="Calibri"/>
          <w:iCs/>
          <w:color w:val="000000" w:themeColor="text1"/>
          <w:szCs w:val="24"/>
          <w14:ligatures w14:val="standardContextual"/>
        </w:rPr>
        <w:t xml:space="preserve">, 16(1). </w:t>
      </w:r>
      <w:r w:rsidRPr="00107C19">
        <w:rPr>
          <w:rFonts w:ascii="Calibri" w:eastAsia="CMR10" w:hAnsi="Calibri" w:cs="Calibri"/>
          <w:iCs/>
          <w:color w:val="000000" w:themeColor="text1"/>
          <w:szCs w:val="24"/>
          <w:u w:val="single"/>
          <w14:ligatures w14:val="standardContextual"/>
        </w:rPr>
        <w:t>https://doi.org/10.29115/SP-2023-0017</w:t>
      </w:r>
      <w:r w:rsidRPr="00107C19">
        <w:rPr>
          <w:rFonts w:ascii="Calibri" w:eastAsia="CMR10" w:hAnsi="Calibri" w:cs="Calibri"/>
          <w:iCs/>
          <w:color w:val="000000" w:themeColor="text1"/>
          <w:szCs w:val="24"/>
          <w14:ligatures w14:val="standardContextual"/>
        </w:rPr>
        <w:t>.</w:t>
      </w:r>
    </w:p>
    <w:p w14:paraId="3986DE10"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Sartore, L., Boryan, C., Dau, A., Willis, P. 2023. An assessment of crop-specific land cover predictions using high-order Markov chains and deep neural networks. Journal of Data Science</w:t>
      </w:r>
      <w:r w:rsidRPr="00107C19">
        <w:rPr>
          <w:rFonts w:ascii="Calibri" w:eastAsia="Times New Roman" w:hAnsi="Calibri" w:cs="Calibri"/>
          <w:i/>
          <w:color w:val="000000" w:themeColor="text1"/>
          <w:szCs w:val="24"/>
        </w:rPr>
        <w:t xml:space="preserve">. </w:t>
      </w:r>
      <w:r w:rsidRPr="00107C19">
        <w:rPr>
          <w:rFonts w:ascii="Calibri" w:eastAsia="Times New Roman" w:hAnsi="Calibri" w:cs="Calibri"/>
          <w:iCs/>
          <w:color w:val="000000" w:themeColor="text1"/>
          <w:szCs w:val="24"/>
        </w:rPr>
        <w:t xml:space="preserve">21(2):333-353. </w:t>
      </w:r>
      <w:hyperlink r:id="rId60" w:tgtFrame="_blank" w:history="1">
        <w:r w:rsidRPr="00107C19">
          <w:rPr>
            <w:rFonts w:ascii="Calibri" w:eastAsia="Times New Roman" w:hAnsi="Calibri" w:cs="Calibri"/>
            <w:iCs/>
            <w:color w:val="000000" w:themeColor="text1"/>
            <w:szCs w:val="24"/>
            <w:u w:val="single"/>
            <w:shd w:val="clear" w:color="auto" w:fill="FFFFFF"/>
          </w:rPr>
          <w:t>https://doi.org/10.6339/23-JDS1098</w:t>
        </w:r>
      </w:hyperlink>
      <w:r w:rsidRPr="00107C19">
        <w:rPr>
          <w:rFonts w:ascii="Calibri" w:eastAsia="Times New Roman" w:hAnsi="Calibri" w:cs="Calibri"/>
          <w:iCs/>
          <w:color w:val="000000" w:themeColor="text1"/>
          <w:szCs w:val="24"/>
          <w:shd w:val="clear" w:color="auto" w:fill="FFFFFF"/>
        </w:rPr>
        <w:t>.</w:t>
      </w:r>
    </w:p>
    <w:p w14:paraId="0601DED6"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Shen, Y., Zhang, X., Yang, Z., Ye, Y., Wang, J., Gao, S., Liu, Y., Wang, W., and Tran, K.H. 2023. Developing an operational algorithm for near-real-time monitoring of crop progress at field scales by fusing harmonized Landsat and Sentinel-2 time series with geostationary satellite observations. </w:t>
      </w:r>
      <w:r w:rsidRPr="00107C19">
        <w:rPr>
          <w:rFonts w:ascii="Calibri" w:eastAsia="Times New Roman" w:hAnsi="Calibri" w:cs="Calibri"/>
          <w:i/>
          <w:color w:val="000000" w:themeColor="text1"/>
          <w:szCs w:val="24"/>
        </w:rPr>
        <w:t>Remote Sensing of the Environment</w:t>
      </w:r>
      <w:r w:rsidRPr="00107C19">
        <w:rPr>
          <w:rFonts w:ascii="Calibri" w:eastAsia="Times New Roman" w:hAnsi="Calibri" w:cs="Calibri"/>
          <w:iCs/>
          <w:color w:val="000000" w:themeColor="text1"/>
          <w:szCs w:val="24"/>
        </w:rPr>
        <w:t>, 296: 113729.</w:t>
      </w:r>
      <w:r w:rsidRPr="00107C19">
        <w:rPr>
          <w:rFonts w:ascii="Calibri" w:eastAsia="Times New Roman" w:hAnsi="Calibri" w:cs="Calibri"/>
          <w:i/>
          <w:color w:val="000000" w:themeColor="text1"/>
          <w:szCs w:val="24"/>
        </w:rPr>
        <w:t xml:space="preserve"> </w:t>
      </w:r>
      <w:hyperlink r:id="rId61" w:history="1">
        <w:r w:rsidRPr="00107C19">
          <w:rPr>
            <w:rFonts w:ascii="Calibri" w:eastAsia="Times New Roman" w:hAnsi="Calibri" w:cs="Calibri"/>
            <w:iCs/>
            <w:color w:val="000000" w:themeColor="text1"/>
            <w:szCs w:val="24"/>
            <w:u w:val="single"/>
          </w:rPr>
          <w:t>https://doi.org/10.1016/j.rse.2023.113729</w:t>
        </w:r>
      </w:hyperlink>
      <w:r w:rsidRPr="00107C19">
        <w:rPr>
          <w:rFonts w:ascii="Calibri" w:eastAsia="Times New Roman" w:hAnsi="Calibri" w:cs="Calibri"/>
          <w:iCs/>
          <w:color w:val="000000" w:themeColor="text1"/>
          <w:szCs w:val="24"/>
        </w:rPr>
        <w:t>.</w:t>
      </w:r>
    </w:p>
    <w:p w14:paraId="10CE751D"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Zhang, C., Di, L., Lin, L., Li, H., Yang, A., Guo, L., Yu, E.G., and Yang, Z. 2023. Cyberinformatics tool for in-season crop-specific land cover monitoring: design, implementation, and applications of iCrop. </w:t>
      </w:r>
      <w:r w:rsidRPr="00107C19">
        <w:rPr>
          <w:rFonts w:ascii="Calibri" w:eastAsia="Times New Roman" w:hAnsi="Calibri" w:cs="Calibri"/>
          <w:i/>
          <w:color w:val="000000" w:themeColor="text1"/>
          <w:szCs w:val="24"/>
        </w:rPr>
        <w:t>Computers and Electronics in Agriculture</w:t>
      </w:r>
      <w:r w:rsidRPr="00107C19">
        <w:rPr>
          <w:rFonts w:ascii="Calibri" w:eastAsia="Times New Roman" w:hAnsi="Calibri" w:cs="Calibri"/>
          <w:iCs/>
          <w:color w:val="000000" w:themeColor="text1"/>
          <w:szCs w:val="24"/>
        </w:rPr>
        <w:t>, 213: 108199.</w:t>
      </w:r>
      <w:r w:rsidRPr="00107C19">
        <w:rPr>
          <w:rFonts w:ascii="Calibri" w:eastAsia="Times New Roman" w:hAnsi="Calibri" w:cs="Calibri"/>
          <w:i/>
          <w:color w:val="000000" w:themeColor="text1"/>
          <w:szCs w:val="24"/>
        </w:rPr>
        <w:t xml:space="preserve"> </w:t>
      </w:r>
      <w:hyperlink r:id="rId62" w:history="1">
        <w:r w:rsidRPr="00107C19">
          <w:rPr>
            <w:rFonts w:ascii="Calibri" w:eastAsia="Times New Roman" w:hAnsi="Calibri" w:cs="Calibri"/>
            <w:iCs/>
            <w:color w:val="000000" w:themeColor="text1"/>
            <w:szCs w:val="24"/>
            <w:u w:val="single"/>
          </w:rPr>
          <w:t>https://doi.org/10.1016/j.compag.2023.108199</w:t>
        </w:r>
      </w:hyperlink>
      <w:r w:rsidRPr="00107C19">
        <w:rPr>
          <w:rFonts w:ascii="Calibri" w:eastAsia="Times New Roman" w:hAnsi="Calibri" w:cs="Calibri"/>
          <w:iCs/>
          <w:color w:val="000000" w:themeColor="text1"/>
          <w:szCs w:val="24"/>
        </w:rPr>
        <w:t>.</w:t>
      </w:r>
    </w:p>
    <w:p w14:paraId="5B6F83F1"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88" w:name="_Toc120873450"/>
      <w:r w:rsidRPr="00107C19">
        <w:rPr>
          <w:rFonts w:ascii="Calibri" w:eastAsia="Times New Roman" w:hAnsi="Calibri" w:cs="Calibri"/>
          <w:bCs/>
          <w:iCs/>
          <w:color w:val="000000" w:themeColor="text1"/>
          <w:kern w:val="32"/>
          <w:sz w:val="28"/>
          <w:szCs w:val="26"/>
        </w:rPr>
        <w:t xml:space="preserve"> </w:t>
      </w:r>
      <w:bookmarkStart w:id="689" w:name="_Toc160186139"/>
      <w:r w:rsidRPr="00107C19">
        <w:rPr>
          <w:rFonts w:ascii="Calibri" w:eastAsia="Times New Roman" w:hAnsi="Calibri" w:cs="Calibri"/>
          <w:bCs/>
          <w:iCs/>
          <w:color w:val="000000" w:themeColor="text1"/>
          <w:kern w:val="32"/>
          <w:sz w:val="28"/>
          <w:szCs w:val="26"/>
        </w:rPr>
        <w:t>Scientific Meeting Proceedings</w:t>
      </w:r>
      <w:r w:rsidRPr="00107C19">
        <w:rPr>
          <w:rFonts w:ascii="Calibri" w:eastAsia="Times New Roman" w:hAnsi="Calibri" w:cs="Calibri"/>
          <w:bCs/>
          <w:iCs/>
          <w:color w:val="000000" w:themeColor="text1"/>
          <w:kern w:val="32"/>
          <w:sz w:val="28"/>
          <w:szCs w:val="26"/>
        </w:rPr>
        <w:tab/>
        <w:t>18 entries</w:t>
      </w:r>
      <w:bookmarkEnd w:id="688"/>
      <w:bookmarkEnd w:id="689"/>
    </w:p>
    <w:p w14:paraId="6025AD69"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Abernethy, J., Boryan, C., Guindin, N., Hunt, K., and Sartore, L. 2023. Early season corn acreage estimates in the presence of extreme weather. 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hyperlink r:id="rId63" w:history="1">
        <w:r w:rsidRPr="00107C19">
          <w:rPr>
            <w:rFonts w:ascii="Calibri" w:eastAsia="Times New Roman" w:hAnsi="Calibri" w:cs="Calibri"/>
            <w:iCs/>
            <w:color w:val="000000" w:themeColor="text1"/>
            <w:szCs w:val="24"/>
            <w:u w:val="single"/>
          </w:rPr>
          <w:t>https://zenodo.org/records/8377224</w:t>
        </w:r>
      </w:hyperlink>
      <w:r w:rsidRPr="00107C19">
        <w:rPr>
          <w:rFonts w:ascii="Calibri" w:eastAsia="Times New Roman" w:hAnsi="Calibri" w:cs="Calibri"/>
          <w:iCs/>
          <w:color w:val="000000" w:themeColor="text1"/>
          <w:szCs w:val="24"/>
        </w:rPr>
        <w:t>.</w:t>
      </w:r>
    </w:p>
    <w:p w14:paraId="207A6E76"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Abreu, D. A., Murphy, T., Rosales, A., and Young, L. 2022. Evaluation of estimation methods for an area survey. In the </w:t>
      </w:r>
      <w:r w:rsidRPr="00107C19">
        <w:rPr>
          <w:rFonts w:ascii="Calibri" w:eastAsia="Times New Roman" w:hAnsi="Calibri" w:cs="Calibri"/>
          <w:i/>
          <w:color w:val="000000" w:themeColor="text1"/>
          <w:szCs w:val="24"/>
        </w:rPr>
        <w:t>Proceedings of the 2022 Joint Statistical Meetings</w:t>
      </w:r>
      <w:r w:rsidRPr="00107C19">
        <w:rPr>
          <w:rFonts w:ascii="Calibri" w:eastAsia="Times New Roman" w:hAnsi="Calibri" w:cs="Calibri"/>
          <w:iCs/>
          <w:color w:val="000000" w:themeColor="text1"/>
          <w:szCs w:val="24"/>
        </w:rPr>
        <w:t xml:space="preserve">. Alexandria, VA: American Statistical Association. </w:t>
      </w:r>
      <w:hyperlink r:id="rId64" w:history="1">
        <w:r w:rsidRPr="00107C19">
          <w:rPr>
            <w:rFonts w:ascii="Calibri" w:eastAsia="Times New Roman" w:hAnsi="Calibri" w:cs="Calibri"/>
            <w:iCs/>
            <w:color w:val="000000" w:themeColor="text1"/>
            <w:szCs w:val="24"/>
            <w:u w:val="single"/>
          </w:rPr>
          <w:t>JTJLFYSY-2258821-1828624-Upload-1669674380.pdf (rackcdn.com)</w:t>
        </w:r>
      </w:hyperlink>
      <w:r w:rsidRPr="00107C19">
        <w:rPr>
          <w:rFonts w:ascii="Calibri" w:eastAsia="Times New Roman" w:hAnsi="Calibri" w:cs="Calibri"/>
          <w:iCs/>
          <w:color w:val="000000" w:themeColor="text1"/>
          <w:szCs w:val="24"/>
        </w:rPr>
        <w:t>.</w:t>
      </w:r>
    </w:p>
    <w:p w14:paraId="13EC6C21"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Benecha, H., Sartore, L., Yoon, G., Craig, B.A., Abreu, D.A., Young, L.J. (2022) Extending the dual-system estimation for the Census of Agriculture. In the </w:t>
      </w:r>
      <w:r w:rsidRPr="00107C19">
        <w:rPr>
          <w:rFonts w:ascii="Calibri" w:eastAsia="Times New Roman" w:hAnsi="Calibri" w:cs="Calibri"/>
          <w:i/>
          <w:color w:val="000000" w:themeColor="text1"/>
          <w:szCs w:val="24"/>
        </w:rPr>
        <w:t>Proceedings of the 2022 Joint Statistical Meetings</w:t>
      </w:r>
      <w:r w:rsidRPr="00107C19">
        <w:rPr>
          <w:rFonts w:ascii="Calibri" w:eastAsia="Times New Roman" w:hAnsi="Calibri" w:cs="Calibri"/>
          <w:iCs/>
          <w:color w:val="000000" w:themeColor="text1"/>
          <w:szCs w:val="24"/>
        </w:rPr>
        <w:t xml:space="preserve">. Alexandria, VA: American Statistical Association. </w:t>
      </w:r>
      <w:hyperlink r:id="rId65" w:history="1">
        <w:r w:rsidRPr="00107C19">
          <w:rPr>
            <w:rFonts w:ascii="Calibri" w:eastAsia="Times New Roman" w:hAnsi="Calibri" w:cs="Calibri"/>
            <w:iCs/>
            <w:color w:val="000000" w:themeColor="text1"/>
            <w:szCs w:val="24"/>
            <w:u w:val="single"/>
          </w:rPr>
          <w:t>http://www.asasrms.org/Proceedings/y2022/files/322951_161688.pdf</w:t>
        </w:r>
      </w:hyperlink>
      <w:r w:rsidRPr="00107C19">
        <w:rPr>
          <w:rFonts w:ascii="Calibri" w:eastAsia="Times New Roman" w:hAnsi="Calibri" w:cs="Calibri"/>
          <w:iCs/>
          <w:color w:val="000000" w:themeColor="text1"/>
          <w:szCs w:val="24"/>
        </w:rPr>
        <w:t>.</w:t>
      </w:r>
    </w:p>
    <w:p w14:paraId="6FFCD77F"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Chen, L. and Nandram, B. 2023. Spatial two-component mixture model for state-level cash rental rates. 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hyperlink r:id="rId66" w:tgtFrame="_blank" w:history="1">
        <w:r w:rsidRPr="00107C19">
          <w:rPr>
            <w:rFonts w:ascii="Calibri" w:eastAsia="Times New Roman" w:hAnsi="Calibri" w:cs="Calibri"/>
            <w:iCs/>
            <w:color w:val="000000" w:themeColor="text1"/>
            <w:szCs w:val="24"/>
            <w:u w:val="single"/>
            <w:shd w:val="clear" w:color="auto" w:fill="FFFFFF"/>
          </w:rPr>
          <w:t>https://doi.org/10.5281/zenodo.8383519</w:t>
        </w:r>
      </w:hyperlink>
      <w:r w:rsidRPr="00107C19">
        <w:rPr>
          <w:rFonts w:ascii="Calibri" w:eastAsia="Times New Roman" w:hAnsi="Calibri" w:cs="Calibri"/>
          <w:iCs/>
          <w:color w:val="000000" w:themeColor="text1"/>
          <w:szCs w:val="24"/>
        </w:rPr>
        <w:t>.</w:t>
      </w:r>
    </w:p>
    <w:p w14:paraId="51E4151A"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Cheng, Y., Datta, G., and Chen, L. 2023. Mixture model and its application. 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hyperlink r:id="rId67" w:tgtFrame="_blank" w:history="1">
        <w:r w:rsidRPr="00107C19">
          <w:rPr>
            <w:rFonts w:ascii="Calibri" w:eastAsia="Times New Roman" w:hAnsi="Calibri" w:cs="Calibri"/>
            <w:iCs/>
            <w:color w:val="000000" w:themeColor="text1"/>
            <w:szCs w:val="24"/>
            <w:u w:val="single"/>
            <w:shd w:val="clear" w:color="auto" w:fill="FFFFFF"/>
          </w:rPr>
          <w:t>https://doi.org/10.5281/zenodo.10031681</w:t>
        </w:r>
      </w:hyperlink>
      <w:r w:rsidRPr="00107C19">
        <w:rPr>
          <w:rFonts w:ascii="Calibri" w:eastAsia="Times New Roman" w:hAnsi="Calibri" w:cs="Calibri"/>
          <w:iCs/>
          <w:color w:val="000000" w:themeColor="text1"/>
          <w:szCs w:val="24"/>
        </w:rPr>
        <w:t>.</w:t>
      </w:r>
    </w:p>
    <w:p w14:paraId="360A6AED"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shd w:val="clear" w:color="auto" w:fill="FFFFFF"/>
        </w:rPr>
        <w:t xml:space="preserve">Corral, G. 2023. Can providing previously reported data on survey and census web forms increase response rates? </w:t>
      </w:r>
      <w:r w:rsidRPr="00107C19">
        <w:rPr>
          <w:rFonts w:ascii="Calibri" w:eastAsia="Times New Roman" w:hAnsi="Calibri" w:cs="Calibri"/>
          <w:iCs/>
          <w:color w:val="000000" w:themeColor="text1"/>
          <w:szCs w:val="24"/>
        </w:rPr>
        <w:t xml:space="preserve">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r w:rsidRPr="00107C19">
        <w:rPr>
          <w:rFonts w:ascii="Times New Roman" w:eastAsia="Times New Roman" w:hAnsi="Times New Roman"/>
          <w:iCs/>
          <w:color w:val="000000" w:themeColor="text1"/>
          <w:szCs w:val="24"/>
          <w:u w:val="single"/>
          <w:shd w:val="clear" w:color="auto" w:fill="FFFFFF"/>
        </w:rPr>
        <w:t>https://doi.org/10.5281/zenodo.10048421</w:t>
      </w:r>
      <w:r w:rsidRPr="00107C19">
        <w:rPr>
          <w:rFonts w:ascii="Times New Roman" w:eastAsia="Times New Roman" w:hAnsi="Times New Roman"/>
          <w:iCs/>
          <w:color w:val="000000" w:themeColor="text1"/>
          <w:szCs w:val="24"/>
          <w:shd w:val="clear" w:color="auto" w:fill="FFFFFF"/>
        </w:rPr>
        <w:t>.</w:t>
      </w:r>
    </w:p>
    <w:p w14:paraId="48B4CFD4"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Ji, M. and Cheng, Y. 2022. Pattern mixture weighted GEE models for survey nonresponses. In the </w:t>
      </w:r>
      <w:r w:rsidRPr="00107C19">
        <w:rPr>
          <w:rFonts w:ascii="Calibri" w:eastAsia="Times New Roman" w:hAnsi="Calibri" w:cs="Calibri"/>
          <w:i/>
          <w:color w:val="000000" w:themeColor="text1"/>
          <w:szCs w:val="24"/>
        </w:rPr>
        <w:t>Proceedings of the 2022 Joint Statistical Meetings, Government Statistics Section</w:t>
      </w:r>
      <w:r w:rsidRPr="00107C19">
        <w:rPr>
          <w:rFonts w:ascii="Calibri" w:eastAsia="Times New Roman" w:hAnsi="Calibri" w:cs="Calibri"/>
          <w:iCs/>
          <w:color w:val="000000" w:themeColor="text1"/>
          <w:szCs w:val="24"/>
        </w:rPr>
        <w:t xml:space="preserve">. Alexandria, VA: American Statistical Association. 524 – 539. </w:t>
      </w:r>
      <w:hyperlink r:id="rId68" w:history="1">
        <w:r w:rsidRPr="00107C19">
          <w:rPr>
            <w:rFonts w:ascii="Calibri" w:eastAsia="Times New Roman" w:hAnsi="Calibri" w:cs="Calibri"/>
            <w:iCs/>
            <w:color w:val="000000" w:themeColor="text1"/>
            <w:szCs w:val="24"/>
            <w:u w:val="single"/>
          </w:rPr>
          <w:t>https://0633e92166c0a27ea1aa-ab47878a9e45eb9e2f15be38a59f867e.ssl.cf1.rackcdn.com/JTJLFYSY-2258730-1828534-Upload-1669668827.pdf</w:t>
        </w:r>
      </w:hyperlink>
      <w:r w:rsidRPr="00107C19">
        <w:rPr>
          <w:rFonts w:ascii="Calibri" w:eastAsia="Times New Roman" w:hAnsi="Calibri" w:cs="Calibri"/>
          <w:iCs/>
          <w:color w:val="000000" w:themeColor="text1"/>
          <w:szCs w:val="24"/>
        </w:rPr>
        <w:t>.</w:t>
      </w:r>
    </w:p>
    <w:p w14:paraId="5B95C7AA"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lastRenderedPageBreak/>
        <w:t xml:space="preserve">Lipke, M., Miller, D., Agnihotri, V., Brown, K., and Wagner, V. 2022. Growing a modern edit and imputation system. In the Proceedings of the United Nations Economic Commission for Europe (UBECE) Work Session on Statistical Data Editing Proceedings. </w:t>
      </w:r>
      <w:hyperlink r:id="rId69" w:history="1">
        <w:r w:rsidRPr="00107C19">
          <w:rPr>
            <w:rFonts w:ascii="Calibri" w:eastAsia="Times New Roman" w:hAnsi="Calibri" w:cs="Calibri"/>
            <w:iCs/>
            <w:color w:val="000000" w:themeColor="text1"/>
            <w:szCs w:val="24"/>
            <w:u w:val="single"/>
          </w:rPr>
          <w:t>https://unece.org/sites/default/files/2022-10/SDE2022_S1b_USA_Lipke_D_.pdf</w:t>
        </w:r>
      </w:hyperlink>
      <w:r w:rsidRPr="00107C19">
        <w:rPr>
          <w:rFonts w:ascii="Calibri" w:eastAsia="Times New Roman" w:hAnsi="Calibri" w:cs="Calibri"/>
          <w:iCs/>
          <w:color w:val="000000" w:themeColor="text1"/>
          <w:szCs w:val="24"/>
        </w:rPr>
        <w:t>.</w:t>
      </w:r>
    </w:p>
    <w:p w14:paraId="1C19A1D2"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Murphy, T., Rosales, A., Sartore, L., Abreu, D.A. (2022) Automatic Imputation for an Area Survey. In the </w:t>
      </w:r>
      <w:r w:rsidRPr="00107C19">
        <w:rPr>
          <w:rFonts w:ascii="Calibri" w:eastAsia="Times New Roman" w:hAnsi="Calibri" w:cs="Calibri"/>
          <w:i/>
          <w:color w:val="000000" w:themeColor="text1"/>
          <w:szCs w:val="24"/>
        </w:rPr>
        <w:t>Proceedings of the 2022 Joint Statistical Meetings</w:t>
      </w:r>
      <w:r w:rsidRPr="00107C19">
        <w:rPr>
          <w:rFonts w:ascii="Calibri" w:eastAsia="Times New Roman" w:hAnsi="Calibri" w:cs="Calibri"/>
          <w:iCs/>
          <w:color w:val="000000" w:themeColor="text1"/>
          <w:szCs w:val="24"/>
        </w:rPr>
        <w:t xml:space="preserve">. Alexandria, VA: American Statistical Association. </w:t>
      </w:r>
      <w:hyperlink r:id="rId70" w:history="1">
        <w:r w:rsidRPr="00107C19">
          <w:rPr>
            <w:rFonts w:ascii="Calibri" w:eastAsia="Times New Roman" w:hAnsi="Calibri" w:cs="Calibri"/>
            <w:iCs/>
            <w:color w:val="000000" w:themeColor="text1"/>
            <w:szCs w:val="24"/>
            <w:u w:val="single"/>
          </w:rPr>
          <w:t>http://www.asasrms.org/Proceedings/y2022/files/322650_162128.pdf</w:t>
        </w:r>
      </w:hyperlink>
      <w:r w:rsidRPr="00107C19">
        <w:rPr>
          <w:rFonts w:ascii="Times New Roman" w:eastAsia="Times New Roman" w:hAnsi="Times New Roman"/>
          <w:iCs/>
          <w:color w:val="000000" w:themeColor="text1"/>
          <w:sz w:val="22"/>
          <w:szCs w:val="24"/>
        </w:rPr>
        <w:t>.</w:t>
      </w:r>
      <w:r w:rsidRPr="00107C19">
        <w:rPr>
          <w:rFonts w:ascii="Calibri" w:eastAsia="Times New Roman" w:hAnsi="Calibri" w:cs="Calibri"/>
          <w:iCs/>
          <w:color w:val="000000" w:themeColor="text1"/>
          <w:szCs w:val="24"/>
        </w:rPr>
        <w:t xml:space="preserve"> </w:t>
      </w:r>
    </w:p>
    <w:p w14:paraId="1E61BFB2"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CMR10" w:hAnsi="Calibri" w:cs="Calibri"/>
          <w:iCs/>
          <w:color w:val="000000" w:themeColor="text1"/>
          <w:szCs w:val="24"/>
          <w14:ligatures w14:val="standardContextual"/>
        </w:rPr>
        <w:t xml:space="preserve">Nandram, B. 2023. Overcoming challenges associated with early Bayesian state estimation of planted acres in the United States. </w:t>
      </w:r>
      <w:r w:rsidRPr="00107C19">
        <w:rPr>
          <w:rFonts w:ascii="Calibri" w:eastAsia="CMTI10" w:hAnsi="Calibri" w:cs="Calibri"/>
          <w:iCs/>
          <w:color w:val="000000" w:themeColor="text1"/>
          <w:szCs w:val="24"/>
          <w14:ligatures w14:val="standardContextual"/>
        </w:rPr>
        <w:t>Special Proceedings of the Twenty-fifth Conference of the Society of Statistics, Computer and Applications</w:t>
      </w:r>
      <w:r w:rsidRPr="00107C19">
        <w:rPr>
          <w:rFonts w:ascii="Calibri" w:eastAsia="CMR10" w:hAnsi="Calibri" w:cs="Calibri"/>
          <w:iCs/>
          <w:color w:val="000000" w:themeColor="text1"/>
          <w:szCs w:val="24"/>
          <w14:ligatures w14:val="standardContextual"/>
        </w:rPr>
        <w:t>, 51-78,</w:t>
      </w:r>
      <w:r w:rsidRPr="00107C19">
        <w:rPr>
          <w:rFonts w:ascii="Calibri" w:eastAsia="CMR10" w:hAnsi="Calibri" w:cs="Calibri"/>
          <w:i/>
          <w:color w:val="000000" w:themeColor="text1"/>
          <w:szCs w:val="24"/>
          <w:u w:val="single"/>
          <w14:ligatures w14:val="standardContextual"/>
        </w:rPr>
        <w:t xml:space="preserve"> </w:t>
      </w:r>
      <w:hyperlink r:id="rId71" w:history="1">
        <w:r w:rsidRPr="00107C19">
          <w:rPr>
            <w:rFonts w:ascii="Calibri" w:eastAsia="CMR10" w:hAnsi="Calibri" w:cs="Calibri"/>
            <w:iCs/>
            <w:color w:val="000000" w:themeColor="text1"/>
            <w:szCs w:val="24"/>
            <w:u w:val="single"/>
            <w14:ligatures w14:val="standardContextual"/>
          </w:rPr>
          <w:t>https://ssca.org.in/specialproceedings.html</w:t>
        </w:r>
      </w:hyperlink>
      <w:r w:rsidRPr="00107C19">
        <w:rPr>
          <w:rFonts w:ascii="Calibri" w:eastAsia="CMR10" w:hAnsi="Calibri" w:cs="Calibri"/>
          <w:iCs/>
          <w:color w:val="000000" w:themeColor="text1"/>
          <w:szCs w:val="24"/>
          <w14:ligatures w14:val="standardContextual"/>
        </w:rPr>
        <w:t>.</w:t>
      </w:r>
    </w:p>
    <w:p w14:paraId="2703D14E"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CMR10" w:hAnsi="Calibri" w:cs="Calibri"/>
          <w:iCs/>
          <w:color w:val="000000" w:themeColor="text1"/>
          <w:szCs w:val="24"/>
          <w14:ligatures w14:val="standardContextual"/>
        </w:rPr>
        <w:t xml:space="preserve">Rhodes, S.O., Rosales, A., Sartore, L, and Murphy, T. 2023. Uncertainty assessment for the imputation of an area survey. </w:t>
      </w:r>
      <w:r w:rsidRPr="00107C19">
        <w:rPr>
          <w:rFonts w:ascii="Calibri" w:eastAsia="Times New Roman" w:hAnsi="Calibri" w:cs="Calibri"/>
          <w:iCs/>
          <w:color w:val="000000" w:themeColor="text1"/>
          <w:szCs w:val="24"/>
        </w:rPr>
        <w:t xml:space="preserve">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hyperlink r:id="rId72" w:history="1">
        <w:r w:rsidRPr="00107C19">
          <w:rPr>
            <w:rFonts w:ascii="Calibri" w:eastAsia="Times New Roman" w:hAnsi="Calibri" w:cs="Calibri"/>
            <w:iCs/>
            <w:color w:val="000000" w:themeColor="text1"/>
            <w:szCs w:val="24"/>
            <w:u w:val="single"/>
          </w:rPr>
          <w:t>Uncertainty Assessment for the Imputation of an Area Survey (zenodo.org)</w:t>
        </w:r>
      </w:hyperlink>
      <w:r w:rsidRPr="00107C19">
        <w:rPr>
          <w:rFonts w:ascii="Calibri" w:eastAsia="Times New Roman" w:hAnsi="Calibri" w:cs="Calibri"/>
          <w:iCs/>
          <w:color w:val="000000" w:themeColor="text1"/>
          <w:szCs w:val="24"/>
        </w:rPr>
        <w:t>.</w:t>
      </w:r>
    </w:p>
    <w:p w14:paraId="5881554E"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Sartore, L., Benecha, H., Bejleri, V., Chen, L. (2022) Uncertainty Assessment of Finite-population Medians Under Complex Capture-Recapture Sampling Designs. 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hyperlink r:id="rId73" w:history="1">
        <w:r w:rsidRPr="00107C19">
          <w:rPr>
            <w:rFonts w:ascii="Calibri" w:eastAsia="Times New Roman" w:hAnsi="Calibri" w:cs="Calibri"/>
            <w:iCs/>
            <w:color w:val="000000" w:themeColor="text1"/>
            <w:szCs w:val="24"/>
            <w:u w:val="single"/>
          </w:rPr>
          <w:t>https://www.nass.usda.gov/Education_and_Outreach/Reports,_Presentations_and_Conferences/reports/conferences/JSM-2022/sartoreetalJSM2022.pdf</w:t>
        </w:r>
      </w:hyperlink>
      <w:r w:rsidRPr="00107C19">
        <w:rPr>
          <w:rFonts w:ascii="Times New Roman" w:eastAsia="Times New Roman" w:hAnsi="Times New Roman"/>
          <w:i/>
          <w:color w:val="000000" w:themeColor="text1"/>
          <w:sz w:val="22"/>
          <w:szCs w:val="24"/>
        </w:rPr>
        <w:t>.</w:t>
      </w:r>
      <w:r w:rsidRPr="00107C19">
        <w:rPr>
          <w:rFonts w:ascii="Calibri" w:eastAsia="Times New Roman" w:hAnsi="Calibri" w:cs="Calibri"/>
          <w:iCs/>
          <w:color w:val="000000" w:themeColor="text1"/>
          <w:szCs w:val="24"/>
        </w:rPr>
        <w:t xml:space="preserve"> </w:t>
      </w:r>
    </w:p>
    <w:p w14:paraId="74B28579"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Sartore, L., Boryan, C., and Chen, L. 2023. Utilizing land cover, satellite and agricultural survey data to produce early season crop acreage estimates. </w:t>
      </w:r>
      <w:r w:rsidRPr="00107C19">
        <w:rPr>
          <w:rFonts w:ascii="Calibri" w:eastAsia="Times New Roman" w:hAnsi="Calibri" w:cs="Calibri"/>
          <w:iCs/>
          <w:color w:val="000000" w:themeColor="text1"/>
          <w:szCs w:val="24"/>
          <w:shd w:val="clear" w:color="auto" w:fill="FFFFFF"/>
        </w:rPr>
        <w:t xml:space="preserve">Proceedings of the </w:t>
      </w:r>
      <w:r w:rsidRPr="00107C19">
        <w:rPr>
          <w:rFonts w:ascii="Calibri" w:eastAsia="Times New Roman" w:hAnsi="Calibri" w:cs="Calibri"/>
          <w:i/>
          <w:iCs/>
          <w:color w:val="000000" w:themeColor="text1"/>
          <w:szCs w:val="24"/>
          <w:shd w:val="clear" w:color="auto" w:fill="FFFFFF"/>
        </w:rPr>
        <w:t>IGARSS 2023 - 2023 IEEE International Geoscience and Remote Sensing Symposium</w:t>
      </w:r>
      <w:r w:rsidRPr="00107C19">
        <w:rPr>
          <w:rFonts w:ascii="Calibri" w:eastAsia="Times New Roman" w:hAnsi="Calibri" w:cs="Calibri"/>
          <w:iCs/>
          <w:color w:val="000000" w:themeColor="text1"/>
          <w:szCs w:val="24"/>
          <w:shd w:val="clear" w:color="auto" w:fill="FFFFFF"/>
        </w:rPr>
        <w:t>, 3434-3437</w:t>
      </w:r>
      <w:r w:rsidRPr="00107C19">
        <w:rPr>
          <w:rFonts w:ascii="Calibri" w:eastAsia="Times New Roman" w:hAnsi="Calibri" w:cs="Calibri"/>
          <w:i/>
          <w:color w:val="000000" w:themeColor="text1"/>
          <w:szCs w:val="24"/>
          <w:shd w:val="clear" w:color="auto" w:fill="FFFFFF"/>
        </w:rPr>
        <w:t xml:space="preserve">. </w:t>
      </w:r>
      <w:r w:rsidRPr="00107C19">
        <w:rPr>
          <w:rFonts w:ascii="Calibri" w:eastAsia="Times New Roman" w:hAnsi="Calibri" w:cs="Calibri"/>
          <w:iCs/>
          <w:color w:val="000000" w:themeColor="text1"/>
          <w:szCs w:val="24"/>
          <w:u w:val="single"/>
          <w:shd w:val="clear" w:color="auto" w:fill="FFFFFF"/>
        </w:rPr>
        <w:t>doi: 10.1109/IGARSS52108.2023.10282795</w:t>
      </w:r>
      <w:r w:rsidRPr="00107C19">
        <w:rPr>
          <w:rFonts w:ascii="Calibri" w:eastAsia="Times New Roman" w:hAnsi="Calibri" w:cs="Calibri"/>
          <w:i/>
          <w:color w:val="000000" w:themeColor="text1"/>
          <w:szCs w:val="24"/>
          <w:shd w:val="clear" w:color="auto" w:fill="FFFFFF"/>
        </w:rPr>
        <w:t>.</w:t>
      </w:r>
      <w:r w:rsidRPr="00107C19">
        <w:rPr>
          <w:rFonts w:ascii="Calibri" w:eastAsia="Times New Roman" w:hAnsi="Calibri" w:cs="Calibri"/>
          <w:iCs/>
          <w:color w:val="000000" w:themeColor="text1"/>
          <w:szCs w:val="24"/>
        </w:rPr>
        <w:t xml:space="preserve"> </w:t>
      </w:r>
    </w:p>
    <w:p w14:paraId="7FB7619F"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Tarter, A.C. and Guindin, N. 2023. Machine learning and climate indicators as an approach to enhanced operational decisions. 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hyperlink r:id="rId74" w:history="1">
        <w:r w:rsidRPr="00107C19">
          <w:rPr>
            <w:rFonts w:ascii="Calibri" w:eastAsia="Times New Roman" w:hAnsi="Calibri" w:cs="Calibri"/>
            <w:iCs/>
            <w:color w:val="000000" w:themeColor="text1"/>
            <w:szCs w:val="24"/>
            <w:u w:val="single"/>
            <w:shd w:val="clear" w:color="auto" w:fill="FFFFFF"/>
          </w:rPr>
          <w:t>https://doi.org/10.5281/zenodo.10001731</w:t>
        </w:r>
      </w:hyperlink>
      <w:r w:rsidRPr="00107C19">
        <w:rPr>
          <w:rFonts w:ascii="Calibri" w:eastAsia="Times New Roman" w:hAnsi="Calibri" w:cs="Calibri"/>
          <w:iCs/>
          <w:color w:val="000000" w:themeColor="text1"/>
          <w:szCs w:val="24"/>
        </w:rPr>
        <w:t>.</w:t>
      </w:r>
    </w:p>
    <w:p w14:paraId="39291BE8" w14:textId="77777777" w:rsidR="006E4997" w:rsidRPr="00107C19" w:rsidRDefault="006E4997" w:rsidP="006E4997">
      <w:pPr>
        <w:numPr>
          <w:ilvl w:val="0"/>
          <w:numId w:val="9"/>
        </w:numPr>
        <w:spacing w:before="60" w:after="60"/>
        <w:rPr>
          <w:rFonts w:ascii="Calibri" w:hAnsi="Calibri" w:cs="Calibri"/>
          <w:color w:val="000000" w:themeColor="text1"/>
          <w:szCs w:val="24"/>
        </w:rPr>
      </w:pPr>
      <w:r w:rsidRPr="00107C19">
        <w:rPr>
          <w:rFonts w:ascii="Calibri" w:eastAsia="Times New Roman" w:hAnsi="Calibri" w:cs="Calibri"/>
          <w:iCs/>
          <w:color w:val="000000" w:themeColor="text1"/>
          <w:szCs w:val="24"/>
        </w:rPr>
        <w:t xml:space="preserve">Yang, Z., Huang, J., and  Zhang, Z. 2023. Toward field-level drought and irrigation monitoring using Machine-Learning-Based High-Resolution Soil Moisture (ML-HRSM) data. </w:t>
      </w:r>
      <w:r w:rsidRPr="00107C19">
        <w:rPr>
          <w:rFonts w:ascii="Calibri" w:eastAsia="Times New Roman" w:hAnsi="Calibri" w:cs="Calibri"/>
          <w:i/>
          <w:color w:val="000000" w:themeColor="text1"/>
          <w:szCs w:val="24"/>
        </w:rPr>
        <w:t>Proceedings of the 2023 IEEE International Geoscience and Remote Sensing Symposium IGARSS</w:t>
      </w:r>
      <w:r w:rsidRPr="00107C19">
        <w:rPr>
          <w:rFonts w:ascii="Calibri" w:eastAsia="Times New Roman" w:hAnsi="Calibri" w:cs="Calibri"/>
          <w:iCs/>
          <w:color w:val="000000" w:themeColor="text1"/>
          <w:szCs w:val="24"/>
        </w:rPr>
        <w:t xml:space="preserve">. </w:t>
      </w:r>
      <w:hyperlink r:id="rId75" w:history="1">
        <w:r w:rsidRPr="00107C19">
          <w:rPr>
            <w:rFonts w:ascii="Calibri" w:eastAsia="Times New Roman" w:hAnsi="Calibri" w:cs="Calibri"/>
            <w:iCs/>
            <w:color w:val="000000" w:themeColor="text1"/>
            <w:szCs w:val="24"/>
            <w:u w:val="single"/>
          </w:rPr>
          <w:t>https://doi.org/10.1109/IGARSS52108.2023.10283282</w:t>
        </w:r>
      </w:hyperlink>
      <w:r w:rsidRPr="00107C19">
        <w:rPr>
          <w:rFonts w:ascii="Calibri" w:hAnsi="Calibri" w:cs="Calibri"/>
          <w:color w:val="000000" w:themeColor="text1"/>
          <w:szCs w:val="24"/>
        </w:rPr>
        <w:t>.</w:t>
      </w:r>
    </w:p>
    <w:p w14:paraId="79205298"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Zhang, C., Marfatia, P., Farhan, H., Di, L., Lin, L., Guo, L., Yu, E.G., Zhao, H., Li, H., Islam, M.D., Atakul, C., Yang, Z. 2023. Enhancing USDA NASS Cropland Data Layer with Segment Anything Model. </w:t>
      </w:r>
      <w:r w:rsidRPr="00107C19">
        <w:rPr>
          <w:rFonts w:ascii="Calibri" w:eastAsia="Times New Roman" w:hAnsi="Calibri" w:cs="Calibri"/>
          <w:i/>
          <w:color w:val="000000" w:themeColor="text1"/>
          <w:szCs w:val="24"/>
        </w:rPr>
        <w:t>Proceedings of the 2023 11</w:t>
      </w:r>
      <w:r w:rsidRPr="00107C19">
        <w:rPr>
          <w:rFonts w:ascii="Calibri" w:eastAsia="Times New Roman" w:hAnsi="Calibri" w:cs="Calibri"/>
          <w:i/>
          <w:color w:val="000000" w:themeColor="text1"/>
          <w:szCs w:val="24"/>
          <w:vertAlign w:val="superscript"/>
        </w:rPr>
        <w:t>th</w:t>
      </w:r>
      <w:r w:rsidRPr="00107C19">
        <w:rPr>
          <w:rFonts w:ascii="Calibri" w:eastAsia="Times New Roman" w:hAnsi="Calibri" w:cs="Calibri"/>
          <w:i/>
          <w:color w:val="000000" w:themeColor="text1"/>
          <w:szCs w:val="24"/>
        </w:rPr>
        <w:t xml:space="preserve"> International Conference on Agro-Geoinformatics</w:t>
      </w:r>
      <w:r w:rsidRPr="00107C19">
        <w:rPr>
          <w:rFonts w:ascii="Calibri" w:eastAsia="Times New Roman" w:hAnsi="Calibri" w:cs="Calibri"/>
          <w:iCs/>
          <w:color w:val="000000" w:themeColor="text1"/>
          <w:szCs w:val="24"/>
        </w:rPr>
        <w:t xml:space="preserve">. </w:t>
      </w:r>
      <w:hyperlink r:id="rId76" w:history="1">
        <w:r w:rsidRPr="00107C19">
          <w:rPr>
            <w:rFonts w:ascii="Calibri" w:eastAsia="Times New Roman" w:hAnsi="Calibri" w:cs="Calibri"/>
            <w:iCs/>
            <w:color w:val="000000" w:themeColor="text1"/>
            <w:szCs w:val="24"/>
            <w:u w:val="single"/>
          </w:rPr>
          <w:t>Enhancing USDA NASS Cropland Data Layer with Segment Anything Model | IEEE Conference Publication | IEEE Xplore</w:t>
        </w:r>
      </w:hyperlink>
      <w:r w:rsidRPr="00107C19">
        <w:rPr>
          <w:rFonts w:ascii="Calibri" w:eastAsia="Times New Roman" w:hAnsi="Calibri" w:cs="Calibri"/>
          <w:iCs/>
          <w:color w:val="000000" w:themeColor="text1"/>
          <w:szCs w:val="24"/>
        </w:rPr>
        <w:t>.</w:t>
      </w:r>
    </w:p>
    <w:p w14:paraId="680D7DB6"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bdr w:val="none" w:sz="0" w:space="0" w:color="auto" w:frame="1"/>
        </w:rPr>
        <w:t>Zhang, R., Chen, L., Cheng, Y., and Jacobsen, M. 2023. Overview of cell suppression methods.</w:t>
      </w:r>
      <w:r w:rsidRPr="00107C19">
        <w:rPr>
          <w:rFonts w:ascii="Calibri" w:eastAsia="Times New Roman" w:hAnsi="Calibri" w:cs="Calibri"/>
          <w:iCs/>
          <w:color w:val="000000" w:themeColor="text1"/>
          <w:szCs w:val="24"/>
        </w:rPr>
        <w:t xml:space="preserve"> In the </w:t>
      </w:r>
      <w:r w:rsidRPr="00107C19">
        <w:rPr>
          <w:rFonts w:ascii="Calibri" w:eastAsia="Times New Roman" w:hAnsi="Calibri" w:cs="Calibri"/>
          <w:i/>
          <w:color w:val="000000" w:themeColor="text1"/>
          <w:szCs w:val="24"/>
        </w:rPr>
        <w:t>Proceedings of the 2023 Joint Statistical Meetings</w:t>
      </w:r>
      <w:r w:rsidRPr="00107C19">
        <w:rPr>
          <w:rFonts w:ascii="Calibri" w:eastAsia="Times New Roman" w:hAnsi="Calibri" w:cs="Calibri"/>
          <w:iCs/>
          <w:color w:val="000000" w:themeColor="text1"/>
          <w:szCs w:val="24"/>
        </w:rPr>
        <w:t xml:space="preserve">. Alexandria, VA: American Statistical Association. </w:t>
      </w:r>
      <w:hyperlink r:id="rId77" w:history="1">
        <w:r w:rsidRPr="00107C19">
          <w:rPr>
            <w:rFonts w:ascii="Calibri" w:eastAsia="Times New Roman" w:hAnsi="Calibri" w:cs="Calibri"/>
            <w:iCs/>
            <w:color w:val="000000" w:themeColor="text1"/>
            <w:szCs w:val="24"/>
            <w:u w:val="single"/>
          </w:rPr>
          <w:t>Overview of Cell Suppression Methods (zenodo.org)</w:t>
        </w:r>
      </w:hyperlink>
      <w:r w:rsidRPr="00107C19">
        <w:rPr>
          <w:rFonts w:ascii="Calibri" w:eastAsia="Times New Roman" w:hAnsi="Calibri" w:cs="Calibri"/>
          <w:iCs/>
          <w:color w:val="000000" w:themeColor="text1"/>
          <w:szCs w:val="24"/>
        </w:rPr>
        <w:t>.</w:t>
      </w:r>
    </w:p>
    <w:p w14:paraId="689CAFEB"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90" w:name="_Toc120873451"/>
      <w:r w:rsidRPr="00107C19">
        <w:rPr>
          <w:rFonts w:ascii="Calibri" w:eastAsia="Times New Roman" w:hAnsi="Calibri" w:cs="Calibri"/>
          <w:bCs/>
          <w:iCs/>
          <w:color w:val="000000" w:themeColor="text1"/>
          <w:kern w:val="32"/>
          <w:sz w:val="28"/>
          <w:szCs w:val="26"/>
        </w:rPr>
        <w:lastRenderedPageBreak/>
        <w:t xml:space="preserve"> </w:t>
      </w:r>
      <w:bookmarkStart w:id="691" w:name="_Toc160186140"/>
      <w:r w:rsidRPr="00107C19">
        <w:rPr>
          <w:rFonts w:ascii="Calibri" w:eastAsia="Times New Roman" w:hAnsi="Calibri" w:cs="Calibri"/>
          <w:bCs/>
          <w:iCs/>
          <w:color w:val="000000" w:themeColor="text1"/>
          <w:kern w:val="32"/>
          <w:sz w:val="28"/>
          <w:szCs w:val="26"/>
        </w:rPr>
        <w:t>Research Reports Published 1 entr</w:t>
      </w:r>
      <w:bookmarkEnd w:id="690"/>
      <w:r w:rsidRPr="00107C19">
        <w:rPr>
          <w:rFonts w:ascii="Calibri" w:eastAsia="Times New Roman" w:hAnsi="Calibri" w:cs="Calibri"/>
          <w:bCs/>
          <w:iCs/>
          <w:color w:val="000000" w:themeColor="text1"/>
          <w:kern w:val="32"/>
          <w:sz w:val="28"/>
          <w:szCs w:val="26"/>
        </w:rPr>
        <w:t>y</w:t>
      </w:r>
      <w:bookmarkEnd w:id="691"/>
      <w:r w:rsidRPr="00107C19">
        <w:rPr>
          <w:rFonts w:ascii="Calibri" w:eastAsia="Times New Roman" w:hAnsi="Calibri" w:cs="Calibri"/>
          <w:bCs/>
          <w:iCs/>
          <w:color w:val="000000" w:themeColor="text1"/>
          <w:kern w:val="32"/>
          <w:sz w:val="28"/>
          <w:szCs w:val="26"/>
        </w:rPr>
        <w:t xml:space="preserve">  </w:t>
      </w:r>
    </w:p>
    <w:p w14:paraId="5E15AD6D"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 xml:space="preserve">Cheng, Yang, Leslie Smith, Jeff Bailey and Linda J Young. 2023. On-Farm Grain Stocks Sample Methodology Review. Research Report RDD-23-01, National Agricultural Statistics Service, USDA. Available at:  </w:t>
      </w:r>
      <w:hyperlink r:id="rId78" w:history="1">
        <w:r w:rsidRPr="00107C19">
          <w:rPr>
            <w:rFonts w:ascii="Calibri" w:eastAsia="Times New Roman" w:hAnsi="Calibri"/>
            <w:iCs/>
            <w:color w:val="000000" w:themeColor="text1"/>
            <w:szCs w:val="24"/>
            <w:u w:val="single"/>
          </w:rPr>
          <w:t>QAS sample methodology review final report.pdf (usda.gov)</w:t>
        </w:r>
      </w:hyperlink>
      <w:r w:rsidRPr="00107C19">
        <w:rPr>
          <w:rFonts w:ascii="Calibri" w:eastAsia="Times New Roman" w:hAnsi="Calibri" w:cs="Calibri"/>
          <w:iCs/>
          <w:color w:val="000000" w:themeColor="text1"/>
          <w:szCs w:val="24"/>
        </w:rPr>
        <w:t>.</w:t>
      </w:r>
    </w:p>
    <w:p w14:paraId="00AB0D63" w14:textId="77777777" w:rsidR="006E4997" w:rsidRPr="00107C19" w:rsidRDefault="006E4997" w:rsidP="006E4997">
      <w:pPr>
        <w:keepNext/>
        <w:numPr>
          <w:ilvl w:val="2"/>
          <w:numId w:val="14"/>
        </w:numPr>
        <w:spacing w:before="240" w:after="240" w:line="264" w:lineRule="auto"/>
        <w:outlineLvl w:val="2"/>
        <w:rPr>
          <w:rFonts w:ascii="Calibri" w:eastAsia="Times New Roman" w:hAnsi="Calibri" w:cs="Calibri"/>
          <w:bCs/>
          <w:iCs/>
          <w:color w:val="000000" w:themeColor="text1"/>
          <w:kern w:val="32"/>
          <w:sz w:val="28"/>
          <w:szCs w:val="26"/>
        </w:rPr>
      </w:pPr>
      <w:bookmarkStart w:id="692" w:name="_Toc120873452"/>
      <w:bookmarkStart w:id="693" w:name="_Toc160186141"/>
      <w:r w:rsidRPr="00107C19">
        <w:rPr>
          <w:rFonts w:ascii="Calibri" w:eastAsia="Times New Roman" w:hAnsi="Calibri" w:cs="Calibri"/>
          <w:bCs/>
          <w:iCs/>
          <w:color w:val="000000" w:themeColor="text1"/>
          <w:kern w:val="32"/>
          <w:sz w:val="28"/>
          <w:szCs w:val="26"/>
        </w:rPr>
        <w:t>Web Apps Developed 4 entries</w:t>
      </w:r>
      <w:bookmarkEnd w:id="692"/>
      <w:bookmarkEnd w:id="693"/>
      <w:r w:rsidRPr="00107C19">
        <w:rPr>
          <w:rFonts w:ascii="Calibri" w:eastAsia="Times New Roman" w:hAnsi="Calibri" w:cs="Calibri"/>
          <w:bCs/>
          <w:iCs/>
          <w:color w:val="000000" w:themeColor="text1"/>
          <w:kern w:val="32"/>
          <w:sz w:val="28"/>
          <w:szCs w:val="26"/>
        </w:rPr>
        <w:t xml:space="preserve">  </w:t>
      </w:r>
    </w:p>
    <w:p w14:paraId="3D2D39D3"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Li, Z. 2023. Drought Monitoring and Assessment System (DMAS) V1.1.USDA National Agricultural Statistics Service, Washington DC.</w:t>
      </w:r>
      <w:r w:rsidRPr="00107C19">
        <w:rPr>
          <w:rFonts w:ascii="Calibri" w:eastAsia="Times New Roman" w:hAnsi="Calibri" w:cs="Calibri"/>
          <w:i/>
          <w:color w:val="000000" w:themeColor="text1"/>
          <w:szCs w:val="24"/>
        </w:rPr>
        <w:t xml:space="preserve"> </w:t>
      </w:r>
      <w:hyperlink r:id="rId79" w:tgtFrame="_blank" w:history="1">
        <w:r w:rsidRPr="00107C19">
          <w:rPr>
            <w:rFonts w:ascii="Calibri" w:eastAsia="Times New Roman" w:hAnsi="Calibri" w:cs="Calibri"/>
            <w:iCs/>
            <w:color w:val="000000" w:themeColor="text1"/>
            <w:szCs w:val="24"/>
            <w:u w:val="single"/>
            <w:shd w:val="clear" w:color="auto" w:fill="FFFFFF"/>
          </w:rPr>
          <w:t>https://zheli.users.earthengine.app/view/crop-drought-assessment</w:t>
        </w:r>
      </w:hyperlink>
      <w:r w:rsidRPr="00107C19">
        <w:rPr>
          <w:rFonts w:ascii="Arial" w:eastAsia="Times New Roman" w:hAnsi="Arial" w:cs="Arial"/>
          <w:iCs/>
          <w:color w:val="000000" w:themeColor="text1"/>
          <w:sz w:val="22"/>
          <w:szCs w:val="24"/>
          <w:shd w:val="clear" w:color="auto" w:fill="FFFFFF"/>
        </w:rPr>
        <w:t>.</w:t>
      </w:r>
      <w:r w:rsidRPr="00107C19">
        <w:rPr>
          <w:rFonts w:ascii="Calibri" w:eastAsia="Times New Roman" w:hAnsi="Calibri" w:cs="Calibri"/>
          <w:iCs/>
          <w:color w:val="000000" w:themeColor="text1"/>
          <w:szCs w:val="24"/>
        </w:rPr>
        <w:t xml:space="preserve"> </w:t>
      </w:r>
    </w:p>
    <w:p w14:paraId="0B10299A" w14:textId="77777777" w:rsidR="006E4997" w:rsidRPr="00107C19" w:rsidRDefault="006E4997" w:rsidP="006E4997">
      <w:pPr>
        <w:numPr>
          <w:ilvl w:val="0"/>
          <w:numId w:val="9"/>
        </w:numPr>
        <w:spacing w:before="60" w:after="60"/>
        <w:rPr>
          <w:rFonts w:ascii="Calibri" w:eastAsia="Times New Roman" w:hAnsi="Calibri" w:cs="Calibri"/>
          <w:iCs/>
          <w:color w:val="000000" w:themeColor="text1"/>
          <w:szCs w:val="24"/>
        </w:rPr>
      </w:pPr>
      <w:r w:rsidRPr="00107C19">
        <w:rPr>
          <w:rFonts w:ascii="Calibri" w:eastAsia="Times New Roman" w:hAnsi="Calibri" w:cs="Calibri"/>
          <w:iCs/>
          <w:color w:val="000000" w:themeColor="text1"/>
          <w:szCs w:val="24"/>
        </w:rPr>
        <w:t>Li, Z. 2023. USDA NASS CDL Pre-Release QA/QC V.1.4. USDA National Agricultural Statistics Service, Washington DC.</w:t>
      </w:r>
      <w:r w:rsidRPr="00107C19">
        <w:rPr>
          <w:rFonts w:ascii="Calibri" w:eastAsia="Times New Roman" w:hAnsi="Calibri" w:cs="Calibri"/>
          <w:i/>
          <w:color w:val="000000" w:themeColor="text1"/>
          <w:szCs w:val="24"/>
        </w:rPr>
        <w:t xml:space="preserve"> </w:t>
      </w:r>
      <w:hyperlink r:id="rId80" w:history="1">
        <w:r w:rsidRPr="00107C19">
          <w:rPr>
            <w:rFonts w:ascii="Calibri" w:eastAsia="Times New Roman" w:hAnsi="Calibri" w:cs="Calibri"/>
            <w:iCs/>
            <w:color w:val="000000" w:themeColor="text1"/>
            <w:szCs w:val="24"/>
            <w:u w:val="single"/>
          </w:rPr>
          <w:t>https://zheli.users.earthengine.app/view/cdl-pre-release-qaqc</w:t>
        </w:r>
      </w:hyperlink>
      <w:r w:rsidRPr="00107C19">
        <w:rPr>
          <w:rFonts w:ascii="Calibri" w:eastAsia="Times New Roman" w:hAnsi="Calibri" w:cs="Calibri"/>
          <w:iCs/>
          <w:color w:val="000000" w:themeColor="text1"/>
          <w:szCs w:val="24"/>
        </w:rPr>
        <w:t>.</w:t>
      </w:r>
    </w:p>
    <w:p w14:paraId="06189EA3" w14:textId="77777777" w:rsidR="006E4997" w:rsidRPr="00107C19" w:rsidRDefault="006E4997" w:rsidP="006E4997">
      <w:pPr>
        <w:numPr>
          <w:ilvl w:val="0"/>
          <w:numId w:val="9"/>
        </w:numPr>
        <w:spacing w:before="60" w:after="60"/>
        <w:rPr>
          <w:rFonts w:ascii="Times New Roman" w:eastAsia="Times New Roman" w:hAnsi="Times New Roman"/>
          <w:i/>
          <w:color w:val="000000" w:themeColor="text1"/>
          <w:sz w:val="22"/>
          <w:szCs w:val="24"/>
          <w:u w:val="single"/>
        </w:rPr>
      </w:pPr>
      <w:r w:rsidRPr="00107C19">
        <w:rPr>
          <w:rFonts w:ascii="Calibri" w:eastAsia="Times New Roman" w:hAnsi="Calibri" w:cs="Calibri"/>
          <w:color w:val="000000" w:themeColor="text1"/>
          <w:szCs w:val="24"/>
        </w:rPr>
        <w:t xml:space="preserve">Li, Z. 2023. Flood Detection and Monitoring System (FMDS) V1.7, USDA National Agricultural Statistics Service, Washington DC. </w:t>
      </w:r>
      <w:hyperlink r:id="rId81" w:history="1">
        <w:r w:rsidRPr="00107C19">
          <w:rPr>
            <w:rFonts w:ascii="Calibri" w:eastAsia="Times New Roman" w:hAnsi="Calibri" w:cs="Calibri"/>
            <w:color w:val="000000" w:themeColor="text1"/>
            <w:szCs w:val="24"/>
            <w:u w:val="single"/>
          </w:rPr>
          <w:t>https://zheli.users.earthengine.app/view/flood-detection-and-monitoring-system-v17-beta</w:t>
        </w:r>
      </w:hyperlink>
      <w:r w:rsidRPr="00107C19">
        <w:rPr>
          <w:rFonts w:ascii="Calibri" w:eastAsia="Times New Roman" w:hAnsi="Calibri"/>
          <w:iCs/>
          <w:color w:val="000000" w:themeColor="text1"/>
          <w:szCs w:val="24"/>
        </w:rPr>
        <w:t>.</w:t>
      </w:r>
    </w:p>
    <w:p w14:paraId="798A94B3" w14:textId="77777777" w:rsidR="006E4997" w:rsidRPr="00107C19" w:rsidRDefault="006E4997" w:rsidP="006E4997">
      <w:pPr>
        <w:numPr>
          <w:ilvl w:val="0"/>
          <w:numId w:val="9"/>
        </w:numPr>
        <w:spacing w:before="60" w:after="60"/>
        <w:rPr>
          <w:rFonts w:ascii="Times New Roman" w:eastAsia="Times New Roman" w:hAnsi="Times New Roman"/>
          <w:i/>
          <w:color w:val="000000" w:themeColor="text1"/>
          <w:sz w:val="22"/>
          <w:szCs w:val="24"/>
          <w:u w:val="single"/>
        </w:rPr>
      </w:pPr>
      <w:r w:rsidRPr="00107C19">
        <w:rPr>
          <w:rFonts w:ascii="Calibri" w:eastAsia="Times New Roman" w:hAnsi="Calibri" w:cs="Calibri"/>
          <w:iCs/>
          <w:color w:val="000000" w:themeColor="text1"/>
          <w:szCs w:val="24"/>
        </w:rPr>
        <w:t xml:space="preserve">Li, Z., 2023, Wildfire Monitoring and Crop Impact Assessment System (WMCIAS) V1.3, USDA National Agricultural Statistics Service, Washington DC. </w:t>
      </w:r>
      <w:hyperlink r:id="rId82" w:history="1">
        <w:r w:rsidRPr="00107C19">
          <w:rPr>
            <w:rFonts w:ascii="Calibri" w:eastAsia="Times New Roman" w:hAnsi="Calibri"/>
            <w:iCs/>
            <w:color w:val="000000" w:themeColor="text1"/>
            <w:szCs w:val="24"/>
            <w:u w:val="single"/>
          </w:rPr>
          <w:t>https://zheli.users.earthengine.app/view/crop-wildfire-assessment</w:t>
        </w:r>
      </w:hyperlink>
      <w:r w:rsidRPr="00107C19">
        <w:rPr>
          <w:rFonts w:ascii="Calibri" w:eastAsia="Times New Roman" w:hAnsi="Calibri"/>
          <w:iCs/>
          <w:color w:val="000000" w:themeColor="text1"/>
          <w:szCs w:val="24"/>
        </w:rPr>
        <w:t>.</w:t>
      </w:r>
    </w:p>
    <w:p w14:paraId="4DA066F6" w14:textId="77777777" w:rsidR="00CF3F74" w:rsidRPr="00107C19" w:rsidRDefault="00CF3F74">
      <w:pPr>
        <w:spacing w:before="0" w:after="200" w:line="276" w:lineRule="auto"/>
        <w:rPr>
          <w:rFonts w:eastAsia="Times New Roman" w:cstheme="minorHAnsi"/>
          <w:iCs/>
          <w:color w:val="000000" w:themeColor="text1"/>
          <w:szCs w:val="24"/>
        </w:rPr>
      </w:pPr>
      <w:r w:rsidRPr="00107C19">
        <w:rPr>
          <w:rFonts w:cstheme="minorHAnsi"/>
          <w:i/>
          <w:iCs/>
          <w:color w:val="000000" w:themeColor="text1"/>
        </w:rPr>
        <w:br w:type="page"/>
      </w:r>
    </w:p>
    <w:p w14:paraId="617B0A5B" w14:textId="1AB5C802" w:rsidR="00CF3F74" w:rsidRPr="00107C19" w:rsidRDefault="00CF3F74" w:rsidP="00F31C85">
      <w:pPr>
        <w:pStyle w:val="Heading1"/>
        <w:rPr>
          <w:rFonts w:asciiTheme="minorHAnsi" w:hAnsiTheme="minorHAnsi" w:cstheme="minorHAnsi"/>
          <w:b/>
          <w:bCs w:val="0"/>
          <w:color w:val="000000" w:themeColor="text1"/>
        </w:rPr>
      </w:pPr>
      <w:bookmarkStart w:id="694" w:name="_Toc160186142"/>
      <w:r w:rsidRPr="00107C19">
        <w:rPr>
          <w:rFonts w:asciiTheme="minorHAnsi" w:hAnsiTheme="minorHAnsi" w:cstheme="minorHAnsi"/>
          <w:b/>
          <w:bCs w:val="0"/>
          <w:color w:val="000000" w:themeColor="text1"/>
        </w:rPr>
        <w:lastRenderedPageBreak/>
        <w:t>National Institute of Food and Agriculture (NIFA)</w:t>
      </w:r>
      <w:bookmarkEnd w:id="694"/>
    </w:p>
    <w:p w14:paraId="475C26D8" w14:textId="77777777" w:rsidR="001168B9" w:rsidRDefault="001168B9" w:rsidP="00F31C85">
      <w:pPr>
        <w:pStyle w:val="Heading1"/>
        <w:rPr>
          <w:b/>
          <w:bCs w:val="0"/>
          <w:color w:val="000000" w:themeColor="text1"/>
        </w:rPr>
      </w:pPr>
      <w:bookmarkStart w:id="695" w:name="_Toc120873474"/>
      <w:bookmarkStart w:id="696" w:name="_Toc160186143"/>
      <w:r w:rsidRPr="00107C19">
        <w:rPr>
          <w:b/>
          <w:bCs w:val="0"/>
          <w:color w:val="000000" w:themeColor="text1"/>
        </w:rPr>
        <w:lastRenderedPageBreak/>
        <w:t>Natural Resources Conservation Service (NRCS)</w:t>
      </w:r>
      <w:bookmarkEnd w:id="695"/>
      <w:bookmarkEnd w:id="696"/>
    </w:p>
    <w:p w14:paraId="587E274D"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697" w:name="_Toc120873475"/>
      <w:bookmarkStart w:id="698" w:name="_Toc158727206"/>
      <w:bookmarkStart w:id="699" w:name="_Toc160186144"/>
      <w:r w:rsidRPr="00330772">
        <w:rPr>
          <w:rFonts w:ascii="Segoe UI Semibold" w:eastAsia="Times New Roman" w:hAnsi="Segoe UI Semibold" w:cs="Arial"/>
          <w:iCs/>
          <w:color w:val="000000"/>
          <w:kern w:val="32"/>
          <w:sz w:val="30"/>
          <w:szCs w:val="28"/>
        </w:rPr>
        <w:t>Mission Statement</w:t>
      </w:r>
      <w:bookmarkEnd w:id="697"/>
      <w:bookmarkEnd w:id="698"/>
      <w:bookmarkEnd w:id="699"/>
    </w:p>
    <w:p w14:paraId="7AB69A0C" w14:textId="77777777" w:rsidR="00330772" w:rsidRPr="00330772" w:rsidRDefault="00330772" w:rsidP="00330772">
      <w:pPr>
        <w:ind w:left="360"/>
        <w:rPr>
          <w:rFonts w:ascii="Calibri" w:eastAsia="Times New Roman" w:hAnsi="Calibri"/>
          <w:b/>
          <w:bCs/>
          <w:szCs w:val="24"/>
        </w:rPr>
      </w:pPr>
      <w:bookmarkStart w:id="700" w:name="_Hlk117591676"/>
      <w:r w:rsidRPr="00330772">
        <w:rPr>
          <w:rFonts w:ascii="Calibri" w:eastAsia="Times New Roman" w:hAnsi="Calibri"/>
          <w:szCs w:val="24"/>
        </w:rPr>
        <w:t xml:space="preserve">The </w:t>
      </w:r>
      <w:hyperlink r:id="rId83" w:history="1">
        <w:r w:rsidRPr="00330772">
          <w:rPr>
            <w:rFonts w:ascii="Calibri" w:eastAsia="Times New Roman" w:hAnsi="Calibri"/>
            <w:color w:val="286D80"/>
            <w:szCs w:val="24"/>
            <w:u w:val="single"/>
          </w:rPr>
          <w:t>Natural Resources Conservation Service</w:t>
        </w:r>
      </w:hyperlink>
      <w:r w:rsidRPr="00330772">
        <w:rPr>
          <w:rFonts w:ascii="Calibri" w:eastAsia="Times New Roman" w:hAnsi="Calibri"/>
          <w:szCs w:val="24"/>
        </w:rPr>
        <w:t xml:space="preserve"> (NRCS) mission is to deliver science-based conservation solutions so agricultural producers can protect natural resources to feed a growing world. NRCS conservation experts help landowners develop conservation plans and often provide opportunities for financial assistance to implement conservation practices. To carry out this mission on a broad scale, NRCS has become the nation’s premier agency for transfer of applied natural resources conservation approaches and technology. NRCS maintains 165 National Conservation Practice Standards. These standards and the supporting documents are NRCS’s primary vehicle for transferring the latest science and technology directly to the nation’s farmers and ranchers to ensure the long-term sustainability of American agriculture.</w:t>
      </w:r>
    </w:p>
    <w:p w14:paraId="4A40BFD6"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01" w:name="_Toc120873476"/>
      <w:bookmarkStart w:id="702" w:name="_Toc158727207"/>
      <w:bookmarkStart w:id="703" w:name="_Toc160186145"/>
      <w:bookmarkEnd w:id="700"/>
      <w:r w:rsidRPr="00330772">
        <w:rPr>
          <w:rFonts w:ascii="Segoe UI Semibold" w:eastAsia="Times New Roman" w:hAnsi="Segoe UI Semibold" w:cs="Arial"/>
          <w:iCs/>
          <w:color w:val="000000"/>
          <w:kern w:val="32"/>
          <w:sz w:val="30"/>
          <w:szCs w:val="28"/>
        </w:rPr>
        <w:t>Nature and Structure of Technology Programs</w:t>
      </w:r>
      <w:bookmarkEnd w:id="701"/>
      <w:bookmarkEnd w:id="702"/>
      <w:bookmarkEnd w:id="703"/>
    </w:p>
    <w:p w14:paraId="310C49C9"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Once NRCS conservation planners identify resource needs on private farms and ranches, the agency works closely with the Agricultural Research Service (ARS) and many universities to develop and fine tune the science and technologies needed to help farmers conserve, protect, and enhance natural resources on their land. NRCS in-house research and technology development programs are managed by the Soil and Plant Science Division and the Plant Materials Centers. NRCS conducts conservation field trials and on-farm trials to improve the delivery of NRCS technology and to introduce promising conservation practices or technologies to areas where they are not yet incorporated as a solution to a local soil, water, or related natural resource problems or conditions. NRCS also assesses the efficacy of its conservation practices and activities and incorporates new methods or technology into its practices. NRCS scientists and specialists across many organizational units are involved in developing or evaluating new technology, adapting technology to a practical format for NRCS activities, and incorporating technology into conservation practices and tools that are used by field staff, conservation partners, and customers to conserve our nation’s natural resources. The following sections provide details on the NRCS divisions and programs that contribute to technology development and transfer efforts.</w:t>
      </w:r>
    </w:p>
    <w:p w14:paraId="3F778414"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04" w:name="_Toc120873477"/>
      <w:bookmarkStart w:id="705" w:name="_Toc158727208"/>
      <w:bookmarkStart w:id="706" w:name="_Toc160186146"/>
      <w:r w:rsidRPr="00330772">
        <w:rPr>
          <w:rFonts w:ascii="Segoe UI Semibold" w:eastAsia="Times New Roman" w:hAnsi="Segoe UI Semibold" w:cs="Arial"/>
          <w:iCs/>
          <w:color w:val="000000"/>
          <w:kern w:val="32"/>
          <w:sz w:val="30"/>
          <w:szCs w:val="28"/>
        </w:rPr>
        <w:t>Soils Research and Technology Transfer</w:t>
      </w:r>
      <w:bookmarkEnd w:id="704"/>
      <w:bookmarkEnd w:id="705"/>
      <w:bookmarkEnd w:id="706"/>
    </w:p>
    <w:p w14:paraId="6712C7DC"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The NRCS Soil and Plant Science Division (SPSD) is authorized by the Secretary of Agriculture to conduct research on the behavior and use of soils for soil classifications and to distribute its findings and related data through the </w:t>
      </w:r>
      <w:hyperlink r:id="rId84" w:history="1">
        <w:r w:rsidRPr="00330772">
          <w:rPr>
            <w:rFonts w:ascii="Calibri" w:eastAsia="Times New Roman" w:hAnsi="Calibri"/>
            <w:color w:val="286D80"/>
            <w:szCs w:val="24"/>
            <w:u w:val="single"/>
          </w:rPr>
          <w:t>Web Soil Survey</w:t>
        </w:r>
      </w:hyperlink>
      <w:r w:rsidRPr="00330772">
        <w:rPr>
          <w:rFonts w:ascii="Calibri" w:eastAsia="Times New Roman" w:hAnsi="Calibri"/>
          <w:szCs w:val="24"/>
        </w:rPr>
        <w:t xml:space="preserve"> and other vehicles of data dissemination. The following subsections provide some current research and technology transfer efforts that are currently underway.</w:t>
      </w:r>
    </w:p>
    <w:p w14:paraId="568A1F88"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07" w:name="_Toc120873478"/>
      <w:bookmarkStart w:id="708" w:name="_Toc158727209"/>
      <w:bookmarkStart w:id="709" w:name="_Toc160186147"/>
      <w:r w:rsidRPr="00330772">
        <w:rPr>
          <w:rFonts w:ascii="Segoe UI Semibold" w:eastAsia="Times New Roman" w:hAnsi="Segoe UI Semibold" w:cs="Calibri"/>
          <w:bCs/>
          <w:iCs/>
          <w:color w:val="000000"/>
          <w:kern w:val="32"/>
          <w:sz w:val="26"/>
          <w:szCs w:val="26"/>
        </w:rPr>
        <w:lastRenderedPageBreak/>
        <w:t>PLANTS Database</w:t>
      </w:r>
      <w:bookmarkEnd w:id="707"/>
      <w:bookmarkEnd w:id="708"/>
      <w:bookmarkEnd w:id="709"/>
    </w:p>
    <w:p w14:paraId="0BE891BB"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Established in 1990, the </w:t>
      </w:r>
      <w:hyperlink r:id="rId85" w:history="1">
        <w:r w:rsidRPr="00330772">
          <w:rPr>
            <w:rFonts w:ascii="Calibri" w:eastAsia="Times New Roman" w:hAnsi="Calibri"/>
            <w:color w:val="286D80"/>
            <w:szCs w:val="24"/>
            <w:u w:val="single"/>
          </w:rPr>
          <w:t>PLANTS</w:t>
        </w:r>
      </w:hyperlink>
      <w:r w:rsidRPr="00330772">
        <w:rPr>
          <w:rFonts w:ascii="Calibri" w:eastAsia="Times New Roman" w:hAnsi="Calibri"/>
          <w:szCs w:val="24"/>
        </w:rPr>
        <w:t xml:space="preserve"> (Plant List of Attributes, Names, Taxonomy, and Symbols) database and website provide an international standard for plant information. The database serves over 2.5 million users who record approximately 4 million sessions per year. PLANTS users include agencies throughout the Federal Government, state and local agencies, private organizations, the public, and global entities. PLANTS provides data on approximately 35,000 plant species occurring in the United States and its territories. The data provided include scientific names, geographic distribution, photographs and illustrations, scientific references, legal status information (endangered and threatened, invasive, noxious, wetland), and other characteristics important for conservation planning. In 2023, additional progress was made towards completing the content manager and a web services application programming interface (API) for the current version of the PLANTS website, which was released in April 2021. Specifically, the accomplishments of 2023 included developing profile pages for families, developing notes fields for all pages, creating a new PLANTS symbol generator, and increasing the speed for loading maps. These ongoing efforts will allow PLANTS data to be rapidly updated, and PLANTS users will be able to easily download large data sets.</w:t>
      </w:r>
    </w:p>
    <w:p w14:paraId="742B66EE"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10" w:name="_Toc120873479"/>
      <w:bookmarkStart w:id="711" w:name="_Toc158727210"/>
      <w:bookmarkStart w:id="712" w:name="_Toc160186148"/>
      <w:r w:rsidRPr="00330772">
        <w:rPr>
          <w:rFonts w:ascii="Segoe UI Semibold" w:eastAsia="Times New Roman" w:hAnsi="Segoe UI Semibold" w:cs="Calibri"/>
          <w:bCs/>
          <w:iCs/>
          <w:color w:val="000000"/>
          <w:kern w:val="32"/>
          <w:sz w:val="26"/>
          <w:szCs w:val="26"/>
        </w:rPr>
        <w:t>Ecological Site Descriptions</w:t>
      </w:r>
      <w:bookmarkEnd w:id="710"/>
      <w:bookmarkEnd w:id="711"/>
      <w:bookmarkEnd w:id="712"/>
    </w:p>
    <w:p w14:paraId="4018BAE9"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Ecological sites (ES) organize our current data on ecosystem change over time so that conservation planners can provide ecosystem-based assistance to customers. Every mapped soil component is correlated to an ES, making ES information easy to access through Web Soil Survey. The soil and site properties of each ES are described in an ecological site description (ESD). Within each ESD is a state-and-transition model (STM), which is particularly helpful to conservation planners. The STM outlines all the different ecological states known to occur on a particular ES class and the changes that occur when an ES transitions from one state to another. STMs help conservation planners identify the resource concerns for the current condition of their site as well as the conservation practices that may help the producer transition the land to a more desirable condition.</w:t>
      </w:r>
    </w:p>
    <w:p w14:paraId="0FC75FA1"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All ESDs are stored and managed in the </w:t>
      </w:r>
      <w:hyperlink r:id="rId86" w:history="1">
        <w:r w:rsidRPr="00330772">
          <w:rPr>
            <w:rFonts w:ascii="Calibri" w:eastAsia="Times New Roman" w:hAnsi="Calibri"/>
            <w:color w:val="286D80"/>
            <w:szCs w:val="24"/>
            <w:u w:val="single"/>
          </w:rPr>
          <w:t>Ecological Dynamics Interpretive Tool</w:t>
        </w:r>
      </w:hyperlink>
      <w:r w:rsidRPr="00330772">
        <w:rPr>
          <w:rFonts w:ascii="Calibri" w:eastAsia="Times New Roman" w:hAnsi="Calibri"/>
          <w:szCs w:val="24"/>
        </w:rPr>
        <w:t xml:space="preserve"> (EDIT). In 2023, NRCS initiated robust efforts to improve delivery of ESD information to conservation planners, including</w:t>
      </w:r>
    </w:p>
    <w:p w14:paraId="6EAC54F0"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 xml:space="preserve">funding a contractor </w:t>
      </w:r>
      <w:r w:rsidRPr="00330772">
        <w:rPr>
          <w:rFonts w:ascii="Calibri" w:hAnsi="Calibri"/>
          <w:color w:val="000000"/>
        </w:rPr>
        <w:t>team</w:t>
      </w:r>
      <w:r w:rsidRPr="00330772">
        <w:rPr>
          <w:rFonts w:ascii="Calibri" w:hAnsi="Calibri"/>
        </w:rPr>
        <w:t xml:space="preserve"> to enhance EDIT capabilities and migrate the tool from servers at New Mexico State University to more secure NRCS servers;</w:t>
      </w:r>
    </w:p>
    <w:p w14:paraId="644376E4"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assembling a working group across deputy areas to mine ESD information from EDIT and input it directly into the Conservation Assessment Ranking Tool (CART) and Conservation Desktop (CD); and</w:t>
      </w:r>
    </w:p>
    <w:p w14:paraId="0B3504D7" w14:textId="77777777" w:rsidR="00330772" w:rsidRPr="00330772" w:rsidRDefault="00330772" w:rsidP="00330772">
      <w:pPr>
        <w:numPr>
          <w:ilvl w:val="0"/>
          <w:numId w:val="11"/>
        </w:numPr>
        <w:rPr>
          <w:rFonts w:ascii="Calibri" w:hAnsi="Calibri"/>
          <w:color w:val="000000"/>
        </w:rPr>
      </w:pPr>
      <w:r w:rsidRPr="00330772">
        <w:rPr>
          <w:rFonts w:ascii="Calibri" w:hAnsi="Calibri"/>
          <w:color w:val="000000"/>
        </w:rPr>
        <w:t>funding two agreements to develop a database infrastructure for grouping similar ES classes in a consistent and meaningful way based on similarity of ecosystem dynamics (these new efforts will lay the groundwork for delivering a group ESD to be used for regional-scale planning, inventory, and assessment).</w:t>
      </w:r>
    </w:p>
    <w:p w14:paraId="0C0750D3" w14:textId="77777777" w:rsidR="00330772" w:rsidRPr="00330772" w:rsidRDefault="00330772" w:rsidP="00330772">
      <w:pPr>
        <w:spacing w:after="60"/>
        <w:ind w:left="360"/>
        <w:contextualSpacing/>
        <w:rPr>
          <w:rFonts w:ascii="Calibri" w:hAnsi="Calibri"/>
          <w:color w:val="000000"/>
        </w:rPr>
      </w:pPr>
      <w:r w:rsidRPr="00330772">
        <w:rPr>
          <w:rFonts w:ascii="Calibri" w:hAnsi="Calibri"/>
          <w:color w:val="000000"/>
        </w:rPr>
        <w:lastRenderedPageBreak/>
        <w:t>The intent of these enhanced technology transfer efforts is to simplify the process so that conservation planners can use the ecosystem data available in ESD products, enabling these planners to provide ecosystem-based assistance to NRCS customers and partners.</w:t>
      </w:r>
    </w:p>
    <w:p w14:paraId="0FB46248"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In 2023, SPSD streamlined its process for internal reviews of information in EDIT to improve standards for quality assurance. The updated process is on pace to publish provisional ESDs for every major soil component in the contiguous United States in 2024, and nationwide by 2026.</w:t>
      </w:r>
    </w:p>
    <w:p w14:paraId="162B1D68"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13" w:name="_Toc158727211"/>
      <w:bookmarkStart w:id="714" w:name="_Toc160186149"/>
      <w:bookmarkStart w:id="715" w:name="_Toc120873480"/>
      <w:r w:rsidRPr="00330772">
        <w:rPr>
          <w:rFonts w:ascii="Segoe UI Semibold" w:eastAsia="Times New Roman" w:hAnsi="Segoe UI Semibold" w:cs="Calibri"/>
          <w:bCs/>
          <w:iCs/>
          <w:color w:val="000000"/>
          <w:kern w:val="32"/>
          <w:sz w:val="26"/>
          <w:szCs w:val="26"/>
        </w:rPr>
        <w:t>Soil Climate Analysis Network and Tribal Soil Climate Analysis Network</w:t>
      </w:r>
      <w:bookmarkEnd w:id="713"/>
      <w:bookmarkEnd w:id="714"/>
      <w:r w:rsidRPr="00330772">
        <w:rPr>
          <w:rFonts w:ascii="Segoe UI Semibold" w:eastAsia="Times New Roman" w:hAnsi="Segoe UI Semibold" w:cs="Calibri"/>
          <w:bCs/>
          <w:iCs/>
          <w:color w:val="000000"/>
          <w:kern w:val="32"/>
          <w:sz w:val="26"/>
          <w:szCs w:val="26"/>
        </w:rPr>
        <w:t xml:space="preserve"> </w:t>
      </w:r>
      <w:bookmarkEnd w:id="715"/>
    </w:p>
    <w:p w14:paraId="0F13C992"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The </w:t>
      </w:r>
      <w:hyperlink r:id="rId87" w:history="1">
        <w:r w:rsidRPr="00330772">
          <w:rPr>
            <w:rFonts w:ascii="Calibri" w:eastAsia="Times New Roman" w:hAnsi="Calibri"/>
            <w:color w:val="286D80"/>
            <w:szCs w:val="24"/>
            <w:u w:val="single"/>
          </w:rPr>
          <w:t>Soil Climate Analysis Network</w:t>
        </w:r>
      </w:hyperlink>
      <w:r w:rsidRPr="00330772">
        <w:rPr>
          <w:rFonts w:ascii="Calibri" w:eastAsia="Times New Roman" w:hAnsi="Calibri"/>
          <w:szCs w:val="24"/>
        </w:rPr>
        <w:t xml:space="preserve"> (SCAN) and Tribal SCAN (TSCAN) programs provide weather and soil climate data from on-farm or farm-adjacent stations to a large array of people interested in weather and soil climate information. The networks consist of 212 SCAN sites and 22 TSCAN sites located in 45 states and territories, including Alaska, Hawaii, Puerto Rico, and the U.S. Virgin Islands. All TSCAN and several SCAN sites are located on tribal lands, providing direct support for these underserved communities. All SCAN and TSCAN sites collect and record atmospheric data (air temperature, relative humidity, precipitation, wind speed and direction, and incoming solar radiation) and in-situ soil data (volumetric water content and temperature) at multiple depths below the soil surface.</w:t>
      </w:r>
    </w:p>
    <w:p w14:paraId="05288EA7"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team that supports SCAN and TSCAN includes staff from both the SPSD and the National Water and Climate Center. In addition to supporting the physical infrastructure and data quality of the SCAN network, this team is working towards a routine maintenance plan that will ensure all sites are visited annually for maintenance and repair. Data are provided hourly (near-real time) in many forms on the web and through multiple web services. Useful information derived from SCAN and TSCAN data is also available through a third-party website that is supported by NRCS. Data from these sites assist with all aspects of farm and ranch management.</w:t>
      </w:r>
    </w:p>
    <w:p w14:paraId="7FF56160"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In addition to NRCS’s employees and customers, SCAN and TSCAN data are used by a wide range of other entities, including the National Aeronautics and Space Administration (NASA), the National Oceanic and Atmospheric Administration, the Bureau of Land Management (BLM), the U.S. Forest Service, university cooperators and researchers, drought professionals, and anyone interested in weather and soil climate conditions. Eventually, periods of recorded data will help to assess and understand changes in short-term and long-term climate trends. The SCAN and TSCAN programs provide critically needed information and work in juxtaposition with the water supply-oriented SNOpack TELemetry (SNOTEL) program and NRCS’s critical on-farm conservation programs to provide employees and customers a comprehensive understanding of conservations conditions and support finding solutions.</w:t>
      </w:r>
    </w:p>
    <w:p w14:paraId="03A58F5F"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In 2023, three new SCAN sites were installed in California: Adobe, Alabama Hills, and Rancheria.</w:t>
      </w:r>
    </w:p>
    <w:p w14:paraId="0179EDC8"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16" w:name="_Toc120873481"/>
      <w:bookmarkStart w:id="717" w:name="_Toc158727212"/>
      <w:bookmarkStart w:id="718" w:name="_Toc160186150"/>
      <w:r w:rsidRPr="00330772">
        <w:rPr>
          <w:rFonts w:ascii="Segoe UI Semibold" w:eastAsia="Times New Roman" w:hAnsi="Segoe UI Semibold" w:cs="Calibri"/>
          <w:bCs/>
          <w:iCs/>
          <w:color w:val="000000"/>
          <w:kern w:val="32"/>
          <w:sz w:val="26"/>
          <w:szCs w:val="26"/>
        </w:rPr>
        <w:t>Soil Survey Program</w:t>
      </w:r>
      <w:bookmarkEnd w:id="716"/>
      <w:bookmarkEnd w:id="717"/>
      <w:bookmarkEnd w:id="718"/>
    </w:p>
    <w:p w14:paraId="3DA3C2F6" w14:textId="77777777" w:rsidR="00330772" w:rsidRPr="00330772" w:rsidRDefault="00B2178E" w:rsidP="00330772">
      <w:pPr>
        <w:ind w:left="360"/>
        <w:rPr>
          <w:rFonts w:ascii="Calibri" w:eastAsia="Times New Roman" w:hAnsi="Calibri"/>
          <w:szCs w:val="24"/>
        </w:rPr>
      </w:pPr>
      <w:hyperlink r:id="rId88" w:history="1">
        <w:r w:rsidR="00330772" w:rsidRPr="00330772">
          <w:rPr>
            <w:rFonts w:ascii="Calibri" w:eastAsia="Times New Roman" w:hAnsi="Calibri"/>
            <w:color w:val="286D80"/>
            <w:szCs w:val="24"/>
            <w:u w:val="single"/>
          </w:rPr>
          <w:t>NRCS’s Soil Survey Program</w:t>
        </w:r>
      </w:hyperlink>
      <w:r w:rsidR="00330772" w:rsidRPr="00330772">
        <w:rPr>
          <w:rFonts w:ascii="Calibri" w:eastAsia="Times New Roman" w:hAnsi="Calibri"/>
          <w:szCs w:val="24"/>
        </w:rPr>
        <w:t xml:space="preserve"> provides the public with information on the properties, capabilities, and conservation treatment needs of their soils by collecting data and creating soil maps and </w:t>
      </w:r>
      <w:r w:rsidR="00330772" w:rsidRPr="00330772">
        <w:rPr>
          <w:rFonts w:ascii="Calibri" w:eastAsia="Times New Roman" w:hAnsi="Calibri"/>
          <w:szCs w:val="24"/>
        </w:rPr>
        <w:lastRenderedPageBreak/>
        <w:t>interpretive analyses. The science-driven products of the program help people to make informed land use and management decisions that consider the various soil characteristics (such as soil carbon) and capabilities to ensure that soil is healthy and productive. In addition, to facilitate informed and prudent use and management of soil resources, the program provides information on soils with tailored interpretations to taxpayers, decision-makers, communities, states, and others. NRCS cooperatively conducts soil surveys with other Federal agencies, land grant universities, state agencies, tribes, and local governments.</w:t>
      </w:r>
    </w:p>
    <w:p w14:paraId="4E7B1EC6"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NRCS’s major Soil Survey Program objectives are to</w:t>
      </w:r>
    </w:p>
    <w:p w14:paraId="64587B34"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inventory and map the soil resources on all land in the United States;</w:t>
      </w:r>
    </w:p>
    <w:p w14:paraId="317B5B99"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ensure that soil surveys are relevant and meet emerging and ever-changing national needs, such as mitigating the impacts of climate change and promoting greater resiliency in working agricultural lands;</w:t>
      </w:r>
    </w:p>
    <w:p w14:paraId="6475D106"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interpret soil data and make the survey information available to the public;</w:t>
      </w:r>
    </w:p>
    <w:p w14:paraId="16E0C838"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lead the science of soil health effort and other related collaborative efforts that advance the science of the soil surveys;</w:t>
      </w:r>
    </w:p>
    <w:p w14:paraId="486DDB8B"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contribute to all aspects USDA soil carbon and soil health monitoring and assessment efforts;</w:t>
      </w:r>
    </w:p>
    <w:p w14:paraId="398C3D1C"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provide technical assistance with using soil survey information to maximize conservation outcomes; and</w:t>
      </w:r>
    </w:p>
    <w:p w14:paraId="54113E4D"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 xml:space="preserve">lead the </w:t>
      </w:r>
      <w:hyperlink r:id="rId89" w:history="1">
        <w:r w:rsidRPr="00330772">
          <w:rPr>
            <w:rFonts w:ascii="Calibri" w:hAnsi="Calibri"/>
            <w:color w:val="286D80"/>
            <w:u w:val="single"/>
          </w:rPr>
          <w:t>National Cooperative Soil Survey Program</w:t>
        </w:r>
      </w:hyperlink>
      <w:r w:rsidRPr="00330772">
        <w:rPr>
          <w:rFonts w:ascii="Calibri" w:hAnsi="Calibri"/>
          <w:color w:val="000000"/>
        </w:rPr>
        <w:t>.</w:t>
      </w:r>
    </w:p>
    <w:p w14:paraId="348FF5BA"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Soil Survey Program information is the foundation of the resource planning that is conducted by land users and policy makers. The program provides vital information needed to support sustainable and productive soils in the United States. Emerging environmental issues (e.g., soil carbon measurement, nutrient management, and soil health initiatives) require that the program collect and interpret new data to best inform decision makers.</w:t>
      </w:r>
    </w:p>
    <w:p w14:paraId="11D2ADAD"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19" w:name="_Toc120873482"/>
      <w:bookmarkStart w:id="720" w:name="_Toc158727213"/>
      <w:bookmarkStart w:id="721" w:name="_Toc160186151"/>
      <w:r w:rsidRPr="00330772">
        <w:rPr>
          <w:rFonts w:ascii="Segoe UI Semibold" w:eastAsia="Times New Roman" w:hAnsi="Segoe UI Semibold" w:cs="Calibri"/>
          <w:bCs/>
          <w:iCs/>
          <w:color w:val="000000"/>
          <w:kern w:val="32"/>
          <w:sz w:val="26"/>
          <w:szCs w:val="26"/>
        </w:rPr>
        <w:t>Soil Business Systems</w:t>
      </w:r>
      <w:bookmarkEnd w:id="719"/>
      <w:bookmarkEnd w:id="720"/>
      <w:bookmarkEnd w:id="721"/>
    </w:p>
    <w:p w14:paraId="5A5D75CD"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Soil Business System (SBS) staff are essential to the mission of the SPSD National Soil Survey Center, with responsibility for supporting both internal and public facing NRCS soil data creation, warehousing, and delivery systems. In addition, SBS has a large subsection of staff dedicated to developing innovative new soil data products and delivery systems, with a major focus on developing new digital soil mapping methods and rasterized products.</w:t>
      </w:r>
    </w:p>
    <w:p w14:paraId="4E7D1CE7"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While innovation is essential, and digital soil mapping is the future, support of the established flagship Soil Data Mart (SDM) structured query language (SQL) server database is the number one priority for the SBS staff. The SDM database contains the official spatial and tabular soils information for all areas of the United States and its island territories. It is accessed over 100 million times a year by both internal NRCS staff and external customers through the Web Soil Survey and Soil Data Access applications. In FY 2023, customers used Web Soil Survey 3.4 million times to access SDM, and they submitted 120 million SQL queries to the SDM through Soil Data Access web services. That is a rate of 2.5 SQL queries submitted per second in FY 2023. The SDM </w:t>
      </w:r>
      <w:r w:rsidRPr="00330772">
        <w:rPr>
          <w:rFonts w:ascii="Calibri" w:eastAsia="Times New Roman" w:hAnsi="Calibri"/>
          <w:szCs w:val="24"/>
        </w:rPr>
        <w:lastRenderedPageBreak/>
        <w:t>database is integrated into the CART and CD applications, with these tools submitting over 5 million queries to SDM in FY 2023.</w:t>
      </w:r>
    </w:p>
    <w:p w14:paraId="30CAA52F"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22" w:name="_Toc120873483"/>
      <w:bookmarkStart w:id="723" w:name="_Toc158727214"/>
      <w:bookmarkStart w:id="724" w:name="_Toc160186152"/>
      <w:r w:rsidRPr="00330772">
        <w:rPr>
          <w:rFonts w:ascii="Segoe UI Semibold" w:eastAsia="Times New Roman" w:hAnsi="Segoe UI Semibold" w:cs="Calibri"/>
          <w:bCs/>
          <w:iCs/>
          <w:color w:val="000000"/>
          <w:kern w:val="32"/>
          <w:sz w:val="26"/>
          <w:szCs w:val="26"/>
        </w:rPr>
        <w:t>Kellogg Soil Survey Laboratory</w:t>
      </w:r>
      <w:bookmarkEnd w:id="722"/>
      <w:bookmarkEnd w:id="723"/>
      <w:bookmarkEnd w:id="724"/>
    </w:p>
    <w:p w14:paraId="692FB8B0"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The National Soil Survey Center houses the Kellogg Soil Survey Laboratory (KSSL), which is the most comprehensive soil laboratory in the world. In 2023, the KSSL conducted analyses and validations on 5,700 soil samples collected from individual soil horizons that represent 600 soil profiles (pedons). The soil samples analyzed in 2023 come from NRCS and other agency customers that include soil survey field offices, state soil scientists, resource soil scientists, university cooperators, nongovernmental organizations, Plant Materials Centers (PMC), the </w:t>
      </w:r>
      <w:hyperlink r:id="rId90" w:history="1">
        <w:r w:rsidRPr="00330772">
          <w:rPr>
            <w:rFonts w:ascii="Calibri" w:eastAsia="Times New Roman" w:hAnsi="Calibri"/>
            <w:color w:val="286D80"/>
            <w:szCs w:val="24"/>
            <w:u w:val="single"/>
          </w:rPr>
          <w:t>Natural Resource Inventory</w:t>
        </w:r>
      </w:hyperlink>
      <w:r w:rsidRPr="00330772">
        <w:rPr>
          <w:rFonts w:ascii="Calibri" w:eastAsia="Times New Roman" w:hAnsi="Calibri"/>
          <w:szCs w:val="24"/>
        </w:rPr>
        <w:t xml:space="preserve"> (NRI) Soil Monitoring Network, the National Ecological Observatory Network, the National Wetland Condition Assessment, and outreach activities such as collegiate soil judging and the United Nations Food and Agriculture Organization. During 2023, the KSSL recorded 97,700 analytical results on chemical, physical, mineralogical, and biological soil properties by more than 50 different analytical methods. This quantitative data is essential for NRCS programs such as Conservation Technical Assistance and Farm Bill programs. National programs and research projects depend on KSSL data for soil classification, soil screening and assessment, soil health, and dynamic soil properties.</w:t>
      </w:r>
    </w:p>
    <w:p w14:paraId="66CD361D"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25" w:name="_Toc120873484"/>
      <w:bookmarkStart w:id="726" w:name="_Toc158727215"/>
      <w:bookmarkStart w:id="727" w:name="_Toc160186153"/>
      <w:r w:rsidRPr="00330772">
        <w:rPr>
          <w:rFonts w:ascii="Segoe UI Semibold" w:eastAsia="Times New Roman" w:hAnsi="Segoe UI Semibold" w:cs="Arial"/>
          <w:iCs/>
          <w:color w:val="000000"/>
          <w:kern w:val="32"/>
          <w:sz w:val="30"/>
          <w:szCs w:val="28"/>
        </w:rPr>
        <w:t>Plant Materials Centers</w:t>
      </w:r>
      <w:bookmarkEnd w:id="725"/>
      <w:bookmarkEnd w:id="726"/>
      <w:bookmarkEnd w:id="727"/>
    </w:p>
    <w:p w14:paraId="69A1F23D"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NRCS Plant Materials Program includes 25 PMCs operated by NRCS that service all 50 states and territories. Under NRCS research authorities, PMCs evaluate plant materials and plant materials technology to solve natural resource problems and improve the use of natural resources. Each PMC addresses high priority conservation concerns within unique ecological areas. When appropriate, PMCs coordinate with locations to evaluate vegetative technology and solutions that influence large regions of the United States. This program has been a function of NRCS since the mid-1930s. PMC activities include</w:t>
      </w:r>
    </w:p>
    <w:p w14:paraId="04D70A18"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developing technology and information to effectively establish, use, and maintain plants for a wide variety of natural resource conservation purposes that improve implementing conservation practices and increase the success of farm bill programs;</w:t>
      </w:r>
    </w:p>
    <w:p w14:paraId="48AAFED4"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evaluating new plant materials and releasing promising materials that will protect and conserve natural resources to the public to commercially produce;</w:t>
      </w:r>
    </w:p>
    <w:p w14:paraId="62FEE920"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testing and demonstrating plant materials for specific conservation practices, applications, and purposes to advance agency initiatives and priorities (e.g., climate adaptation and mitigation, soil health, nutrient management, and wildlife habitat improvement); and</w:t>
      </w:r>
    </w:p>
    <w:p w14:paraId="68424FDB"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providing training and education to NRCS staff, partners, farmers, ranchers, and the public.</w:t>
      </w:r>
    </w:p>
    <w:p w14:paraId="52FE7F97"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28" w:name="_Toc120873485"/>
      <w:bookmarkStart w:id="729" w:name="_Toc158727216"/>
      <w:bookmarkStart w:id="730" w:name="_Toc160186154"/>
      <w:r w:rsidRPr="00330772">
        <w:rPr>
          <w:rFonts w:ascii="Segoe UI Semibold" w:eastAsia="Times New Roman" w:hAnsi="Segoe UI Semibold" w:cs="Calibri"/>
          <w:bCs/>
          <w:iCs/>
          <w:color w:val="000000"/>
          <w:kern w:val="32"/>
          <w:sz w:val="26"/>
          <w:szCs w:val="26"/>
        </w:rPr>
        <w:lastRenderedPageBreak/>
        <w:t>Plant Materials Technology Development and Transfer</w:t>
      </w:r>
      <w:bookmarkEnd w:id="728"/>
      <w:bookmarkEnd w:id="729"/>
      <w:bookmarkEnd w:id="730"/>
    </w:p>
    <w:p w14:paraId="0871A770"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Plant Materials Program develops vegetative solutions to natural resource concerns such as soil stabilization, soil health and productivity, forage production for livestock, water quality, and enhancement of wildlife and pollinator habitat. PMCs provide scientifically sound plant information and tools used by conservation planners and partners.</w:t>
      </w:r>
    </w:p>
    <w:p w14:paraId="0B313687"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Plant Materials Program staff develop technology and methods for both the commercial growers who produce NRCS conservation plants and the landowners, land managers, and conservationists who use NRCS plants in conservation plantings. Technology transfer, a core component of the Plant Materials Program, ensures that NRCS field staff, partners, and other customers have the information they need to establish vegetation for conservation purposes. Plant Materials Program information is integrated into over 30 NRCS conservation practices to support the technical integrity of these practices, thereby directly applying the information to agency conservation activities.</w:t>
      </w:r>
    </w:p>
    <w:p w14:paraId="7A058D6A" w14:textId="77777777" w:rsidR="00330772" w:rsidRPr="00330772" w:rsidRDefault="00330772" w:rsidP="00330772">
      <w:pPr>
        <w:numPr>
          <w:ilvl w:val="0"/>
          <w:numId w:val="11"/>
        </w:numPr>
        <w:spacing w:after="60"/>
        <w:contextualSpacing/>
        <w:rPr>
          <w:rFonts w:ascii="Calibri" w:eastAsia="MS Mincho" w:hAnsi="Calibri" w:cs="Arial"/>
          <w:color w:val="000000"/>
        </w:rPr>
      </w:pPr>
      <w:r w:rsidRPr="00330772">
        <w:rPr>
          <w:rFonts w:ascii="Calibri" w:hAnsi="Calibri"/>
          <w:color w:val="000000"/>
        </w:rPr>
        <w:t xml:space="preserve">PMCs continue to increase their efforts to tailor plant materials information for specific conservation purposes and to support agency initiatives. In 2023, PMCs transferred (1) the results of 7 new study reports, (2) information on how PMC vegetative data was applied in 10 new technical notes or conservation practice implementation requirements, and (3) information on the establishment, use, and management of conservation plants that was communicated in 12 new or revised plant guides. </w:t>
      </w:r>
      <w:r w:rsidRPr="00330772">
        <w:rPr>
          <w:rFonts w:ascii="Calibri" w:hAnsi="Calibri"/>
          <w:lang w:bidi="en-US"/>
        </w:rPr>
        <w:t>The program continues its efforts to provide relevant, high quality vegetative information</w:t>
      </w:r>
      <w:r w:rsidRPr="00330772">
        <w:rPr>
          <w:rFonts w:ascii="Calibri" w:hAnsi="Calibri"/>
          <w:color w:val="000000"/>
          <w:lang w:bidi="en-US"/>
        </w:rPr>
        <w:t xml:space="preserve"> for NRCS conservation planners and customers to assist with implementing conservation practices</w:t>
      </w:r>
      <w:r w:rsidRPr="00330772">
        <w:rPr>
          <w:rFonts w:ascii="Calibri" w:hAnsi="Calibri"/>
          <w:color w:val="000000"/>
        </w:rPr>
        <w:t>.</w:t>
      </w:r>
    </w:p>
    <w:p w14:paraId="420F1A70"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 xml:space="preserve">The </w:t>
      </w:r>
      <w:hyperlink r:id="rId91" w:history="1">
        <w:r w:rsidRPr="00330772">
          <w:rPr>
            <w:rFonts w:ascii="Calibri" w:hAnsi="Calibri"/>
            <w:color w:val="286D80"/>
            <w:u w:val="single"/>
          </w:rPr>
          <w:t>NRCS Plant Materials Program web page</w:t>
        </w:r>
      </w:hyperlink>
      <w:r w:rsidRPr="00330772">
        <w:rPr>
          <w:rFonts w:ascii="Calibri" w:hAnsi="Calibri"/>
          <w:color w:val="000000"/>
        </w:rPr>
        <w:t xml:space="preserve"> consists of over 2,500 technical documents and detailed information on over 440 conservation plants. Plant Materials Program studies resulted in the addition of 107 new technical documents to the web page in 2023. Plant Materials updates (released as GovDelivery email messages to over 100,000 subscribers) continue to disseminate new information monthly.</w:t>
      </w:r>
    </w:p>
    <w:p w14:paraId="58760923"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In 2023, Plant Materials Program staff conducted 63 technical training sessions for 2,582</w:t>
      </w:r>
      <w:r w:rsidRPr="00330772" w:rsidDel="00D53CA6">
        <w:rPr>
          <w:rFonts w:ascii="Calibri" w:hAnsi="Calibri"/>
          <w:color w:val="000000"/>
        </w:rPr>
        <w:t xml:space="preserve"> </w:t>
      </w:r>
      <w:r w:rsidRPr="00330772">
        <w:rPr>
          <w:rFonts w:ascii="Calibri" w:hAnsi="Calibri"/>
          <w:color w:val="000000"/>
        </w:rPr>
        <w:t xml:space="preserve">field staff and conservation partners. Training topics included selecting, planting, and managing cover crops; selecting and establishing conservation plants; plant identification; planning a conservation planting; enhancing wildlife and pollinator habitat; improving the productivity of range and pastureland; </w:t>
      </w:r>
      <w:r w:rsidRPr="00330772">
        <w:rPr>
          <w:rFonts w:ascii="Calibri" w:hAnsi="Calibri"/>
          <w:lang w:bidi="en-US"/>
        </w:rPr>
        <w:t>managing weeds in conservation plantings</w:t>
      </w:r>
      <w:r w:rsidRPr="00330772">
        <w:rPr>
          <w:rFonts w:ascii="Calibri" w:hAnsi="Calibri"/>
          <w:color w:val="000000"/>
        </w:rPr>
        <w:t>; and vegetative covers for preventing erosion. Holding this PMC training in conjunction with conservation planner certification training sessions improves the technical knowledge of the NRCS field staff. PMCs provided field days, tours, and presentations to 6,400 participants, including NRCS employees, Federal and state government employees, farmers, ranchers, and the public. The NRCS Soil Health Division and Plant Materials Program delivered a hugely successful pilot course on “Cover Crops for Soil Health,” which was hosted at the PMC in Elsberry, Missouri.</w:t>
      </w:r>
    </w:p>
    <w:p w14:paraId="4349645F"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PMC plant materials, plant technology, and management practices are key products used by field staff to successfully implement USDA conservation programs such as the Environmental Quality Incentives Program, Conservation Stewardship Program, and Conservation Reserve Program.</w:t>
      </w:r>
    </w:p>
    <w:p w14:paraId="719C767D" w14:textId="77777777" w:rsidR="00330772" w:rsidRPr="00330772" w:rsidRDefault="00330772" w:rsidP="00330772">
      <w:pPr>
        <w:keepNext/>
        <w:spacing w:after="60"/>
        <w:jc w:val="center"/>
        <w:rPr>
          <w:rFonts w:ascii="Calibri" w:hAnsi="Calibri"/>
          <w:color w:val="000000"/>
        </w:rPr>
      </w:pPr>
      <w:r w:rsidRPr="00330772">
        <w:rPr>
          <w:rFonts w:ascii="Calibri" w:hAnsi="Calibri"/>
          <w:noProof/>
        </w:rPr>
        <w:lastRenderedPageBreak/>
        <w:drawing>
          <wp:inline distT="0" distB="0" distL="0" distR="0" wp14:anchorId="50187BA4" wp14:editId="564C1200">
            <wp:extent cx="5919099" cy="4438650"/>
            <wp:effectExtent l="19050" t="19050" r="24765" b="19050"/>
            <wp:docPr id="509077329" name="Picture 509077329" descr="Photograph of students looking at agronomic seed planted into a field of cover crops, with the planter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077329" name="Picture 509077329" descr="Photograph of students looking at agronomic seed planted into a field of cover crops, with the planter in the foregroun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23504" cy="4441953"/>
                    </a:xfrm>
                    <a:prstGeom prst="rect">
                      <a:avLst/>
                    </a:prstGeom>
                    <a:noFill/>
                    <a:ln>
                      <a:solidFill>
                        <a:sysClr val="windowText" lastClr="000000"/>
                      </a:solidFill>
                    </a:ln>
                  </pic:spPr>
                </pic:pic>
              </a:graphicData>
            </a:graphic>
          </wp:inline>
        </w:drawing>
      </w:r>
    </w:p>
    <w:p w14:paraId="1A7A7B6B" w14:textId="77777777" w:rsidR="00330772" w:rsidRPr="00330772" w:rsidRDefault="00330772" w:rsidP="00330772">
      <w:pPr>
        <w:spacing w:before="60" w:after="240"/>
        <w:ind w:left="360" w:right="360"/>
        <w:rPr>
          <w:rFonts w:ascii="Segoe UI Semibold" w:hAnsi="Segoe UI Semibold"/>
          <w:noProof/>
          <w:sz w:val="20"/>
        </w:rPr>
      </w:pPr>
      <w:r w:rsidRPr="00330772">
        <w:rPr>
          <w:rFonts w:ascii="Segoe UI Semibold" w:hAnsi="Segoe UI Semibold"/>
          <w:sz w:val="20"/>
        </w:rPr>
        <w:t>NRCS students at the PMC training on “Cover Crops for Soil Health” in Elsberry, Missouri, observe seeding an agronomic crop into a standing cover crop.</w:t>
      </w:r>
    </w:p>
    <w:p w14:paraId="67DD81D3"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31" w:name="_Toc120873486"/>
      <w:bookmarkStart w:id="732" w:name="_Toc158727217"/>
      <w:bookmarkStart w:id="733" w:name="_Toc160186155"/>
      <w:r w:rsidRPr="00330772">
        <w:rPr>
          <w:rFonts w:ascii="Segoe UI Semibold" w:eastAsia="Times New Roman" w:hAnsi="Segoe UI Semibold" w:cs="Calibri"/>
          <w:bCs/>
          <w:iCs/>
          <w:color w:val="000000"/>
          <w:kern w:val="32"/>
          <w:sz w:val="26"/>
          <w:szCs w:val="26"/>
        </w:rPr>
        <w:t>Conservation Plants</w:t>
      </w:r>
      <w:bookmarkEnd w:id="731"/>
      <w:bookmarkEnd w:id="732"/>
      <w:bookmarkEnd w:id="733"/>
    </w:p>
    <w:p w14:paraId="37CA6035"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PMCs have released 759 conservation plants to the public over their 85-year history. Commercial growers of conservation seeds and plants, many of whom are in rural communities, grow about 565 of these NRCS conservation plant releases and produce enough seeds and plants each year to plant over 2.5 million acres. The seeds and plants have an estimated annual commercial value of $100 million. PMC conservation plants support NRCS conservation activities on private lands as well as the National Seed Strategy (which is a Federal interagency effort to select appropriate plants for restoration and conservation activities).</w:t>
      </w:r>
    </w:p>
    <w:p w14:paraId="69D9A1F3" w14:textId="77777777" w:rsidR="00330772" w:rsidRPr="00330772" w:rsidDel="00206263" w:rsidRDefault="00330772" w:rsidP="00330772">
      <w:pPr>
        <w:ind w:left="360"/>
        <w:rPr>
          <w:rFonts w:ascii="Calibri" w:eastAsia="Times New Roman" w:hAnsi="Calibri"/>
          <w:szCs w:val="24"/>
        </w:rPr>
      </w:pPr>
      <w:r w:rsidRPr="00330772">
        <w:rPr>
          <w:rFonts w:ascii="Calibri" w:eastAsia="Times New Roman" w:hAnsi="Calibri"/>
          <w:szCs w:val="24"/>
        </w:rPr>
        <w:t>PMCs did not release any new conservation plants in 2023, but they are actively working on several new conservation plants that will be released to the public in 2024.</w:t>
      </w:r>
    </w:p>
    <w:p w14:paraId="5D26D92B"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34" w:name="_Toc120873487"/>
      <w:bookmarkStart w:id="735" w:name="_Toc158727218"/>
      <w:bookmarkStart w:id="736" w:name="_Toc160186156"/>
      <w:r w:rsidRPr="00330772">
        <w:rPr>
          <w:rFonts w:ascii="Segoe UI Semibold" w:eastAsia="Times New Roman" w:hAnsi="Segoe UI Semibold" w:cs="Arial"/>
          <w:iCs/>
          <w:color w:val="000000"/>
          <w:kern w:val="32"/>
          <w:sz w:val="30"/>
          <w:szCs w:val="28"/>
        </w:rPr>
        <w:lastRenderedPageBreak/>
        <w:t>Conservation Practice Standards</w:t>
      </w:r>
      <w:bookmarkEnd w:id="734"/>
      <w:bookmarkEnd w:id="735"/>
      <w:bookmarkEnd w:id="736"/>
    </w:p>
    <w:p w14:paraId="3666240F"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Conservation practices are used to improve the condition of soil, water, air, plant, animal, and energy resources, with any adverse effects on humans being factored into every decision. </w:t>
      </w:r>
      <w:hyperlink r:id="rId93" w:history="1">
        <w:r w:rsidRPr="00330772">
          <w:rPr>
            <w:rFonts w:ascii="Calibri" w:eastAsia="Times New Roman" w:hAnsi="Calibri"/>
            <w:szCs w:val="24"/>
          </w:rPr>
          <w:t>NRCS Conservation Practice Standards</w:t>
        </w:r>
      </w:hyperlink>
      <w:r w:rsidRPr="00330772">
        <w:rPr>
          <w:rFonts w:ascii="Calibri" w:eastAsia="Times New Roman" w:hAnsi="Calibri"/>
          <w:szCs w:val="24"/>
        </w:rPr>
        <w:t xml:space="preserve"> (CPS) are developed so that conservation practices are installed according to specified criteria that protect resources, landowners, conservation contractors, soil and water conservation district employees, and NRCS employees.</w:t>
      </w:r>
    </w:p>
    <w:p w14:paraId="07821A56"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CPSs evolve as farming and ranching techniques used throughout the world advance, as well as when research, conservation field trials, and accumulated experience promote changes in technology. CPSs and other related documents are reviewed periodically (every 5 years or sooner, as needed). Reviews ensure that standards (1) provide timely incorporation of new technologies, (2) address or facilitate addressing resource concerns, (3) are consistent in format and content, (4) enhance interagency cooperation, and (5) account for the varied conservation activities expected.</w:t>
      </w:r>
    </w:p>
    <w:p w14:paraId="25390247" w14:textId="77777777" w:rsidR="00330772" w:rsidRPr="00330772" w:rsidRDefault="00330772" w:rsidP="00330772">
      <w:pPr>
        <w:ind w:left="360"/>
        <w:rPr>
          <w:rFonts w:ascii="Calibri" w:eastAsia="Times New Roman" w:hAnsi="Calibri" w:cs="Arial"/>
          <w:kern w:val="32"/>
          <w:sz w:val="32"/>
          <w:szCs w:val="28"/>
        </w:rPr>
      </w:pPr>
      <w:r w:rsidRPr="00330772">
        <w:rPr>
          <w:rFonts w:ascii="Calibri" w:eastAsia="Times New Roman" w:hAnsi="Calibri"/>
          <w:szCs w:val="24"/>
        </w:rPr>
        <w:t>NRCS national discipline leaders initiate the review or development of a CPS and the associated documentation. The standard is reviewed or developed in a multistep process starting with creation of an interdisciplinary review (or development) team to review or develop the CPS. Team members are selected from several geographic areas to ensure that the CPS is compatible across disciplines and its scope is nationwide. Before the standard is released, it is first reviewed and updated internally and then submitted for public review through the Federal Register. In FY 2023 (for the October</w:t>
      </w:r>
      <w:r w:rsidRPr="00330772" w:rsidDel="00724BB6">
        <w:rPr>
          <w:rFonts w:ascii="Calibri" w:eastAsia="Times New Roman" w:hAnsi="Calibri"/>
          <w:szCs w:val="24"/>
        </w:rPr>
        <w:t xml:space="preserve"> </w:t>
      </w:r>
      <w:r w:rsidRPr="00330772">
        <w:rPr>
          <w:rFonts w:ascii="Calibri" w:eastAsia="Times New Roman" w:hAnsi="Calibri"/>
          <w:szCs w:val="24"/>
        </w:rPr>
        <w:t>2023 release), 18 CPSs were revised.</w:t>
      </w:r>
    </w:p>
    <w:p w14:paraId="171917A4"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37" w:name="_Toc120873488"/>
      <w:bookmarkStart w:id="738" w:name="_Toc158727219"/>
      <w:bookmarkStart w:id="739" w:name="_Toc160186157"/>
      <w:r w:rsidRPr="00330772">
        <w:rPr>
          <w:rFonts w:ascii="Segoe UI Semibold" w:eastAsia="Times New Roman" w:hAnsi="Segoe UI Semibold" w:cs="Arial"/>
          <w:iCs/>
          <w:color w:val="000000"/>
          <w:kern w:val="32"/>
          <w:sz w:val="30"/>
          <w:szCs w:val="28"/>
        </w:rPr>
        <w:t>Conservation Engineering</w:t>
      </w:r>
      <w:bookmarkEnd w:id="737"/>
      <w:bookmarkEnd w:id="738"/>
      <w:bookmarkEnd w:id="739"/>
    </w:p>
    <w:p w14:paraId="38ACAABF"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40" w:name="_Toc120873489"/>
      <w:r w:rsidRPr="00330772">
        <w:rPr>
          <w:rFonts w:ascii="Segoe UI Semibold" w:eastAsia="Times New Roman" w:hAnsi="Segoe UI Semibold" w:cs="Calibri"/>
          <w:bCs/>
          <w:iCs/>
          <w:color w:val="000000"/>
          <w:kern w:val="32"/>
          <w:sz w:val="26"/>
          <w:szCs w:val="26"/>
        </w:rPr>
        <w:t xml:space="preserve"> </w:t>
      </w:r>
      <w:bookmarkStart w:id="741" w:name="_Toc158727220"/>
      <w:bookmarkStart w:id="742" w:name="_Toc160186158"/>
      <w:r w:rsidRPr="00330772">
        <w:rPr>
          <w:rFonts w:ascii="Segoe UI Semibold" w:eastAsia="Times New Roman" w:hAnsi="Segoe UI Semibold" w:cs="Calibri"/>
          <w:bCs/>
          <w:iCs/>
          <w:color w:val="000000"/>
          <w:kern w:val="32"/>
          <w:sz w:val="26"/>
          <w:szCs w:val="26"/>
        </w:rPr>
        <w:t>National Engineering Technical Directives</w:t>
      </w:r>
      <w:bookmarkEnd w:id="740"/>
      <w:bookmarkEnd w:id="741"/>
      <w:bookmarkEnd w:id="742"/>
    </w:p>
    <w:p w14:paraId="531F35C1"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Conservation Engineering Division (CED) has over 130 national technical engineering directives posted on NRCS’s Electronic Directives System (</w:t>
      </w:r>
      <w:hyperlink r:id="rId94" w:history="1">
        <w:r w:rsidRPr="00330772">
          <w:rPr>
            <w:rFonts w:ascii="Calibri" w:eastAsia="Times New Roman" w:hAnsi="Calibri"/>
            <w:color w:val="286D80"/>
            <w:szCs w:val="24"/>
            <w:u w:val="single"/>
          </w:rPr>
          <w:t>eDirectives</w:t>
        </w:r>
      </w:hyperlink>
      <w:r w:rsidRPr="00330772">
        <w:rPr>
          <w:rFonts w:ascii="Calibri" w:eastAsia="Times New Roman" w:hAnsi="Calibri"/>
          <w:szCs w:val="24"/>
        </w:rPr>
        <w:t>). These include the National Engineering Handbook (NEH), technical notes (TN), and technical releases (TR). CED continuously updates the NEH series to provide NRCS staff and stakeholders with current approaches and technologies for engineering solutions. In FY 2023, NRCS updated Title 210 of the NEH Part 631 (</w:t>
      </w:r>
      <w:hyperlink r:id="rId95" w:history="1">
        <w:r w:rsidRPr="00330772">
          <w:rPr>
            <w:rFonts w:ascii="Calibri" w:eastAsia="Times New Roman" w:hAnsi="Calibri"/>
            <w:color w:val="286D80"/>
            <w:szCs w:val="24"/>
            <w:u w:val="single"/>
          </w:rPr>
          <w:t>210 H 631</w:t>
        </w:r>
      </w:hyperlink>
      <w:r w:rsidRPr="00330772">
        <w:rPr>
          <w:rFonts w:ascii="Calibri" w:eastAsia="Times New Roman" w:hAnsi="Calibri"/>
          <w:szCs w:val="24"/>
        </w:rPr>
        <w:t>), Chapters 4, 5, 21, 22, 23. In addition, CED updated 210 of the National Engineering Manual Part 512 (</w:t>
      </w:r>
      <w:hyperlink r:id="rId96" w:history="1">
        <w:r w:rsidRPr="00330772">
          <w:rPr>
            <w:rFonts w:ascii="Calibri" w:eastAsia="Times New Roman" w:hAnsi="Calibri"/>
            <w:color w:val="286D80"/>
            <w:szCs w:val="24"/>
            <w:u w:val="single"/>
          </w:rPr>
          <w:t>210 M 512</w:t>
        </w:r>
      </w:hyperlink>
      <w:r w:rsidRPr="00330772">
        <w:rPr>
          <w:rFonts w:ascii="Calibri" w:eastAsia="Times New Roman" w:hAnsi="Calibri"/>
          <w:szCs w:val="24"/>
        </w:rPr>
        <w:t>), Subpart G, with new Occupational Safety and Health Administration guidance on personal protective equipment and job hazard analysis. CED also issued Title 210 National Instruction Part 305 (</w:t>
      </w:r>
      <w:hyperlink r:id="rId97" w:history="1">
        <w:r w:rsidRPr="00330772">
          <w:rPr>
            <w:rFonts w:ascii="Calibri" w:eastAsia="Times New Roman" w:hAnsi="Calibri"/>
            <w:color w:val="286D80"/>
            <w:szCs w:val="24"/>
            <w:u w:val="single"/>
          </w:rPr>
          <w:t>210 NI 305</w:t>
        </w:r>
      </w:hyperlink>
      <w:r w:rsidRPr="00330772">
        <w:rPr>
          <w:rFonts w:ascii="Calibri" w:eastAsia="Times New Roman" w:hAnsi="Calibri"/>
          <w:szCs w:val="24"/>
        </w:rPr>
        <w:t>) on “Interim Guidance Using LiDAR for Planning and Designing Engineering Practices,” which replaced TN 210-SRVN-01. The NEH is the primary reference used by NRCS field staff for planning, designing, and implementing simple to complex engineering conservation practices.</w:t>
      </w:r>
    </w:p>
    <w:p w14:paraId="6F5E1B2E"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43" w:name="_Toc120873490"/>
      <w:r w:rsidRPr="00330772">
        <w:rPr>
          <w:rFonts w:ascii="Segoe UI Semibold" w:eastAsia="Times New Roman" w:hAnsi="Segoe UI Semibold" w:cs="Calibri"/>
          <w:bCs/>
          <w:iCs/>
          <w:color w:val="000000"/>
          <w:kern w:val="32"/>
          <w:sz w:val="26"/>
          <w:szCs w:val="26"/>
        </w:rPr>
        <w:lastRenderedPageBreak/>
        <w:t xml:space="preserve"> </w:t>
      </w:r>
      <w:bookmarkStart w:id="744" w:name="_Toc158727221"/>
      <w:bookmarkStart w:id="745" w:name="_Toc160186159"/>
      <w:r w:rsidRPr="00330772">
        <w:rPr>
          <w:rFonts w:ascii="Segoe UI Semibold" w:eastAsia="Times New Roman" w:hAnsi="Segoe UI Semibold" w:cs="Calibri"/>
          <w:bCs/>
          <w:iCs/>
          <w:color w:val="000000"/>
          <w:kern w:val="32"/>
          <w:sz w:val="26"/>
          <w:szCs w:val="26"/>
        </w:rPr>
        <w:t>Collaboration with the American Society of Civil Engineers</w:t>
      </w:r>
      <w:bookmarkEnd w:id="743"/>
      <w:r w:rsidRPr="00330772">
        <w:rPr>
          <w:rFonts w:ascii="Segoe UI Semibold" w:eastAsia="Times New Roman" w:hAnsi="Segoe UI Semibold" w:cs="Calibri"/>
          <w:bCs/>
          <w:iCs/>
          <w:color w:val="000000"/>
          <w:kern w:val="32"/>
          <w:sz w:val="26"/>
          <w:szCs w:val="26"/>
        </w:rPr>
        <w:t>, the Association of State Dam Safety Officials, and the Agricultural Research Service</w:t>
      </w:r>
      <w:bookmarkEnd w:id="744"/>
      <w:bookmarkEnd w:id="745"/>
    </w:p>
    <w:p w14:paraId="0845AD66"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NRCS collaborates with the American Society of Civil Engineers (ASCE) to provide NRCS engineers, geologists, and landscape architects the training they need to ensure that they have the necessary tools and knowledge to perform their jobs effectively and to maintain their professional licensure. NRCS renewed access to 760 individual training webinars and 30 guided online courses. The ASCE catalog includes over 1,000 individual, group, live, or on-demand webinars and 12 certification courses that are 6-weeks long. This effort enables NRCS engineering staff to provide our stakeholders with high quality engineering solutions based on current approaches and technology. The current contract has been renewed through September 30, 2025. </w:t>
      </w:r>
    </w:p>
    <w:p w14:paraId="7419D4EE"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Between October 1, 2023, and September 30, 2024, NRCS collaborated with the Association of State Dam Safety Officials (ASDSO) to provide 900 views of archived on-demand and live webinars from the ASDSO website. The current agreement will deliver scheduled dam safety training to NRCS personnel and the dam safety community at large. Training on specific dam safety topics is essential for a strong partnership and the safety of personnel. Dam owners and local units of government partner with local NRCS offices to plan, install, operate, and maintain dams, which are critical to the conservation infrastructure. These projects are cooperative undertakings by the Federal Government with states and their local political subdivisions. </w:t>
      </w:r>
    </w:p>
    <w:p w14:paraId="1E0A951D"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NRCS has a 5-year agreement with the Agricultural Research Service office in Stillwater, Oklahoma. Under this agreement ARS scientists at the Hydraulic Engineering Research Unit provide scientific support to the USDA Small Watershed Program by developing standardized designs, engineering tools, and computational software. In addition to updated guidance documents and the development and refinement of engineering tools, ARS will create webinars and workshops for training NRCS personnel using these tools.</w:t>
      </w:r>
    </w:p>
    <w:p w14:paraId="17074DAF"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46" w:name="_Toc120873491"/>
      <w:r w:rsidRPr="00330772">
        <w:rPr>
          <w:rFonts w:ascii="Segoe UI Semibold" w:eastAsia="Times New Roman" w:hAnsi="Segoe UI Semibold" w:cs="Calibri"/>
          <w:bCs/>
          <w:iCs/>
          <w:color w:val="000000"/>
          <w:kern w:val="32"/>
          <w:sz w:val="26"/>
          <w:szCs w:val="26"/>
        </w:rPr>
        <w:t xml:space="preserve"> </w:t>
      </w:r>
      <w:bookmarkStart w:id="747" w:name="_Toc158727222"/>
      <w:bookmarkStart w:id="748" w:name="_Toc160186160"/>
      <w:r w:rsidRPr="00330772">
        <w:rPr>
          <w:rFonts w:ascii="Segoe UI Semibold" w:eastAsia="Times New Roman" w:hAnsi="Segoe UI Semibold" w:cs="Calibri"/>
          <w:bCs/>
          <w:iCs/>
          <w:color w:val="000000"/>
          <w:kern w:val="32"/>
          <w:sz w:val="26"/>
          <w:szCs w:val="26"/>
        </w:rPr>
        <w:t>National Design, Construction, and Soil Mechanics Center–Soil Mechanics Laboratories</w:t>
      </w:r>
      <w:bookmarkEnd w:id="746"/>
      <w:bookmarkEnd w:id="747"/>
      <w:bookmarkEnd w:id="748"/>
    </w:p>
    <w:p w14:paraId="0E3BE561"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Soil Mechanics Laboratories (SML) consists of two laboratories that perform state-of-the-art soil mechanics testing, geotechnical analyses, and design and construction recommendations adapted to the needs of customers to design and implement conservation practices and systems that conserve, improve, and sustain our natural resources and the environment.</w:t>
      </w:r>
    </w:p>
    <w:p w14:paraId="2ADB738F"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The SML provides geotechnical engineering support to all NRCS state and field offices to assist them with effectively administering the </w:t>
      </w:r>
      <w:hyperlink r:id="rId98" w:history="1">
        <w:r w:rsidRPr="00330772">
          <w:rPr>
            <w:rFonts w:ascii="Calibri" w:eastAsia="Times New Roman" w:hAnsi="Calibri"/>
            <w:color w:val="286D80"/>
            <w:szCs w:val="24"/>
            <w:u w:val="single"/>
          </w:rPr>
          <w:t>Emergency Watershed Protection Program</w:t>
        </w:r>
      </w:hyperlink>
      <w:r w:rsidRPr="00330772">
        <w:rPr>
          <w:rFonts w:ascii="Calibri" w:eastAsia="Times New Roman" w:hAnsi="Calibri"/>
          <w:szCs w:val="24"/>
        </w:rPr>
        <w:t xml:space="preserve"> (EWPP), the Watershed Rehabilitation Program, the Watershed Operations Program, and the Environmental Quality Incentives Program (EQIP), as well as with wetland restoration and rehabilitation of aging watershed structures. The following are a few examples of SML support that was provided in 2023.</w:t>
      </w:r>
    </w:p>
    <w:p w14:paraId="3FED0D11"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lastRenderedPageBreak/>
        <w:t xml:space="preserve">performed geotechnical analysis and soil mechanics testing and prepared full reports for the repair and rehabilitation of six dams; </w:t>
      </w:r>
    </w:p>
    <w:p w14:paraId="041B1008" w14:textId="77777777" w:rsidR="00330772" w:rsidRPr="00330772" w:rsidRDefault="00330772" w:rsidP="00695E0D">
      <w:pPr>
        <w:numPr>
          <w:ilvl w:val="0"/>
          <w:numId w:val="29"/>
        </w:numPr>
        <w:spacing w:after="60"/>
        <w:ind w:left="900"/>
        <w:contextualSpacing/>
        <w:rPr>
          <w:rFonts w:ascii="Calibri" w:hAnsi="Calibri"/>
          <w:color w:val="000000"/>
        </w:rPr>
      </w:pPr>
      <w:r w:rsidRPr="00330772">
        <w:rPr>
          <w:rFonts w:ascii="Calibri" w:hAnsi="Calibri"/>
          <w:color w:val="000000"/>
        </w:rPr>
        <w:t>performed geotechnical analysis and soil mechanics testing and prepared full reports to assist with the planning, design, and construction of one new watershed dam;</w:t>
      </w:r>
    </w:p>
    <w:p w14:paraId="1D42C7FE" w14:textId="77777777" w:rsidR="00330772" w:rsidRPr="00330772" w:rsidRDefault="00330772" w:rsidP="00695E0D">
      <w:pPr>
        <w:numPr>
          <w:ilvl w:val="0"/>
          <w:numId w:val="29"/>
        </w:numPr>
        <w:spacing w:after="60"/>
        <w:ind w:left="900"/>
        <w:contextualSpacing/>
        <w:rPr>
          <w:rFonts w:ascii="Calibri" w:hAnsi="Calibri"/>
          <w:color w:val="000000"/>
        </w:rPr>
      </w:pPr>
      <w:r w:rsidRPr="00330772">
        <w:rPr>
          <w:rFonts w:ascii="Calibri" w:hAnsi="Calibri"/>
          <w:color w:val="000000"/>
        </w:rPr>
        <w:t>performed deficiency reports for three dams;</w:t>
      </w:r>
    </w:p>
    <w:p w14:paraId="25FF20E2"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completed 43 EQIP animal waste system reports, 9 irrigation pond reports, 7 streambank stabilization reports, 10 pond grade stabilization reports, and 18 bridge or culvert reports;</w:t>
      </w:r>
    </w:p>
    <w:p w14:paraId="479D4E20"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color w:val="000000"/>
        </w:rPr>
        <w:t>completed designs for one animal waste management system, two streambank stabilizations, one irrigation diversion, one breach analysis, two irrigation pipeline reviews, and two dam rehabilitations; and</w:t>
      </w:r>
    </w:p>
    <w:p w14:paraId="78CAFB29"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completed trainings for new professional engineers, geologists, and landscape architects on concrete fundamentals, streambank, and slope stability.</w:t>
      </w:r>
    </w:p>
    <w:p w14:paraId="1E12566C" w14:textId="77777777" w:rsidR="00330772" w:rsidRPr="00330772" w:rsidRDefault="00330772" w:rsidP="00330772">
      <w:pPr>
        <w:spacing w:before="240" w:after="60"/>
        <w:ind w:hanging="7"/>
        <w:jc w:val="center"/>
        <w:rPr>
          <w:rFonts w:ascii="Calibri" w:hAnsi="Calibri"/>
          <w:color w:val="000000"/>
        </w:rPr>
      </w:pPr>
      <w:r w:rsidRPr="00330772">
        <w:rPr>
          <w:rFonts w:ascii="Calibri" w:hAnsi="Calibri"/>
          <w:noProof/>
          <w:color w:val="000000"/>
        </w:rPr>
        <w:drawing>
          <wp:inline distT="0" distB="0" distL="0" distR="0" wp14:anchorId="3F5B7885" wp14:editId="332B5D16">
            <wp:extent cx="6434713" cy="2162175"/>
            <wp:effectExtent l="0" t="0" r="4445" b="0"/>
            <wp:docPr id="23" name="Picture 23" descr="Photograph of scientists and technicians at the Soil Mechanics Lab are performing analytical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hotograph of scientists and technicians at the Soil Mechanics Lab are performing analytical test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36533" cy="2162787"/>
                    </a:xfrm>
                    <a:prstGeom prst="rect">
                      <a:avLst/>
                    </a:prstGeom>
                    <a:noFill/>
                  </pic:spPr>
                </pic:pic>
              </a:graphicData>
            </a:graphic>
          </wp:inline>
        </w:drawing>
      </w:r>
    </w:p>
    <w:p w14:paraId="408A30E5" w14:textId="77777777" w:rsidR="00330772" w:rsidRPr="00330772" w:rsidRDefault="00330772" w:rsidP="00330772">
      <w:pPr>
        <w:spacing w:after="240"/>
        <w:rPr>
          <w:rFonts w:ascii="Segoe UI Semibold" w:hAnsi="Segoe UI Semibold"/>
          <w:sz w:val="20"/>
        </w:rPr>
      </w:pPr>
      <w:r w:rsidRPr="00330772">
        <w:rPr>
          <w:rFonts w:ascii="Segoe UI Semibold" w:hAnsi="Segoe UI Semibold"/>
          <w:sz w:val="20"/>
        </w:rPr>
        <w:t>A variety of complex geotechnical engineering testing is performed at the Soil Mechanics Laboratory. The lab performs a full range of tests to determine various engineering (not agronomic) properties of soils using highly sophisticated and technologically advanced precision equipment to perform these tests.</w:t>
      </w:r>
    </w:p>
    <w:p w14:paraId="10829BDC"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49" w:name="_Toc120873492"/>
      <w:r w:rsidRPr="00330772">
        <w:rPr>
          <w:rFonts w:ascii="Segoe UI Semibold" w:eastAsia="Times New Roman" w:hAnsi="Segoe UI Semibold" w:cs="Calibri"/>
          <w:bCs/>
          <w:iCs/>
          <w:color w:val="000000"/>
          <w:kern w:val="32"/>
          <w:sz w:val="26"/>
          <w:szCs w:val="26"/>
        </w:rPr>
        <w:t xml:space="preserve"> </w:t>
      </w:r>
      <w:bookmarkStart w:id="750" w:name="_Toc158727223"/>
      <w:bookmarkStart w:id="751" w:name="_Toc160186161"/>
      <w:r w:rsidRPr="00330772">
        <w:rPr>
          <w:rFonts w:ascii="Segoe UI Semibold" w:eastAsia="Times New Roman" w:hAnsi="Segoe UI Semibold" w:cs="Calibri"/>
          <w:bCs/>
          <w:iCs/>
          <w:color w:val="000000"/>
          <w:kern w:val="32"/>
          <w:sz w:val="26"/>
          <w:szCs w:val="26"/>
        </w:rPr>
        <w:t>National Design, Construction, and Soil Mechanics Center – Design and Construction</w:t>
      </w:r>
      <w:bookmarkEnd w:id="749"/>
      <w:bookmarkEnd w:id="750"/>
      <w:bookmarkEnd w:id="751"/>
    </w:p>
    <w:p w14:paraId="7DA1F227" w14:textId="77777777" w:rsidR="00330772" w:rsidRPr="00330772" w:rsidRDefault="00330772" w:rsidP="00330772">
      <w:pPr>
        <w:ind w:left="547"/>
        <w:rPr>
          <w:rFonts w:ascii="Calibri" w:eastAsia="Times New Roman" w:hAnsi="Calibri"/>
          <w:color w:val="000000"/>
          <w:szCs w:val="24"/>
        </w:rPr>
      </w:pPr>
      <w:r w:rsidRPr="00330772">
        <w:rPr>
          <w:rFonts w:ascii="Calibri" w:eastAsia="Times New Roman" w:hAnsi="Calibri"/>
          <w:color w:val="000000"/>
          <w:szCs w:val="24"/>
        </w:rPr>
        <w:t xml:space="preserve">The National Design, Construction, and Soil Mechanics Center (NDCSMC) provides NRCS with interdisciplinary technical </w:t>
      </w:r>
      <w:r w:rsidRPr="00330772">
        <w:rPr>
          <w:rFonts w:ascii="Calibri" w:eastAsia="Times New Roman" w:hAnsi="Calibri"/>
          <w:szCs w:val="24"/>
        </w:rPr>
        <w:t>support for the design, construction, operation, and rehabilitation of complex engineering projects that are essential to resource conservation, environmental enhancement, and agricultural productivity. The center provides support for the EWPP, the Watershed Rehabilitation Program, the Watershed Operation</w:t>
      </w:r>
      <w:r w:rsidRPr="00330772">
        <w:rPr>
          <w:rFonts w:ascii="Calibri" w:eastAsia="Times New Roman" w:hAnsi="Calibri"/>
          <w:color w:val="000000"/>
          <w:szCs w:val="24"/>
        </w:rPr>
        <w:t>s Program, EQIP, and the rehabilitation of aging watershed structures. A few examples of the support provided in 2023 include the following.</w:t>
      </w:r>
    </w:p>
    <w:p w14:paraId="48D3BAF4"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 xml:space="preserve">NDCSMC completed 58 reviews on complex class VII and VIII engineering structures such as dams, wetlands, stream restoration, and large irrigation projects. These reviews included work on nine watershed rehab projects that were complex and required extensive review and </w:t>
      </w:r>
      <w:r w:rsidRPr="00330772">
        <w:rPr>
          <w:rFonts w:ascii="Calibri" w:hAnsi="Calibri"/>
          <w:color w:val="000000"/>
        </w:rPr>
        <w:lastRenderedPageBreak/>
        <w:t>data gathering efforts. An additional 35 projects were submitted for review but are either awaiting responses from the sponsor’s design firms or require reevaluation after NDCSMC’s review.</w:t>
      </w:r>
    </w:p>
    <w:p w14:paraId="7DB7F4FC"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In cooperation with NRCS state and center personnel, NDCSMC delivered a variety of virtual training classes covering topics such as SITES and WinDAM, civil 3D surfaces and gradings, the Hydrologic Engineering Center River Analysis System (HEC-RAS) software for NRCS, stream restoration and stream stabilization, and a slope stability workshop. Many of these classes were formerly taught in person but have been modified for virtual delivery. One of the advantages of remote instruction is being able to include a larger and more diverse training cadre.</w:t>
      </w:r>
    </w:p>
    <w:p w14:paraId="153E594A"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NDCSMC presented virtual talks for the East, Central, and West dam consortiums on topics ranging from internal erosion to sedimentation.</w:t>
      </w:r>
    </w:p>
    <w:p w14:paraId="13F43B89"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NDCSMC provided direct assistance to EWPP actions in New Mexico and Wyoming and provided guidance on the North Dakota Bourbanis Dam repair.</w:t>
      </w:r>
    </w:p>
    <w:p w14:paraId="1B9CAD78"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NDCSMC provided direct assistance to states on various topics, including roller-compacted concrete spillway construction oversite, stilling basin structural design, roofs and covers structural design, chimney filters, gravity pipeline review and design, livestock watering, aquatic organism passage planning, and developing a scope of work for dam rehabilitation. Many of these direct assistance efforts were formally done in person but remote work has required use of virtual tools.</w:t>
      </w:r>
    </w:p>
    <w:p w14:paraId="64B79EFF"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 xml:space="preserve">NDCSMC reviewed or drafted guidance in the engineering handbook for Seismic Evaluation of Earthen Embankments, Geotextile, and Urban Agriculture, and completed Chapter 3 of 210 H 631 (Geology). </w:t>
      </w:r>
    </w:p>
    <w:p w14:paraId="735B84A2"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NDCSMC worked with NRCS state offices to test and provide training on the electronic resistivity imaging system. This system has the potential to provide significant savings for required geologic investigation drilling while improving design quality.</w:t>
      </w:r>
    </w:p>
    <w:p w14:paraId="18FC3F8D"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NDCSMC worked with the U.S. Army Corps of Engineers (USACE) to provide “NRCS dam safety 101,” a training workshop on dam design, safety, and management for Brazilian dam safety authorities.</w:t>
      </w:r>
    </w:p>
    <w:p w14:paraId="201ED213"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NDCSMC represented NRCS on committees that established industry engineering standards, such as the American Society for Testing and Materials (ASTM) International, the American Concrete Institute, the American Water Works Association, and the Association of Agricultural and Biological Engineers.</w:t>
      </w:r>
    </w:p>
    <w:p w14:paraId="596DF22D"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52" w:name="_Toc120873493"/>
      <w:bookmarkStart w:id="753" w:name="_Toc158727224"/>
      <w:bookmarkStart w:id="754" w:name="_Toc160186162"/>
      <w:r w:rsidRPr="00330772">
        <w:rPr>
          <w:rFonts w:ascii="Segoe UI Semibold" w:eastAsia="Times New Roman" w:hAnsi="Segoe UI Semibold" w:cs="Arial"/>
          <w:iCs/>
          <w:color w:val="000000"/>
          <w:kern w:val="32"/>
          <w:sz w:val="30"/>
          <w:szCs w:val="28"/>
        </w:rPr>
        <w:t>National Technology Support Centers</w:t>
      </w:r>
      <w:bookmarkEnd w:id="752"/>
      <w:bookmarkEnd w:id="753"/>
      <w:bookmarkEnd w:id="754"/>
    </w:p>
    <w:p w14:paraId="69F088EE"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NRCS has three national technology support centers (NTSCs) located in Greensboro, North Carolina (East); Fort Worth, Texas (Central); and Portland, Oregon (West). NTSCs have two primary functions:</w:t>
      </w:r>
    </w:p>
    <w:p w14:paraId="4BC1F178"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to collaboratively provide technology transfer, training, and direct assistance to NRCS states and the Pacific Island and Caribbean areas; and</w:t>
      </w:r>
    </w:p>
    <w:p w14:paraId="6A596EB8"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lastRenderedPageBreak/>
        <w:t>to acquire, develop, and support science and technology that efficiently meets the needs of the NRCS conservation delivery system.</w:t>
      </w:r>
    </w:p>
    <w:p w14:paraId="03F978CA"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NTSCs are a critical vehicle for technology transfer from NRCS technical specialists to state and area offices. Every year, states submit over 3,000 requests for training and technical assistance to the NTSCs, requesting guidance on subjects such as agronomy, engineering, fish and wildlife, highly erodible land and wetland conservation compliance, environmental compliance, manure management, grazing management, plant materials, soils, water quality, pollinators, geospatial science, forest ecology and management, carbon cycling, forest carbon management, economics and social sciences, energy, air quality, climate change, urban agriculture, and conservation implementation.</w:t>
      </w:r>
    </w:p>
    <w:p w14:paraId="149B9F19"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In 2023, NTSCs collaborated to deliver over 229 state training opportunities to NRCS staff nationwide to address these technical assistance requests. The total state training offered does not include training provided through the NRCS Science and Technology webinar series.</w:t>
      </w:r>
    </w:p>
    <w:p w14:paraId="31334106"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In addition to providing technical assistance and training, the NTSCs coordinate regional and national consortia or working groups that are discipline-specific and provide opportunities for state technical specialists to learn from regional and national specialists, as well as from each other. These additional opportunities to communicate experiences and findings facilitate technology transfer and information sharing among the states as well as between states, NTSCs, other centers, and national headquarters (NHQ).</w:t>
      </w:r>
    </w:p>
    <w:p w14:paraId="16524CD6"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NTSCs provide critical support to the models and tools used by NRCS for conservation planning. The following are few examples from FY 2023.</w:t>
      </w:r>
    </w:p>
    <w:p w14:paraId="6E5A766C" w14:textId="019E5ADC"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 xml:space="preserve">NTSC technical specialists hosted four workshops on writing conservation practice standards and using the Conservation Practice Documents-Document Management System (CPD-DMS) application to manage state conservation practice standards and associated practice documents. These workshops provided national and state discipline leads and national team leads with the tools to effectively develop conservation practice standards and supporting documents. Technical staff also provided timely guidance and leadership to states using the new conservation practice variance request and interim conservation practice request processes in CPD-DMS. In FY 2023, NTSC trained approximately 200 state-level discipline leads and approximately 22 national-level discipline </w:t>
      </w:r>
      <w:r w:rsidR="00BC061F" w:rsidRPr="00330772">
        <w:rPr>
          <w:rFonts w:ascii="Calibri" w:hAnsi="Calibri"/>
          <w:color w:val="000000"/>
        </w:rPr>
        <w:t>leads,</w:t>
      </w:r>
      <w:r w:rsidRPr="00330772">
        <w:rPr>
          <w:rFonts w:ascii="Calibri" w:hAnsi="Calibri"/>
          <w:color w:val="000000"/>
        </w:rPr>
        <w:t xml:space="preserve"> or team leads in these workshops.</w:t>
      </w:r>
    </w:p>
    <w:p w14:paraId="1F7DEE6B"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NTSC technical specialists hosted the Field Office Technical Guide (FOTG) State Content Manager’s Workshop for state level staff. The workshop provided attendees an overview of the policy that governs how to manage content in the five sections of the FOTG and introduced enhancements made to the application to aide in the management of content.</w:t>
      </w:r>
    </w:p>
    <w:p w14:paraId="3D3048FA"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NTSCs continue to provide leadership in the improvement and testing of, and training on, three web-based applications that make maintaining CPSs and the FOTG more efficient at the national and state levels. Those applications are the CPD-DMS, Conservation Practice Data Entry System (CPDES), and FOTG. The design allows integration of both the FOTG and CPDES with the CPD-DMS to improve the user experience and encourages consistency in document organization. The FOTG revision advances the NRCS mission by improving delivery of high-quality science and technology for private lands conservation.</w:t>
      </w:r>
    </w:p>
    <w:p w14:paraId="006C6AF4"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lastRenderedPageBreak/>
        <w:t xml:space="preserve">NTSCs provided ongoing support to developing Grassland Resource Analysis System and incorporating it into CD so that the tool is available to NRCS conservation planners. </w:t>
      </w:r>
    </w:p>
    <w:p w14:paraId="5A4FB4BB"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 xml:space="preserve">NTSCs assisted NRCS with successfully adopting and deploying the Wind Erosion Prediction System (WEPS) WebStart. This updated version of WEPS streamlines many interfaced functions and introduces updates to the vegetation, operation, and residue database. </w:t>
      </w:r>
    </w:p>
    <w:p w14:paraId="3ED55C93" w14:textId="77777777" w:rsidR="00330772" w:rsidRPr="00330772" w:rsidRDefault="00330772" w:rsidP="00330772">
      <w:pPr>
        <w:numPr>
          <w:ilvl w:val="0"/>
          <w:numId w:val="11"/>
        </w:numPr>
        <w:spacing w:after="60"/>
        <w:contextualSpacing/>
        <w:rPr>
          <w:rFonts w:ascii="Calibri" w:hAnsi="Calibri"/>
          <w:color w:val="000000"/>
        </w:rPr>
      </w:pPr>
      <w:r w:rsidRPr="00330772">
        <w:rPr>
          <w:rFonts w:ascii="Calibri" w:hAnsi="Calibri"/>
          <w:color w:val="000000"/>
        </w:rPr>
        <w:t>NTSCs provided ongoing support to NRCS’s suite of erosion prediction tools. This includes training, maintenance, and development for WEPS WebStart, Revised Universal Soil Loss Equation, Rangeland Hydrology and Erosion Model, and Water Erosion Prediction Project.</w:t>
      </w:r>
    </w:p>
    <w:p w14:paraId="1A4D5543"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bookmarkStart w:id="755" w:name="_Toc120873494"/>
      <w:r w:rsidRPr="00330772">
        <w:rPr>
          <w:rFonts w:ascii="Segoe UI Semibold" w:eastAsia="Times New Roman" w:hAnsi="Segoe UI Semibold" w:cs="Calibri"/>
          <w:bCs/>
          <w:iCs/>
          <w:color w:val="000000"/>
          <w:kern w:val="32"/>
          <w:sz w:val="26"/>
          <w:szCs w:val="26"/>
        </w:rPr>
        <w:t xml:space="preserve"> </w:t>
      </w:r>
      <w:bookmarkStart w:id="756" w:name="_Toc158727225"/>
      <w:bookmarkStart w:id="757" w:name="_Toc160186163"/>
      <w:r w:rsidRPr="00330772">
        <w:rPr>
          <w:rFonts w:ascii="Segoe UI Semibold" w:eastAsia="Times New Roman" w:hAnsi="Segoe UI Semibold" w:cs="Calibri"/>
          <w:bCs/>
          <w:iCs/>
          <w:color w:val="000000"/>
          <w:kern w:val="32"/>
          <w:sz w:val="26"/>
          <w:szCs w:val="26"/>
        </w:rPr>
        <w:t>National Technology Acquisition and Development Team Activities</w:t>
      </w:r>
      <w:bookmarkEnd w:id="755"/>
      <w:bookmarkEnd w:id="756"/>
      <w:bookmarkEnd w:id="757"/>
    </w:p>
    <w:p w14:paraId="23CCA75C"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NRCS’s national technology acquisition and development teams acquire, develop, and integrate science and technology solutions to support the NRCS conservation delivery system.</w:t>
      </w:r>
    </w:p>
    <w:p w14:paraId="7D3D3ADA"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National Water Quality and Quantity Team (NWQQT), under the West NTSC, assists states and NHQ with both water quality and quantity issues. The NWQQT works on both agronomic and engineering solutions and provides training to address water-related natural resource issues. In FY 2023, NWQQT activities, technology, and software included the following.</w:t>
      </w:r>
    </w:p>
    <w:p w14:paraId="3107B382"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 xml:space="preserve">NWQQT continues to support NRCS’s core business tools by reviewing and developing conservation practice narratives and resource assessment protocols related to water quality and quantity for CART and by maintaining the Pesticide Properties and Toxicity Database used in Windows Pesticide Screening Tool (WIN-PST) by NRCS conservation planners and others. NWQQT also assists with </w:t>
      </w:r>
      <w:hyperlink r:id="rId100" w:history="1">
        <w:r w:rsidRPr="00330772">
          <w:rPr>
            <w:rFonts w:ascii="Calibri" w:hAnsi="Calibri"/>
            <w:color w:val="286D80"/>
            <w:u w:val="single"/>
          </w:rPr>
          <w:t>Conservation Effects Assessment Project</w:t>
        </w:r>
      </w:hyperlink>
      <w:r w:rsidRPr="00330772">
        <w:rPr>
          <w:rFonts w:ascii="Calibri" w:hAnsi="Calibri"/>
        </w:rPr>
        <w:t xml:space="preserve"> (CEAP) modeling.</w:t>
      </w:r>
    </w:p>
    <w:p w14:paraId="0F7E54E0"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NWQQT provided technical assistance with updates of NRCS’s precision nutrient management guidance documents.</w:t>
      </w:r>
    </w:p>
    <w:p w14:paraId="7C8AD642"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Since 2013, NRCS has funded over 40 Edge of Field (EoF) monitoring projects across the nation to evaluate the effectiveness of conservation practices in a watershed. These projects yield a large amount of data, which must be collected, evaluated, and analyzed. In FY 2023 NWQQT activities included</w:t>
      </w:r>
    </w:p>
    <w:p w14:paraId="754AADB7"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developing an EoF database that provides a system for monitoring partners to ensure that they submit data and reports efficiently and allows NRCS to analyze results of the many projects efficiently, and</w:t>
      </w:r>
    </w:p>
    <w:p w14:paraId="4CF73C8B"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conducting a comprehensive analysis of historic EoF projects to determine conservation practice benefits as well as how to incorporate EoF results into other NRCS conservation products and efforts.</w:t>
      </w:r>
    </w:p>
    <w:p w14:paraId="43DA6C19"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NWQQT presented new Water Quality Resource Assessment training in Kansas in the summer of 2023 and worked with the University of Wisconsin Cooperative Extension to develop multiple web-based courses focused on improving the ability of NRCS conservation planners to identify, evaluate, and resolve water quality resource concerns.</w:t>
      </w:r>
    </w:p>
    <w:p w14:paraId="2D71DF7D"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 xml:space="preserve">NWQQT supported the development and maintenance of legacy hydrology and hydraulic tools in partnership with the NRCS Information Technology Center in Fort Collins, Colorado, and Kansas State University. This includes WinTR-55, WinPond, and WinTR-20, which are currently used by NRCS staff as well as by partners and other external users. NWQQT </w:t>
      </w:r>
      <w:r w:rsidRPr="00330772">
        <w:rPr>
          <w:rFonts w:ascii="Calibri" w:hAnsi="Calibri"/>
        </w:rPr>
        <w:lastRenderedPageBreak/>
        <w:t>continues to assist with the ongoing development and testing of new hydrology and hydraulic tools for NRCS use, such as the NRCS Engineering Field Tools Suite. NWQQT, in collaboration with other NRCS engineering staff, developed and delivered training for NRCS and partner employees on WinTR-55 and WinTR-20, as well as for USACE’s HEC-RAS program.</w:t>
      </w:r>
    </w:p>
    <w:p w14:paraId="0497812D"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National Animal Manure and Nutrient Management Team (NAMNMT), under the East NTSC, assists states and NHQ with issues related to animal manure and livestock. The team assists with evaluation of innovative technologies, training related to animal manure and livestock, nutrient management, biosecurity, feed management, and review of animal waste system designs. In FY 2023, NAMNMT activities included the following.</w:t>
      </w:r>
    </w:p>
    <w:p w14:paraId="434348C1"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NAMNMT continued to support the development and maintenance of the Geospatial Nutrient Management Tool (GNT) and the legacy Manure Management Planner (MMP) software in partnership with the NRCS Information Technology Center in Fort Collins, Colorado, and Purdue University. MMP software is being updated to a web-based program with Ohio being the test state (a beta version of the software was released in December). The NAMNMT continues to assist with ongoing development and testing of the Animal Waste Management software development within the NRCS Engineering Field Tools Suite. NAMNMT developed and delivered five training opportunities on GNT and MMP for NRCS, technical service providers (TSP), and partner employees.</w:t>
      </w:r>
    </w:p>
    <w:p w14:paraId="074AF0CE"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NAMNMT collaborated with three universities (Auburn, Cornell, and Oregon State) to conduct experiments on the impact of manure applications to nutrient runoff and soil erosion. The experiments are being extended for another 3 years to evaluate the effect of manure applications on greenhouse gas emissions.</w:t>
      </w:r>
    </w:p>
    <w:p w14:paraId="6104B665"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NAMNMT developed and coordinated training on the development of a Comprehensive Nutrient Management Plan (CNMP) for seven states in which participants included NRCS staff, TSPs, NRCS partner agencies, and consultants. The training topic included Federal and state regulatory requirements, planning procedures for an animal feeding operation or confined animal feeding operation, and engineering requirements for manure management practices. Participants learned about nutrient management planning, including nitrogen and phosphorus risk assessment tools and whole farm nutrient balancing. The CNMP training cadre included staff from NAMNMT, NWQQT, and other from the East, West, and Central NTSCs.</w:t>
      </w:r>
    </w:p>
    <w:p w14:paraId="0CD63D4D"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NAMNMT participated in ongoing technology evaluation projects to include MIPMAP; pretreatment technology for anaerobic digestion, the Netafim system; involving treatment of wastewater effluent and subsurface injection; and GSR Solutions technology which is an innovative dairy manure nutrient recovery application for water quality.</w:t>
      </w:r>
    </w:p>
    <w:p w14:paraId="11FA6913"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National Air Quality and Atmospheric Change Team (NAQACT), under the West NTSC, assists states and NHQ with issues related to air quality and atmospheric change. In FY 2023, the team continued assisting several states with their NRCS National Air Quality Initiative (NAQI) efforts under EQIP.</w:t>
      </w:r>
    </w:p>
    <w:p w14:paraId="4E9DB6EC"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 xml:space="preserve">NAQI funds were requested and received by NRCS state offices in Arizona, California, Colorado, Idaho, Maryland, Oklahoma, Texas, and Washington. Idaho received funds for the </w:t>
      </w:r>
      <w:r w:rsidRPr="00330772">
        <w:rPr>
          <w:rFonts w:ascii="Calibri" w:hAnsi="Calibri"/>
        </w:rPr>
        <w:lastRenderedPageBreak/>
        <w:t>first time to address significant air quality and atmospheric change issues related to windblown dust, wildfire prevention, and dairy emissions. In the past, funds have been used to replace high-emitting diesel engines in California, apply poultry litter amendments at poultry farms in Maryland and Delaware, replace smudge pots for frost protection in Oregon, establish buffers in Pennsylvania, reduce ammonia emissions along Colorado’s Front Range, and reduce windblown dust from wind erosion in Texas and Oklahoma.</w:t>
      </w:r>
    </w:p>
    <w:p w14:paraId="137F5E58"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 xml:space="preserve">The NAQACT Led an effort to develop and implement a new practice payment scenario under CPS 372 (Combustion System </w:t>
      </w:r>
      <w:r w:rsidRPr="00330772">
        <w:rPr>
          <w:rFonts w:ascii="Calibri" w:hAnsi="Calibri" w:cs="Calibri"/>
          <w:szCs w:val="24"/>
        </w:rPr>
        <w:t>Improvement) for diesel-to-electric tractor engine replacement and two new conservation practice enhancements for replacing stationary engines with electric motors powered by renewable energy. These new conservation activities provide additional opportunities to deliver climate mitigation benefits.</w:t>
      </w:r>
      <w:r w:rsidRPr="00330772">
        <w:rPr>
          <w:rFonts w:ascii="Calibri" w:hAnsi="Calibri"/>
        </w:rPr>
        <w:t xml:space="preserve"> In addition, the NAQACT supported developing and implementing an agency process for evaluating and documenting the benefits of NRCS conservation activities on climate change mitigation.</w:t>
      </w:r>
    </w:p>
    <w:p w14:paraId="18530AF2"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In partnership with the Conservation Planning and Technical Assistance Division, the NAQACT updated the Air Quality and Atmospheric Change planning proficiency exam. In addition, the NAQACT provided technical assistance, training, and guidance to state air quality specialists and supported the National Animal Husbandry Specialist and NAMNMT’s efforts to implement CPS 592 (Feed Management), including use of feed management for climate change mitigation purposes.</w:t>
      </w:r>
    </w:p>
    <w:p w14:paraId="44D7A980"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In partnership with the Energy and Environmental Markets Team, NAQACT developed and delivered training on the use of CarbOn Management &amp; Emissions Tool (COMET) tools in conservation planning that was incorporated into training on climate smart agriculture and forestry for NRCS staff in Idaho, Oregon, and Utah. Interest in this training was expressed by Colorado, Rhode Island, Connecticut, Arkansas, South Carolina, and Wyoming, and additional training will be scheduled in FY 2024. In addition, this team delivered an overview of climate change mitigation for NRCS staff at four regional townhall meetings and one “above states” townhall meeting. Additional training and presentations delivered by the NAQACT include the following:</w:t>
      </w:r>
    </w:p>
    <w:p w14:paraId="208E6732"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The AgSTAR Program: Practices to Reduce Methane Emissions from Livestock Manure Management,</w:t>
      </w:r>
    </w:p>
    <w:p w14:paraId="1219BEE3"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New State Conservation Engineers Workshop – NRCS Air Quality and Atmospheric Change Overview,</w:t>
      </w:r>
    </w:p>
    <w:p w14:paraId="00BCB627"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Meeting of National University Animal Science Department Heads – USDA</w:t>
      </w:r>
      <w:r w:rsidRPr="00330772">
        <w:rPr>
          <w:rFonts w:ascii="Calibri" w:hAnsi="Calibri"/>
        </w:rPr>
        <w:noBreakHyphen/>
        <w:t>NRCS and Animal Science,</w:t>
      </w:r>
    </w:p>
    <w:p w14:paraId="62A4A5AC"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NRCS National Engineers Meeting – NRCS Air Quality and Atmospheric Change Overview,</w:t>
      </w:r>
    </w:p>
    <w:p w14:paraId="61749778"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American Society of Animal Scientists Annual Meeting – Opportunities for Conservation and Feed Management, and</w:t>
      </w:r>
    </w:p>
    <w:p w14:paraId="50E3AFAF" w14:textId="77777777" w:rsidR="00330772" w:rsidRPr="00330772" w:rsidRDefault="00330772" w:rsidP="00330772">
      <w:pPr>
        <w:numPr>
          <w:ilvl w:val="1"/>
          <w:numId w:val="11"/>
        </w:numPr>
        <w:tabs>
          <w:tab w:val="clear" w:pos="1267"/>
          <w:tab w:val="left" w:pos="1350"/>
        </w:tabs>
        <w:contextualSpacing/>
        <w:rPr>
          <w:rFonts w:ascii="Calibri" w:hAnsi="Calibri"/>
        </w:rPr>
      </w:pPr>
      <w:r w:rsidRPr="00330772">
        <w:rPr>
          <w:rFonts w:ascii="Calibri" w:hAnsi="Calibri"/>
        </w:rPr>
        <w:t>Windbreak Technology Workshop – Design: Air Quality, Noise, Visual, and Organic Buffers.</w:t>
      </w:r>
    </w:p>
    <w:p w14:paraId="49D7A54A"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National Grazing Lands Acquisition and Development Team (NGLADT), under the Central NTSC, assists states and NHQ with issues related to all areas of grazing lands management and conservation. In FY 2023, the NGLADT activities included the following.</w:t>
      </w:r>
    </w:p>
    <w:p w14:paraId="70ECE41E"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lastRenderedPageBreak/>
        <w:t>Training was provided on the new National Range and Pasture Handbook. The handbook is a companion document to the new National Range and Pasture Manual. Chapters provide technical information related to the current extent of grazing land resources, ecological sites, resource concerns and rangeland trends and conditions, rangeland ecohydrology, rangeland soil health, livestock nutrition, wildlife planning considerations, grazing economics, inventory, assessment and monitoring of grazing lands, and pollinator considerations for range and pasturelands.</w:t>
      </w:r>
    </w:p>
    <w:p w14:paraId="4AF843BD"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NGLADT served as subject matter experts, instructors, or technical coordinators for the following courses: Range Ecology I, Rangeland Ecohydrology, Interpreting Indicators of Rangeland Health, Vegetation Monitoring and Data Interpretation, Grazing Land Economics, Range and Pasture Natural Resource Inventory field training, Prescribed Grazing, Working Effectively with Livestock Producers, Plant Herbivore Interactions, and Prescribed Burning.</w:t>
      </w:r>
    </w:p>
    <w:p w14:paraId="314B98C8"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NGLADT provided ongoing model updates to the hydrology and erosion model for the ARS Great Basin Rangelands Research Unit in Reno, Nevada.</w:t>
      </w:r>
    </w:p>
    <w:p w14:paraId="3C30F272"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NGLADT continued to assist the Great Plains Biome Initiative, providing NRI data on shrub encroachment, milkweed distribution, and extent. This data helps states prioritize conservation efforts on rangeland brush management and pollinating insects.</w:t>
      </w:r>
    </w:p>
    <w:p w14:paraId="3CD1C553"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NGLADT organized and delivered six discussions on Ecological Site Practitioners to facilitate communication about ecological site development and promote collaboration between SPSD, Science and Technology, and states.</w:t>
      </w:r>
    </w:p>
    <w:p w14:paraId="568BC6AF"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Reports to eight states on rangeland conditions, resource needs, the current state of conservation applications, rangeland health, production status, and invasive weed status were completed.</w:t>
      </w:r>
    </w:p>
    <w:p w14:paraId="4B5216FE"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Two posters were presented at the Society for Range Management and American Forage and Grass Council on “</w:t>
      </w:r>
      <w:r w:rsidRPr="00330772">
        <w:rPr>
          <w:rFonts w:ascii="Calibri" w:hAnsi="Calibri"/>
          <w:iCs/>
        </w:rPr>
        <w:t xml:space="preserve">The Gradient Analysis and Classification of Tall Forb Communities in the Bridger Teton National Forest,” </w:t>
      </w:r>
      <w:r w:rsidRPr="00330772">
        <w:rPr>
          <w:rFonts w:ascii="Calibri" w:hAnsi="Calibri"/>
        </w:rPr>
        <w:t>which covered the national release of the newly revised National Range and Pasture Handbook.</w:t>
      </w:r>
    </w:p>
    <w:p w14:paraId="2748EBF0"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Technical assistance was provided to approximately 20 states covering topics such as range monitoring and sampling protocols, cool season invasive grasses in the Northern Great Plains, Axis Deer Management, Conservation Stewardship Program enhancement assistance, and many other topics.</w:t>
      </w:r>
    </w:p>
    <w:p w14:paraId="33900B9D" w14:textId="77777777" w:rsidR="00330772" w:rsidRPr="00330772" w:rsidRDefault="00330772" w:rsidP="00330772">
      <w:pPr>
        <w:numPr>
          <w:ilvl w:val="0"/>
          <w:numId w:val="11"/>
        </w:numPr>
        <w:spacing w:after="60"/>
        <w:contextualSpacing/>
        <w:rPr>
          <w:rFonts w:ascii="Calibri" w:hAnsi="Calibri"/>
          <w:iCs/>
        </w:rPr>
      </w:pPr>
      <w:r w:rsidRPr="00330772">
        <w:rPr>
          <w:rFonts w:ascii="Calibri" w:hAnsi="Calibri"/>
        </w:rPr>
        <w:t>F</w:t>
      </w:r>
      <w:r w:rsidRPr="00330772">
        <w:rPr>
          <w:rFonts w:ascii="Calibri" w:hAnsi="Calibri" w:cs="Calibri"/>
          <w:szCs w:val="24"/>
        </w:rPr>
        <w:t xml:space="preserve">our papers were published in FY 2023: </w:t>
      </w:r>
      <w:r w:rsidRPr="00330772">
        <w:rPr>
          <w:rFonts w:ascii="Calibri" w:hAnsi="Calibri" w:cs="Calibri"/>
          <w:iCs/>
          <w:szCs w:val="24"/>
        </w:rPr>
        <w:t>Asclepias Dynamics on U.S. Rangelands: Implications for Conservation of Monarch Butterflies and Other Insects (Ecosphere, 13(1); The Gradient Analysis and Classification of Tall Forb Communities in the Bridger Teton National Forest (Rangeland Ecology and Management, 90:</w:t>
      </w:r>
      <w:r w:rsidRPr="00330772">
        <w:rPr>
          <w:rFonts w:ascii="Calibri" w:hAnsi="Calibri" w:cs="Calibri"/>
          <w:iCs/>
          <w:color w:val="1F1F1F"/>
          <w:szCs w:val="24"/>
        </w:rPr>
        <w:t xml:space="preserve">294-307); </w:t>
      </w:r>
      <w:r w:rsidRPr="00330772">
        <w:rPr>
          <w:rFonts w:ascii="Calibri" w:hAnsi="Calibri" w:cs="Calibri"/>
          <w:iCs/>
          <w:szCs w:val="24"/>
        </w:rPr>
        <w:t>Integrating Concepts of Ecological Sites, State-and-Transition Models, Indicators of Rangeland Health,</w:t>
      </w:r>
      <w:r w:rsidRPr="00330772">
        <w:rPr>
          <w:rFonts w:ascii="Calibri" w:hAnsi="Calibri"/>
          <w:iCs/>
        </w:rPr>
        <w:t xml:space="preserve"> and NRCS Conservation Planning (Rangelands 45(6):121-131); and Ecological Resistance and Resilience in Rangelands (Rangelands 45(5):83-91).</w:t>
      </w:r>
    </w:p>
    <w:p w14:paraId="381A4D11"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58" w:name="_Toc120873495"/>
      <w:bookmarkStart w:id="759" w:name="_Toc158727226"/>
      <w:bookmarkStart w:id="760" w:name="_Toc160186164"/>
      <w:r w:rsidRPr="00330772">
        <w:rPr>
          <w:rFonts w:ascii="Segoe UI Semibold" w:eastAsia="Times New Roman" w:hAnsi="Segoe UI Semibold" w:cs="Arial"/>
          <w:iCs/>
          <w:color w:val="000000"/>
          <w:kern w:val="32"/>
          <w:sz w:val="30"/>
          <w:szCs w:val="28"/>
        </w:rPr>
        <w:lastRenderedPageBreak/>
        <w:t>Science and Technology Training Library</w:t>
      </w:r>
      <w:bookmarkEnd w:id="758"/>
      <w:bookmarkEnd w:id="759"/>
      <w:bookmarkEnd w:id="760"/>
    </w:p>
    <w:p w14:paraId="640B6681" w14:textId="77777777" w:rsidR="00330772" w:rsidRPr="00330772" w:rsidRDefault="00330772" w:rsidP="00330772">
      <w:pPr>
        <w:ind w:left="360"/>
        <w:rPr>
          <w:rFonts w:ascii="Calibri" w:eastAsia="Times New Roman" w:hAnsi="Calibri"/>
          <w:color w:val="000000"/>
          <w:szCs w:val="24"/>
        </w:rPr>
      </w:pPr>
      <w:r w:rsidRPr="00330772">
        <w:rPr>
          <w:rFonts w:ascii="Calibri" w:eastAsia="Times New Roman" w:hAnsi="Calibri"/>
          <w:color w:val="000000"/>
          <w:szCs w:val="24"/>
        </w:rPr>
        <w:t xml:space="preserve">NRCS’s NTSCs and Soil Health Division work with partners (including the U.S. Forest Service, land-grant universities, and the extension service) to make up-to-date training webinars on diverse topics available to conservation planners and natural resource managers. Topics for this training include forestry, climate change, bioenergy, wildlife, soil health, conservation planning, and organic agriculture. The </w:t>
      </w:r>
      <w:hyperlink r:id="rId101" w:history="1">
        <w:r w:rsidRPr="00330772">
          <w:rPr>
            <w:rFonts w:ascii="Calibri" w:eastAsia="Times New Roman" w:hAnsi="Calibri"/>
            <w:color w:val="286D80"/>
            <w:szCs w:val="24"/>
            <w:u w:val="single"/>
          </w:rPr>
          <w:t>Science and Technology Training Library</w:t>
        </w:r>
      </w:hyperlink>
      <w:r w:rsidRPr="00330772">
        <w:rPr>
          <w:rFonts w:ascii="Calibri" w:eastAsia="Times New Roman" w:hAnsi="Calibri"/>
          <w:color w:val="000000"/>
          <w:szCs w:val="24"/>
        </w:rPr>
        <w:t xml:space="preserve"> contains webinars developed by NRCS staff and partners. These webinars may be viewed live (when offered) or on-demand. In FY 2023, the NRCS-sponsored webinars in the Training Library were viewed by over 14,762 individuals, including both NRCS and non-NRCS participants. Webinars were viewed live by 2,269 participants, and 12,493 participants viewed the webinars in the on-demand format. More than 7,794 continuing education units were issued to maintain professional certification for NRCS employees, partners, and other participants. Of these, 984 were certified crop adviser credits and 6,223 were conservation planner credits. A total of 12,082 certificates were earned from the NRCS-sponsored webinars.</w:t>
      </w:r>
    </w:p>
    <w:p w14:paraId="24686132"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61" w:name="_Toc120873496"/>
      <w:bookmarkStart w:id="762" w:name="_Toc158727227"/>
      <w:bookmarkStart w:id="763" w:name="_Toc160186165"/>
      <w:r w:rsidRPr="00330772">
        <w:rPr>
          <w:rFonts w:ascii="Segoe UI Semibold" w:eastAsia="Times New Roman" w:hAnsi="Segoe UI Semibold" w:cs="Arial"/>
          <w:iCs/>
          <w:color w:val="000000"/>
          <w:kern w:val="32"/>
          <w:sz w:val="30"/>
          <w:szCs w:val="28"/>
        </w:rPr>
        <w:t>Soil Health</w:t>
      </w:r>
      <w:bookmarkEnd w:id="761"/>
      <w:bookmarkEnd w:id="762"/>
      <w:bookmarkEnd w:id="763"/>
    </w:p>
    <w:p w14:paraId="53657814" w14:textId="77777777" w:rsidR="00330772" w:rsidRPr="00330772" w:rsidRDefault="00330772" w:rsidP="00330772">
      <w:pPr>
        <w:ind w:left="360"/>
        <w:rPr>
          <w:rFonts w:ascii="Calibri" w:eastAsia="Times New Roman" w:hAnsi="Calibri"/>
          <w:color w:val="000000"/>
          <w:szCs w:val="24"/>
        </w:rPr>
      </w:pPr>
      <w:r w:rsidRPr="00330772">
        <w:rPr>
          <w:rFonts w:ascii="Calibri" w:eastAsia="Times New Roman" w:hAnsi="Calibri"/>
          <w:color w:val="000000"/>
          <w:szCs w:val="24"/>
        </w:rPr>
        <w:t xml:space="preserve">Adoption of soil health practices, especially soil health management systems, benefit agricultural resilience to weather and pest challenges, risk, production economics, yields, crop quality, nutrient cycling, water quality and quantity, and climate change adaptation and mitigation. Soil health is foundational to the agency’s work. Nearly a decade ago NRCS launched its </w:t>
      </w:r>
      <w:r w:rsidRPr="00330772">
        <w:rPr>
          <w:rFonts w:ascii="Calibri" w:eastAsia="Times New Roman" w:hAnsi="Calibri"/>
          <w:szCs w:val="24"/>
        </w:rPr>
        <w:t>soil health initiative</w:t>
      </w:r>
      <w:r w:rsidRPr="00330772">
        <w:rPr>
          <w:rFonts w:ascii="Calibri" w:eastAsia="Times New Roman" w:hAnsi="Calibri"/>
          <w:color w:val="000000"/>
          <w:szCs w:val="24"/>
        </w:rPr>
        <w:t xml:space="preserve"> to refocus agency efforts on improving the physical, chemical, and biological functioning of soil on private lands. Shortly after that, NRCS established the national Soil Health Division (SHD). The SHD provides leadership on soil health training and technical assistance with internal and external customers across the country. NRCS’s soil health activities have expanded significantly at both state and national levels, and interest in soil health has spread rapidly to partners and stakeholder groups, including the corporate agricultural sector and large landowners making decisions on millions of acres of land. In FY 2023, CPS 340 (Cover Crop) ranked among the top EQIP practices for soil health.</w:t>
      </w:r>
    </w:p>
    <w:p w14:paraId="76BC8AF4"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Because states that previously had successful soil health strategies and resources provided by the SHD collaborated with other states, all states are now implementing a soil health strategy. In FY 2023, state leaders who are responsible for soil health attended meetings hosted by the SHD every 2 months to coordinate soil health efforts across the nation. This included an in-person meeting in Bloomington, Minnesota, in September 2023 that provided direct updates to state contacts, previews of upcoming tools from SHD, farm tours, and other related activities.</w:t>
      </w:r>
    </w:p>
    <w:p w14:paraId="3A2B9DDD"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Each year, the SHD performs outreach related to soil health and technology transfer that reaches thousands of people through presentations, workshops, technical assistance, staff and partner trainings, and demonstrations. Thousands of additional participants attend annual soil health events led by the states. In FY 2023, SHD staff provided training on a wide range of soil health assessment and management topics at nearly 150 events, including soil health trainings, </w:t>
      </w:r>
      <w:r w:rsidRPr="00330772">
        <w:rPr>
          <w:rFonts w:ascii="Calibri" w:eastAsia="Times New Roman" w:hAnsi="Calibri"/>
          <w:szCs w:val="24"/>
        </w:rPr>
        <w:lastRenderedPageBreak/>
        <w:t>presentations, and demonstrations to agency staff or mixed stakeholder and grower audiences. The SHD conducted 51 soil health training courses to over 1,000 agency employees and partners.</w:t>
      </w:r>
    </w:p>
    <w:p w14:paraId="3653FE6D"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To further expand the virtual reach of national conversation and training on soil health across the NRCS stakeholder and customer base, the SHD also hosted several partner-sponsored training events on Biochar and the Biochar Atlas to support CPS 336 (Soil Carbon Amendments). The SHD hosted three webinars on urban soil health for conservation planning and management and piloted a training in three states on soil health for cover crops. NRCS’s “Science of Soil Health” videos (available on YouTube) have been viewed over 750,000 times.</w:t>
      </w:r>
    </w:p>
    <w:p w14:paraId="4F547EF4"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SHD Indigenous Practices Team provided training and soil health demonstrations to nine tribal governments and tribal members. In conjunction with several state conservationists and specialists, SHD developed Interim Conservation Practice Standard (ICPS) 825 (Planting for Soil Microbiology Management). Team members joined the Regional Conservationist Tribal Advisory Councils in the West, Central, and East to gather feedback on incorporating traditional ecological knowledge in NRCS business streams, and the team provided technical support during the session. The Team also developed a soil health curriculum agenda and soil health demonstrations that can be used for tribal demonstrations and outreach as well as shared with states.</w:t>
      </w:r>
    </w:p>
    <w:p w14:paraId="77972AEF"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Several national bulletins, technical notes, and other technical materials were updated, including the following.</w:t>
      </w:r>
    </w:p>
    <w:p w14:paraId="7D56F9EC"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Soil Health Management Plan Conservation Planning Activity (CPA 116) and Soil Health Management Design and Implementation Activity (DIA 162) were updated to provide improved technical and financial assistance for soil health management planning through current program delivery processes.</w:t>
      </w:r>
    </w:p>
    <w:p w14:paraId="0CBED08B"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Soil Health Testing Conservation Evaluation and Monitoring Activity (CEMA 216) was updated to improve technical and financial assistance for soil health testing and to fulfill the agency Conservation Activity Plan transition.</w:t>
      </w:r>
    </w:p>
    <w:p w14:paraId="0F531713"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The “ABCs of Soil Health” fact sheet series walks readers through some of the amazing facts about soil’s role in supporting life on this planet and what we can do to make sure that soil is healthy.</w:t>
      </w:r>
    </w:p>
    <w:p w14:paraId="01A8FEAF"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The Slug Damage and Management fact sheet provides an overview of slug biology and slug damage within agricultural settings, as well as provides guidance on slug control and mitigation.</w:t>
      </w:r>
    </w:p>
    <w:p w14:paraId="4B3F3DB0"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Technical Note 470-01, “Choosing a Laboratory for Soil Health Testing,” was released.</w:t>
      </w:r>
    </w:p>
    <w:p w14:paraId="542E7908"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National Bulletin 360-23-8, announcing the release of four Train the Trainer courses on Soil Health and Sustainability for Field Staff. The training events resulted in 223 new certified instructors throughout 50 states.</w:t>
      </w:r>
    </w:p>
    <w:p w14:paraId="15E60306" w14:textId="77777777" w:rsidR="00330772" w:rsidRPr="00330772" w:rsidRDefault="00330772" w:rsidP="00330772">
      <w:pPr>
        <w:numPr>
          <w:ilvl w:val="0"/>
          <w:numId w:val="11"/>
        </w:numPr>
        <w:spacing w:after="60"/>
        <w:contextualSpacing/>
        <w:rPr>
          <w:rFonts w:ascii="Calibri" w:hAnsi="Calibri"/>
        </w:rPr>
      </w:pPr>
      <w:r w:rsidRPr="00330772">
        <w:rPr>
          <w:rFonts w:ascii="Calibri" w:hAnsi="Calibri"/>
        </w:rPr>
        <w:t xml:space="preserve">The four cover crop councils (Midwest, Northeast, South, and West) provide structure for compiling practical science from across the cover-cropping community and transferring it to farmers, ranchers, and other landowners across organizational boundaries. The Northeast Cover Crop Council developed the species selection tool, and it is available to the other three cover crop councils for adoption. The cover crop tools to assist field staff and producers with cover crop management decisions are a collaborative effort between NRCS, ARS, land-grant </w:t>
      </w:r>
      <w:r w:rsidRPr="00330772">
        <w:rPr>
          <w:rFonts w:ascii="Calibri" w:hAnsi="Calibri"/>
        </w:rPr>
        <w:lastRenderedPageBreak/>
        <w:t>universities, and the cover crop councils and their members. The SHD staff have been working with all councils to verify and deploy new decision support tools.</w:t>
      </w:r>
    </w:p>
    <w:p w14:paraId="340EABDC" w14:textId="77777777" w:rsidR="00330772" w:rsidRPr="00330772" w:rsidRDefault="00330772" w:rsidP="00330772">
      <w:pPr>
        <w:numPr>
          <w:ilvl w:val="0"/>
          <w:numId w:val="11"/>
        </w:numPr>
        <w:spacing w:after="60"/>
        <w:contextualSpacing/>
        <w:rPr>
          <w:rFonts w:ascii="Calibri" w:hAnsi="Calibri" w:cs="Calibri"/>
          <w:color w:val="000000"/>
          <w:szCs w:val="24"/>
        </w:rPr>
      </w:pPr>
      <w:r w:rsidRPr="00330772">
        <w:rPr>
          <w:rFonts w:ascii="Calibri" w:hAnsi="Calibri" w:cs="Calibri"/>
          <w:color w:val="000000"/>
          <w:szCs w:val="24"/>
        </w:rPr>
        <w:t xml:space="preserve">The SHD has been partnering with internal and external partners to explore the science and socioeconomics of soil health, including how soil health is considered, planned, designed, implemented, monitored, and other related activities. Among these partners is the ARS, which has been working to deliver regionally adapted tools for assessing laboratory indicators of soil health and for recommending biochar amendment types and rates. Additional agreements with partners such as the Soil Health Institute, American Farmland Trust, and the University of Maine are delivering new economic and social data regarding soil health management and adoption in the form of interviews, case studies, training modules, economic calculators, surveys, etc. These tools will work in tandem with the data </w:t>
      </w:r>
      <w:r w:rsidRPr="00330772">
        <w:rPr>
          <w:rFonts w:ascii="Calibri" w:hAnsi="Calibri"/>
        </w:rPr>
        <w:t>being</w:t>
      </w:r>
      <w:r w:rsidRPr="00330772">
        <w:rPr>
          <w:rFonts w:ascii="Calibri" w:hAnsi="Calibri" w:cs="Calibri"/>
          <w:color w:val="000000"/>
          <w:szCs w:val="24"/>
        </w:rPr>
        <w:t xml:space="preserve"> transferred from the </w:t>
      </w:r>
      <w:hyperlink r:id="rId102" w:history="1">
        <w:r w:rsidRPr="00330772">
          <w:rPr>
            <w:rFonts w:ascii="Calibri" w:hAnsi="Calibri" w:cs="Calibri"/>
            <w:color w:val="286D80"/>
            <w:szCs w:val="24"/>
            <w:u w:val="single"/>
          </w:rPr>
          <w:t>Conservation Innovation Grants</w:t>
        </w:r>
      </w:hyperlink>
      <w:r w:rsidRPr="00330772">
        <w:rPr>
          <w:rFonts w:ascii="Calibri" w:hAnsi="Calibri" w:cs="Calibri"/>
          <w:color w:val="000000"/>
          <w:szCs w:val="24"/>
        </w:rPr>
        <w:t xml:space="preserve"> (CIG) Soil Health Demonstration Trials (SHDT) program into the Producer Operations Data System.</w:t>
      </w:r>
    </w:p>
    <w:p w14:paraId="31E3F6FB"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The fifth cohort of the SHDT was reviewed based on agency technical priorities related to soil health implementation. This subset of CIGs will produce a national outcomes dataset that includes soil health status and management decisions, as well as economic, environmental, and social outcomes. Five additional Soil Health Demonstration Trial projects were funded in FY 2023. These cooperative grants to organizations leading the trials across numerous states and U.S. territories total over $8 million. The trials will develop a better understanding of and guidance for key implementation gaps, including increasing the resilience of dryland cropping systems, addressing barriers to the adoption of soil health practices by small-scale historically underserved producers, grazing innovations, water quality and quantity, and adoption of measures to further soil health management systems.</w:t>
      </w:r>
    </w:p>
    <w:p w14:paraId="1186CFC8" w14:textId="77777777" w:rsidR="00330772" w:rsidRPr="00330772" w:rsidRDefault="00330772" w:rsidP="00330772">
      <w:pPr>
        <w:keepNext/>
        <w:numPr>
          <w:ilvl w:val="2"/>
          <w:numId w:val="14"/>
        </w:numPr>
        <w:spacing w:before="240" w:after="240" w:line="264" w:lineRule="auto"/>
        <w:ind w:left="1440"/>
        <w:outlineLvl w:val="2"/>
        <w:rPr>
          <w:rFonts w:ascii="Segoe UI Semibold" w:eastAsia="Times New Roman" w:hAnsi="Segoe UI Semibold" w:cs="Calibri"/>
          <w:bCs/>
          <w:iCs/>
          <w:color w:val="000000"/>
          <w:kern w:val="32"/>
          <w:sz w:val="26"/>
          <w:szCs w:val="26"/>
        </w:rPr>
      </w:pPr>
      <w:r w:rsidRPr="00330772">
        <w:rPr>
          <w:rFonts w:ascii="Times New Roman" w:eastAsia="Times New Roman" w:hAnsi="Times New Roman"/>
          <w:color w:val="000000"/>
          <w:kern w:val="32"/>
          <w:sz w:val="14"/>
          <w:szCs w:val="14"/>
        </w:rPr>
        <w:t xml:space="preserve"> </w:t>
      </w:r>
      <w:bookmarkStart w:id="764" w:name="_Toc158727228"/>
      <w:bookmarkStart w:id="765" w:name="_Toc160186166"/>
      <w:r w:rsidRPr="00330772">
        <w:rPr>
          <w:rFonts w:ascii="Segoe UI Semibold" w:hAnsi="Segoe UI Semibold" w:cs="Calibri"/>
          <w:bCs/>
          <w:iCs/>
          <w:color w:val="000000"/>
          <w:kern w:val="32"/>
          <w:sz w:val="26"/>
          <w:szCs w:val="26"/>
        </w:rPr>
        <w:t>Soil Health Highlight Story</w:t>
      </w:r>
      <w:bookmarkEnd w:id="764"/>
      <w:bookmarkEnd w:id="765"/>
    </w:p>
    <w:p w14:paraId="7BDDE1E7" w14:textId="77777777" w:rsidR="00330772" w:rsidRPr="00330772" w:rsidRDefault="00330772" w:rsidP="00330772">
      <w:pPr>
        <w:ind w:left="360"/>
        <w:rPr>
          <w:rFonts w:ascii="Calibri" w:eastAsia="Segoe UI" w:hAnsi="Calibri"/>
          <w:szCs w:val="24"/>
        </w:rPr>
      </w:pPr>
      <w:r w:rsidRPr="00330772">
        <w:rPr>
          <w:rFonts w:ascii="Calibri" w:eastAsia="Segoe UI" w:hAnsi="Calibri"/>
          <w:szCs w:val="24"/>
        </w:rPr>
        <w:t xml:space="preserve">NRCS began offering a new conservation evaluation and monitoring activity (CEMA) to assist producers with measuring soil organic carbon stocks. The new activity is used to quantify the levels of organic carbon stored in the soil and monitor the change in soil carbon stocks before and after implementing a conservation practice or conservation plan that is known to sequester soil carbon. </w:t>
      </w:r>
      <w:r w:rsidRPr="00330772">
        <w:rPr>
          <w:rFonts w:ascii="Calibri" w:eastAsia="Times New Roman" w:hAnsi="Calibri"/>
          <w:szCs w:val="24"/>
        </w:rPr>
        <w:t xml:space="preserve">To support the implementation of CEMA 221 (Soil Organic Carbon Stock Monitoring), NRCS selected four partners: </w:t>
      </w:r>
      <w:r w:rsidRPr="00330772">
        <w:rPr>
          <w:rFonts w:ascii="Calibri" w:eastAsia="Segoe UI" w:hAnsi="Calibri"/>
          <w:szCs w:val="24"/>
        </w:rPr>
        <w:t>Iowa State University, Michigan State University, American Climate Partners, and the University of Texas at El Paso. Each partner will provide outreach to producers with a strategy to reach equity in delivering programs to underserved communities by encouraging diverse producers to participate in soil carbon monitoring and to recruit and train qualified individuals who will do the soil sampling and soil processing work for this CEMA.</w:t>
      </w:r>
    </w:p>
    <w:p w14:paraId="0A30483E"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66" w:name="_Toc120873498"/>
      <w:bookmarkStart w:id="767" w:name="_Toc158727229"/>
      <w:bookmarkStart w:id="768" w:name="_Toc160186167"/>
      <w:r w:rsidRPr="00330772">
        <w:rPr>
          <w:rFonts w:ascii="Segoe UI Semibold" w:eastAsia="Times New Roman" w:hAnsi="Segoe UI Semibold" w:cs="Arial"/>
          <w:iCs/>
          <w:color w:val="000000"/>
          <w:kern w:val="32"/>
          <w:sz w:val="30"/>
          <w:szCs w:val="28"/>
        </w:rPr>
        <w:t>Watershed Protection and Dam Safety</w:t>
      </w:r>
      <w:bookmarkEnd w:id="766"/>
      <w:bookmarkEnd w:id="767"/>
      <w:bookmarkEnd w:id="768"/>
    </w:p>
    <w:p w14:paraId="79502698"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The EWPP helps local communities relieve imminent hazards to life and property caused by floods, fires, windstorms, and other natural occurrences that cause watershed impairments. EWPP has two distinct options for assisting landowners in affected areas: EWPP-Recovery and EWPP-Floodplain </w:t>
      </w:r>
      <w:r w:rsidRPr="00330772">
        <w:rPr>
          <w:rFonts w:ascii="Calibri" w:eastAsia="Times New Roman" w:hAnsi="Calibri"/>
          <w:szCs w:val="24"/>
        </w:rPr>
        <w:lastRenderedPageBreak/>
        <w:t>Easements. The EWPP tool is a software application designed to help NRCS staff create and manage EWPP projects more efficiently. The EWPP tool follows the EWPP process from designating a state disaster and submitting the electronic disaster report (EDR), to preparing and submitting the damage survey report (DSR), and finally to approving and funding the project. In FY 2023, the EWPP tool was used to submit 100 percent of the EDRs and DSRs, thereby allowing tracking of projects and documentation of funding decisions.</w:t>
      </w:r>
    </w:p>
    <w:p w14:paraId="12E59EA4" w14:textId="77777777" w:rsidR="00330772" w:rsidRPr="00330772" w:rsidRDefault="00B2178E" w:rsidP="00330772">
      <w:pPr>
        <w:ind w:left="360"/>
        <w:rPr>
          <w:rFonts w:ascii="Calibri" w:eastAsia="Times New Roman" w:hAnsi="Calibri"/>
          <w:szCs w:val="24"/>
        </w:rPr>
      </w:pPr>
      <w:hyperlink r:id="rId103" w:history="1">
        <w:r w:rsidR="00330772" w:rsidRPr="00330772">
          <w:rPr>
            <w:rFonts w:ascii="Calibri" w:eastAsia="Times New Roman" w:hAnsi="Calibri"/>
            <w:szCs w:val="24"/>
          </w:rPr>
          <w:t>DamWatch</w:t>
        </w:r>
      </w:hyperlink>
      <w:r w:rsidR="00330772" w:rsidRPr="00330772">
        <w:rPr>
          <w:rFonts w:ascii="Calibri" w:eastAsia="Times New Roman" w:hAnsi="Calibri"/>
          <w:szCs w:val="24"/>
        </w:rPr>
        <w:t xml:space="preserve"> is a web-based application developed for the NRCS by USEngineering Solutions Corporation to assist watershed project sponsors with monitoring and managing 11,800 NRCS assisted dams. This tool provides real-time monitoring of rainfall, snowmelt, stream flow, and seismic events that could pose potential threats to dam safety. DamWatch also forecasts rainfall events to allow NRCS personnel and project sponsors to prepare for potential events at the dams. DamWatch alerts essential personnel by email, fax, or text message when dams experience one or more of the potentially hazardous monitored conditions. This promotes a coordinated deployment of personnel and resources at the right time and place. DamWatch provides a central source for accessing critical documents, databases, onsite electronic monitoring devices, and geospatial information through a secure interactive web interface, which allows NRCS and watershed project sponsors to manage a proactive response. Important dam project information includes as-built plans, operation and maintenance agreements, emergency action plans, inspection reports, photos, videos, and assessment reports. DamWatch offers project sponsors an effective means for managing watershed projects. Although NRCS personnel can receive DamWatch alerts, the project sponsor maintains responsibility for monitoring the dams and notifying authorities during an emergency.</w:t>
      </w:r>
    </w:p>
    <w:p w14:paraId="0E03B227"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69" w:name="_Toc120873499"/>
      <w:bookmarkStart w:id="770" w:name="_Toc158727230"/>
      <w:bookmarkStart w:id="771" w:name="_Toc160186168"/>
      <w:r w:rsidRPr="00330772">
        <w:rPr>
          <w:rFonts w:ascii="Segoe UI Semibold" w:eastAsia="Times New Roman" w:hAnsi="Segoe UI Semibold" w:cs="Arial"/>
          <w:iCs/>
          <w:color w:val="000000"/>
          <w:kern w:val="32"/>
          <w:sz w:val="30"/>
          <w:szCs w:val="28"/>
        </w:rPr>
        <w:t>Snow Survey and Water Supply Forecasting</w:t>
      </w:r>
      <w:bookmarkEnd w:id="769"/>
      <w:bookmarkEnd w:id="770"/>
      <w:bookmarkEnd w:id="771"/>
    </w:p>
    <w:p w14:paraId="3ED63AF7" w14:textId="77777777" w:rsidR="00330772" w:rsidRPr="00330772" w:rsidRDefault="00330772" w:rsidP="00330772">
      <w:pPr>
        <w:ind w:left="360"/>
        <w:rPr>
          <w:rFonts w:ascii="Calibri" w:eastAsia="Times New Roman" w:hAnsi="Calibri"/>
          <w:color w:val="000000"/>
          <w:szCs w:val="24"/>
        </w:rPr>
      </w:pPr>
      <w:r w:rsidRPr="00330772">
        <w:rPr>
          <w:rFonts w:ascii="Calibri" w:eastAsia="Times New Roman" w:hAnsi="Calibri"/>
          <w:color w:val="000000"/>
          <w:szCs w:val="24"/>
        </w:rPr>
        <w:t>The</w:t>
      </w:r>
      <w:hyperlink r:id="rId104" w:history="1">
        <w:r w:rsidRPr="00330772">
          <w:rPr>
            <w:rFonts w:ascii="Calibri" w:eastAsia="Times New Roman" w:hAnsi="Calibri"/>
            <w:color w:val="286D80"/>
            <w:szCs w:val="24"/>
            <w:u w:val="single"/>
          </w:rPr>
          <w:t xml:space="preserve"> National Water and Climate Center</w:t>
        </w:r>
      </w:hyperlink>
      <w:r w:rsidRPr="00330772">
        <w:rPr>
          <w:rFonts w:ascii="Calibri" w:eastAsia="Times New Roman" w:hAnsi="Calibri"/>
          <w:color w:val="000000"/>
          <w:szCs w:val="24"/>
        </w:rPr>
        <w:t xml:space="preserve"> (NWCC) and </w:t>
      </w:r>
      <w:hyperlink r:id="rId105" w:history="1">
        <w:r w:rsidRPr="00330772">
          <w:rPr>
            <w:rFonts w:ascii="Calibri" w:eastAsia="Times New Roman" w:hAnsi="Calibri"/>
            <w:color w:val="286D80"/>
            <w:szCs w:val="24"/>
            <w:u w:val="single"/>
          </w:rPr>
          <w:t>Snow Survey and Water Supply Forecasting Program</w:t>
        </w:r>
      </w:hyperlink>
      <w:r w:rsidRPr="00330772">
        <w:rPr>
          <w:rFonts w:ascii="Calibri" w:eastAsia="Times New Roman" w:hAnsi="Calibri"/>
          <w:color w:val="000000"/>
          <w:szCs w:val="24"/>
        </w:rPr>
        <w:t xml:space="preserve"> (SSWSF) collaborate with universities, researchers, and other strategic partners advancing snow measurements and hydrologic forecasting. The SSWSF collects high-elevation snow and climatic data and produces water supply availability forecasts. Data are stored in Water and Climate Information Systems (WCIS) databases and provided to an extended array of stakeholders through online presence and outreach. </w:t>
      </w:r>
    </w:p>
    <w:p w14:paraId="3BA0E36F" w14:textId="77777777" w:rsidR="00330772" w:rsidRPr="00330772" w:rsidRDefault="00330772" w:rsidP="00330772">
      <w:pPr>
        <w:ind w:left="360"/>
        <w:rPr>
          <w:rFonts w:ascii="Calibri" w:eastAsia="Times New Roman" w:hAnsi="Calibri"/>
          <w:color w:val="000000"/>
          <w:szCs w:val="24"/>
          <w:u w:val="single"/>
        </w:rPr>
      </w:pPr>
      <w:r w:rsidRPr="00330772">
        <w:rPr>
          <w:rFonts w:ascii="Calibri" w:eastAsia="Times New Roman" w:hAnsi="Calibri"/>
          <w:color w:val="000000"/>
          <w:szCs w:val="24"/>
        </w:rPr>
        <w:t xml:space="preserve">The NWCC along with the SPSD supports SCAN sites across the country, further contributing to soils and climate data. The NWCC is partnering with the BLM to increase drought monitoring at both existing and new SCAN sites throughout California. In addition, the SSWSF has a collaborative agreement with the U.S. Bureau of Reclamation to support snow modeling by investigating increased on-the-ground snow parameter collection and to pursue research that uses airborne snow observations to advance water supply forecasting. The NWCC has a partnership with the Western Water Assessment Office in NASA’s Jet Propulsion Laboratory to evaluate remotely sensed data for data quality control to improve forecasts. NWCC is also advancing infrastructure to support forecast modeling using the Multi-Model Machine Learning Metasystem through a Cooperative Ecosystem Studies Unit (CESU) agreement with Colorado State University. Another CESU agreement with Portland State University supports parameter inputs and hydrologic basin analyses. </w:t>
      </w:r>
      <w:r w:rsidRPr="00330772">
        <w:rPr>
          <w:rFonts w:ascii="Calibri" w:eastAsia="Times New Roman" w:hAnsi="Calibri"/>
          <w:color w:val="000000"/>
          <w:szCs w:val="24"/>
        </w:rPr>
        <w:lastRenderedPageBreak/>
        <w:t xml:space="preserve">Finally, the </w:t>
      </w:r>
      <w:hyperlink r:id="rId106" w:anchor="version=169&amp;elements=&amp;networks=!&amp;states=!&amp;counties=!&amp;hucs=&amp;minElevation=&amp;maxElevation=&amp;elementSelectType=any&amp;activeOnly=true&amp;activeForecastPointsOnly=false&amp;hucLabels=false&amp;hucIdLabels=false&amp;hucParameterLabels=true&amp;stationLabels=&amp;overlays=&amp;hucOverlays=2&amp;basinOpacity=75&amp;basinNoDataOpacity=25&amp;basemapOpacity=100&amp;maskOpacity=0&amp;mode=data&amp;openSections=dataElement,parameter,date,basin,options,elements,location,networks&amp;controlsOpen=true&amp;popup=&amp;popupMulti=&amp;popupBasin=&amp;base=esriNgwm&amp;displayType=station&amp;basinType=6&amp;dataElement=WTEQ&amp;depth=-8&amp;parameter=PCTMED&amp;frequency=DAILY&amp;duration=I&amp;customDuration=&amp;dayPart=E&amp;monthPart=E&amp;forecastPubDay=1&amp;forecastExceedance=50&amp;useMixedPast=true&amp;seqColor=1&amp;divColor=7&amp;scaleType=D&amp;scaleMin=&amp;scaleMax=&amp;referencePeriodType=POR&amp;referenceBegin=1991&amp;referenceEnd=2020&amp;minimumYears=20&amp;hucAssociations=true&amp;relativeDate=-1&amp;lat=42.300&amp;lon=-114.300&amp;zoom=4.5" w:history="1">
        <w:r w:rsidRPr="00330772">
          <w:rPr>
            <w:rFonts w:ascii="Calibri" w:eastAsia="Times New Roman" w:hAnsi="Calibri"/>
            <w:color w:val="286D80"/>
            <w:szCs w:val="24"/>
            <w:u w:val="single"/>
          </w:rPr>
          <w:t>NWCC’s interactive map</w:t>
        </w:r>
      </w:hyperlink>
      <w:r w:rsidRPr="00330772">
        <w:rPr>
          <w:rFonts w:ascii="Calibri" w:eastAsia="Times New Roman" w:hAnsi="Calibri"/>
          <w:color w:val="000000"/>
          <w:szCs w:val="24"/>
        </w:rPr>
        <w:t xml:space="preserve"> is an extensively used tool providing both current and historical information on water and climate related data. The map interface provides in-depth, user-friendly WCIS data evaluation and reduces the need to navigate to multiple websites or databases to obtain the information.</w:t>
      </w:r>
    </w:p>
    <w:p w14:paraId="2641DAAA"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72" w:name="_Toc120873500"/>
      <w:bookmarkStart w:id="773" w:name="_Toc158727231"/>
      <w:bookmarkStart w:id="774" w:name="_Toc160186169"/>
      <w:r w:rsidRPr="00330772">
        <w:rPr>
          <w:rFonts w:ascii="Segoe UI Semibold" w:eastAsia="Times New Roman" w:hAnsi="Segoe UI Semibold" w:cs="Arial"/>
          <w:iCs/>
          <w:color w:val="000000"/>
          <w:kern w:val="32"/>
          <w:sz w:val="30"/>
          <w:szCs w:val="28"/>
        </w:rPr>
        <w:t>The National Resources Inventory</w:t>
      </w:r>
      <w:bookmarkEnd w:id="772"/>
      <w:bookmarkEnd w:id="773"/>
      <w:bookmarkEnd w:id="774"/>
    </w:p>
    <w:p w14:paraId="476E6E38"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 xml:space="preserve">The NRI has an ongoing agreement with Iowa State University to improve ways of providing information on the status and trends of national land use characteristics and soil erosion. The university is conducting research on automated data collection that is focused on the use of machine learning and artificial intelligence to accelerate and improve the efficiency of monitoring land use change. In addition, the NRI program has released a data access tool called the </w:t>
      </w:r>
      <w:hyperlink r:id="rId107" w:history="1">
        <w:r w:rsidRPr="00330772">
          <w:rPr>
            <w:rFonts w:ascii="Calibri" w:eastAsia="Times New Roman" w:hAnsi="Calibri"/>
            <w:color w:val="286D80"/>
            <w:szCs w:val="24"/>
            <w:u w:val="single"/>
          </w:rPr>
          <w:t>Land Use and Cover Inventory Database</w:t>
        </w:r>
      </w:hyperlink>
      <w:r w:rsidRPr="00330772">
        <w:rPr>
          <w:rFonts w:ascii="Calibri" w:eastAsia="Times New Roman" w:hAnsi="Calibri"/>
          <w:szCs w:val="24"/>
        </w:rPr>
        <w:t>, which allows open access to the compilation of NRI aggregate estimates and their measures of uncertainty, while protecting confidentiality of the point-level data. Finally, the NRI program introduced a portal to assist NRCS data collectors with the intricate process of collecting local area data, including web applications, resource materials, lists of remote sensing lab contacts, support guidance, links to recorded training on previous data collection methods, and a calendar of upcoming events.</w:t>
      </w:r>
    </w:p>
    <w:p w14:paraId="7287389A"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75" w:name="_Toc120873501"/>
      <w:bookmarkStart w:id="776" w:name="_Toc158727232"/>
      <w:bookmarkStart w:id="777" w:name="_Toc160186170"/>
      <w:r w:rsidRPr="00330772">
        <w:rPr>
          <w:rFonts w:ascii="Segoe UI Semibold" w:eastAsia="Times New Roman" w:hAnsi="Segoe UI Semibold" w:cs="Arial"/>
          <w:iCs/>
          <w:color w:val="000000"/>
          <w:kern w:val="32"/>
          <w:sz w:val="30"/>
          <w:szCs w:val="28"/>
        </w:rPr>
        <w:t>Conservation Effects Assessment Project</w:t>
      </w:r>
      <w:bookmarkEnd w:id="775"/>
      <w:bookmarkEnd w:id="776"/>
      <w:bookmarkEnd w:id="777"/>
    </w:p>
    <w:p w14:paraId="4893591E" w14:textId="77777777" w:rsidR="00330772" w:rsidRPr="00330772" w:rsidRDefault="00B2178E" w:rsidP="00330772">
      <w:pPr>
        <w:ind w:left="360"/>
        <w:rPr>
          <w:rFonts w:ascii="Calibri" w:eastAsia="Times New Roman" w:hAnsi="Calibri"/>
          <w:szCs w:val="24"/>
        </w:rPr>
      </w:pPr>
      <w:hyperlink r:id="rId108" w:history="1"/>
      <w:r w:rsidR="00330772" w:rsidRPr="00330772">
        <w:rPr>
          <w:rFonts w:ascii="Calibri" w:eastAsia="Times New Roman" w:hAnsi="Calibri"/>
          <w:szCs w:val="24"/>
        </w:rPr>
        <w:t>CEAP is a multi-agency effort designed to quantify the effects of conservation practices on agricultural land and to provide a scientific basis for managing agricultural landscape for environmental quality. To build the scientific base necessary for effective conservation planning, CEAP collaborates with partners from across the conservation research and planning community, including academic partners, nongovernmental organizations, and government collaborators at the local, state, and Federal levels. While findings from assessments completed under CEAP are used internally to guide USDA conservation policy and program development, CEAP partners and the CEAP team also transfer knowledge to make tools, data, analytical products, and CEAP findings available to researchers, conservationists, producers, and other external groups to amplify their usefulness and more broadly advance the science of conservation planning and decision making.</w:t>
      </w:r>
    </w:p>
    <w:p w14:paraId="57CEA066" w14:textId="77777777" w:rsidR="00330772" w:rsidRPr="00330772" w:rsidRDefault="00330772" w:rsidP="00330772">
      <w:pPr>
        <w:spacing w:before="360"/>
        <w:ind w:left="360"/>
        <w:rPr>
          <w:rFonts w:ascii="Calibri" w:eastAsia="Times New Roman" w:hAnsi="Calibri"/>
          <w:noProof/>
          <w:szCs w:val="24"/>
        </w:rPr>
      </w:pPr>
      <w:r w:rsidRPr="00330772">
        <w:rPr>
          <w:rFonts w:ascii="Calibri" w:eastAsia="Times New Roman" w:hAnsi="Calibri"/>
          <w:szCs w:val="24"/>
        </w:rPr>
        <w:t>Technology transfer activities are tailored to specific audiences and include journal articles, technical publications, conferences, and training for research and conservation communities, as well as webinars, field days, videos, and blogs for less technical interested audiences. In FY 2023, CEAP component leaders and CEAP partners prepared more than 40 technical publications and articles and collaborated with partners to establish close to 25 new alliances. CEAP also supported 71 talks, conferences, and webinars on outcome-related findings, data, and tools. The conservation outcome webinar series reached more than 2,700 total participants.</w:t>
      </w:r>
    </w:p>
    <w:p w14:paraId="2CEC545A" w14:textId="77777777" w:rsidR="00330772" w:rsidRPr="00330772" w:rsidRDefault="00330772" w:rsidP="00330772">
      <w:pPr>
        <w:keepNext/>
        <w:spacing w:before="360"/>
        <w:jc w:val="center"/>
        <w:rPr>
          <w:rFonts w:ascii="Calibri" w:eastAsia="Times New Roman" w:hAnsi="Calibri"/>
          <w:noProof/>
          <w:szCs w:val="24"/>
        </w:rPr>
      </w:pPr>
      <w:r w:rsidRPr="00330772">
        <w:rPr>
          <w:rFonts w:ascii="Calibri" w:eastAsia="Times New Roman" w:hAnsi="Calibri"/>
          <w:noProof/>
          <w:szCs w:val="24"/>
        </w:rPr>
        <w:lastRenderedPageBreak/>
        <w:drawing>
          <wp:inline distT="0" distB="0" distL="0" distR="0" wp14:anchorId="219ED582" wp14:editId="65719EC3">
            <wp:extent cx="5901790" cy="3933825"/>
            <wp:effectExtent l="19050" t="19050" r="22860" b="9525"/>
            <wp:docPr id="154467003" name="Picture 154467003" descr="Photograph of a pasture showing sheep grazing on gree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7003" name="Picture 154467003" descr="Photograph of a pasture showing sheep grazing on green gras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2783" cy="3954483"/>
                    </a:xfrm>
                    <a:prstGeom prst="rect">
                      <a:avLst/>
                    </a:prstGeom>
                    <a:noFill/>
                    <a:ln>
                      <a:solidFill>
                        <a:sysClr val="windowText" lastClr="000000"/>
                      </a:solidFill>
                    </a:ln>
                  </pic:spPr>
                </pic:pic>
              </a:graphicData>
            </a:graphic>
          </wp:inline>
        </w:drawing>
      </w:r>
    </w:p>
    <w:p w14:paraId="016CDEBC" w14:textId="77777777" w:rsidR="00330772" w:rsidRPr="00330772" w:rsidRDefault="00330772" w:rsidP="00330772">
      <w:pPr>
        <w:keepLines/>
        <w:spacing w:before="60" w:after="240"/>
        <w:ind w:left="360" w:right="360"/>
        <w:rPr>
          <w:rFonts w:ascii="Segoe UI Semibold" w:eastAsia="Times New Roman" w:hAnsi="Segoe UI Semibold"/>
          <w:noProof/>
          <w:sz w:val="20"/>
          <w:szCs w:val="24"/>
        </w:rPr>
      </w:pPr>
      <w:r w:rsidRPr="00330772">
        <w:rPr>
          <w:rFonts w:ascii="Segoe UI Semibold" w:hAnsi="Segoe UI Semibold"/>
          <w:sz w:val="20"/>
        </w:rPr>
        <w:t>Grazing is one of five land uses assessed by the Conservation Effects Assessment Project, which provides conservation outcome insights for multiple land uses and conservation goals. Photo Credit: Preston Keres, USDA.</w:t>
      </w:r>
    </w:p>
    <w:p w14:paraId="48A98433"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78" w:name="_Toc120873502"/>
      <w:bookmarkStart w:id="779" w:name="_Toc158727233"/>
      <w:bookmarkStart w:id="780" w:name="_Toc160186171"/>
      <w:r w:rsidRPr="00330772">
        <w:rPr>
          <w:rFonts w:ascii="Segoe UI Semibold" w:eastAsia="Times New Roman" w:hAnsi="Segoe UI Semibold" w:cs="Arial"/>
          <w:iCs/>
          <w:color w:val="000000"/>
          <w:kern w:val="32"/>
          <w:sz w:val="30"/>
          <w:szCs w:val="28"/>
        </w:rPr>
        <w:t>Conservation Innovation Grants</w:t>
      </w:r>
      <w:bookmarkEnd w:id="778"/>
      <w:bookmarkEnd w:id="779"/>
      <w:bookmarkEnd w:id="780"/>
    </w:p>
    <w:p w14:paraId="2A417152" w14:textId="77777777" w:rsidR="00330772" w:rsidRPr="00330772" w:rsidRDefault="00330772" w:rsidP="00330772">
      <w:pPr>
        <w:ind w:left="360"/>
        <w:rPr>
          <w:rFonts w:ascii="Calibri" w:eastAsia="Times New Roman" w:hAnsi="Calibri"/>
          <w:szCs w:val="24"/>
        </w:rPr>
      </w:pPr>
      <w:r w:rsidRPr="00330772">
        <w:rPr>
          <w:rFonts w:ascii="Calibri" w:eastAsia="Times New Roman" w:hAnsi="Calibri"/>
          <w:szCs w:val="24"/>
        </w:rPr>
        <w:t>CIGs are another important vehicle used when developing conservation technology that NRCS will transfer to farmers and ranchers. CIG Classic (a component of EQIP) is a voluntary program intended to stimulate the development and adoption of innovative conservation approaches and technologies while making the best use of Federal investment in environmental and agricultural enhancement and protection. Under CIG, EQIP funds are used to award competitive grants to non-Federal governmental or nongovernmental organizations, tribes, or individuals. In 2019, CIG added an On</w:t>
      </w:r>
      <w:r w:rsidRPr="00330772">
        <w:rPr>
          <w:rFonts w:ascii="Calibri" w:eastAsia="Times New Roman" w:hAnsi="Calibri"/>
          <w:szCs w:val="24"/>
        </w:rPr>
        <w:noBreakHyphen/>
        <w:t>Farm Conservation Innovation Trials (OFCIT) component. CIG OFCIT grant recipients offer incentive payments to compensate agricultural producers for adopting and evaluating new conservation approaches.</w:t>
      </w:r>
    </w:p>
    <w:p w14:paraId="2BA51F19" w14:textId="77777777" w:rsidR="00330772" w:rsidRPr="00330772" w:rsidRDefault="00330772" w:rsidP="00330772">
      <w:pPr>
        <w:ind w:left="360"/>
        <w:rPr>
          <w:rFonts w:ascii="Calibri" w:eastAsia="Times New Roman" w:hAnsi="Calibri"/>
          <w:color w:val="000000"/>
          <w:szCs w:val="24"/>
        </w:rPr>
      </w:pPr>
      <w:r w:rsidRPr="00330772">
        <w:rPr>
          <w:rFonts w:ascii="Calibri" w:eastAsia="Times New Roman" w:hAnsi="Calibri"/>
          <w:color w:val="000000"/>
          <w:szCs w:val="24"/>
        </w:rPr>
        <w:t xml:space="preserve">Both CIG award types enable NRCS to work with other public and private entities to accelerate the transfer of technology and the adoption of promising technologies and approaches that address some of the Nation’s most pressing natural resource concerns. CIGs benefit agricultural producers by providing more options for environmental enhancement and compliance with Federal, state, and local regulations. Much of what NRCS learns from CIG is incorporated into conservation practice standards used by field conservationists and technicians to address resource concerns on </w:t>
      </w:r>
      <w:r w:rsidRPr="00330772">
        <w:rPr>
          <w:rFonts w:ascii="Calibri" w:eastAsia="Times New Roman" w:hAnsi="Calibri"/>
          <w:color w:val="000000"/>
          <w:szCs w:val="24"/>
        </w:rPr>
        <w:lastRenderedPageBreak/>
        <w:t xml:space="preserve">private farms and ranches. Since the CIG program’s inception in 2004, NRCS has awarded over 870 national-level CIG Classic and OFCIT grants. Lists and brief summaries of funded projects are available on the </w:t>
      </w:r>
      <w:hyperlink r:id="rId110" w:history="1">
        <w:r w:rsidRPr="00330772">
          <w:rPr>
            <w:rFonts w:ascii="Calibri" w:eastAsia="Times New Roman" w:hAnsi="Calibri"/>
            <w:color w:val="286D80"/>
            <w:szCs w:val="24"/>
            <w:u w:val="single"/>
          </w:rPr>
          <w:t>CIG project webpage</w:t>
        </w:r>
      </w:hyperlink>
      <w:r w:rsidRPr="00330772">
        <w:rPr>
          <w:rFonts w:ascii="Calibri" w:eastAsia="Times New Roman" w:hAnsi="Calibri"/>
          <w:color w:val="000000"/>
          <w:szCs w:val="24"/>
        </w:rPr>
        <w:t>.</w:t>
      </w:r>
    </w:p>
    <w:p w14:paraId="78A6C06B" w14:textId="77777777" w:rsidR="00330772" w:rsidRPr="00330772" w:rsidRDefault="00330772" w:rsidP="00330772">
      <w:pPr>
        <w:keepNext/>
        <w:numPr>
          <w:ilvl w:val="1"/>
          <w:numId w:val="14"/>
        </w:numPr>
        <w:spacing w:before="240" w:after="240" w:line="264" w:lineRule="auto"/>
        <w:ind w:left="720" w:hanging="720"/>
        <w:outlineLvl w:val="1"/>
        <w:rPr>
          <w:rFonts w:ascii="Segoe UI Semibold" w:eastAsia="Times New Roman" w:hAnsi="Segoe UI Semibold" w:cs="Arial"/>
          <w:iCs/>
          <w:color w:val="000000"/>
          <w:kern w:val="32"/>
          <w:sz w:val="30"/>
          <w:szCs w:val="28"/>
        </w:rPr>
      </w:pPr>
      <w:bookmarkStart w:id="781" w:name="_Toc89351047"/>
      <w:bookmarkStart w:id="782" w:name="_Toc120873503"/>
      <w:bookmarkStart w:id="783" w:name="_Toc158727234"/>
      <w:bookmarkStart w:id="784" w:name="_Toc160186172"/>
      <w:r w:rsidRPr="00330772">
        <w:rPr>
          <w:rFonts w:ascii="Segoe UI Semibold" w:eastAsia="Times New Roman" w:hAnsi="Segoe UI Semibold" w:cs="Arial"/>
          <w:iCs/>
          <w:color w:val="000000"/>
          <w:kern w:val="32"/>
          <w:sz w:val="30"/>
          <w:szCs w:val="28"/>
        </w:rPr>
        <w:t>NRCS Technology Transfer Metrics</w:t>
      </w:r>
      <w:bookmarkEnd w:id="781"/>
      <w:bookmarkEnd w:id="782"/>
      <w:bookmarkEnd w:id="783"/>
      <w:bookmarkEnd w:id="784"/>
    </w:p>
    <w:p w14:paraId="3030CDDF" w14:textId="77777777" w:rsidR="00330772" w:rsidRPr="00330772" w:rsidRDefault="00330772" w:rsidP="00330772">
      <w:pPr>
        <w:keepNext/>
        <w:spacing w:before="60" w:after="60"/>
        <w:rPr>
          <w:rFonts w:ascii="Segoe UI Semibold" w:eastAsia="Times New Roman" w:hAnsi="Segoe UI Semibold"/>
          <w:sz w:val="20"/>
          <w:szCs w:val="20"/>
        </w:rPr>
      </w:pPr>
      <w:r w:rsidRPr="00330772">
        <w:rPr>
          <w:rFonts w:ascii="Segoe UI Semibold" w:eastAsia="Times New Roman" w:hAnsi="Segoe UI Semibold"/>
          <w:sz w:val="20"/>
          <w:szCs w:val="20"/>
        </w:rPr>
        <w:t>Technology development and transfer performance measures deemed important by the NRCS.</w:t>
      </w:r>
    </w:p>
    <w:tbl>
      <w:tblPr>
        <w:tblW w:w="505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4142"/>
        <w:gridCol w:w="1078"/>
        <w:gridCol w:w="1080"/>
        <w:gridCol w:w="1170"/>
        <w:gridCol w:w="1170"/>
        <w:gridCol w:w="1531"/>
      </w:tblGrid>
      <w:tr w:rsidR="00330772" w:rsidRPr="00330772" w14:paraId="2F7D8459" w14:textId="77777777" w:rsidTr="00330772">
        <w:trPr>
          <w:trHeight w:val="287"/>
        </w:trPr>
        <w:tc>
          <w:tcPr>
            <w:tcW w:w="4142" w:type="dxa"/>
            <w:shd w:val="clear" w:color="auto" w:fill="DDD9C3"/>
            <w:vAlign w:val="center"/>
            <w:hideMark/>
          </w:tcPr>
          <w:p w14:paraId="5B56A75F" w14:textId="77777777" w:rsidR="00330772" w:rsidRPr="00330772" w:rsidRDefault="00330772" w:rsidP="00330772">
            <w:pPr>
              <w:keepNext/>
              <w:spacing w:before="0" w:after="0"/>
              <w:rPr>
                <w:rFonts w:ascii="Segoe UI Semibold" w:eastAsia="Times New Roman" w:hAnsi="Segoe UI Semibold"/>
                <w:bCs/>
                <w:sz w:val="20"/>
                <w:szCs w:val="20"/>
              </w:rPr>
            </w:pPr>
            <w:r w:rsidRPr="00330772">
              <w:rPr>
                <w:rFonts w:ascii="Segoe UI Semibold" w:eastAsia="Times New Roman" w:hAnsi="Segoe UI Semibold"/>
                <w:bCs/>
                <w:sz w:val="20"/>
                <w:szCs w:val="20"/>
              </w:rPr>
              <w:t>Soils Research and Technology Transfer</w:t>
            </w:r>
          </w:p>
        </w:tc>
        <w:tc>
          <w:tcPr>
            <w:tcW w:w="1078" w:type="dxa"/>
            <w:shd w:val="clear" w:color="auto" w:fill="DDD9C3"/>
            <w:vAlign w:val="center"/>
          </w:tcPr>
          <w:p w14:paraId="265FCCAB" w14:textId="77777777" w:rsidR="00330772" w:rsidRPr="00330772" w:rsidRDefault="00330772" w:rsidP="00330772">
            <w:pPr>
              <w:keepNext/>
              <w:spacing w:before="0" w:after="0"/>
              <w:jc w:val="center"/>
              <w:rPr>
                <w:rFonts w:ascii="Segoe UI Semibold" w:eastAsia="MS Mincho" w:hAnsi="Segoe UI Semibold"/>
                <w:bCs/>
                <w:color w:val="000000"/>
                <w:sz w:val="20"/>
                <w:szCs w:val="20"/>
              </w:rPr>
            </w:pPr>
            <w:r w:rsidRPr="00330772">
              <w:rPr>
                <w:rFonts w:ascii="Segoe UI Semibold" w:eastAsia="MS Mincho" w:hAnsi="Segoe UI Semibold"/>
                <w:bCs/>
                <w:color w:val="000000"/>
                <w:sz w:val="20"/>
                <w:szCs w:val="20"/>
              </w:rPr>
              <w:t>2019</w:t>
            </w:r>
          </w:p>
        </w:tc>
        <w:tc>
          <w:tcPr>
            <w:tcW w:w="1080" w:type="dxa"/>
            <w:shd w:val="clear" w:color="auto" w:fill="DDD9C3"/>
            <w:vAlign w:val="center"/>
          </w:tcPr>
          <w:p w14:paraId="443B77D7" w14:textId="77777777" w:rsidR="00330772" w:rsidRPr="00330772" w:rsidRDefault="00330772" w:rsidP="00330772">
            <w:pPr>
              <w:keepNext/>
              <w:spacing w:before="0" w:after="0"/>
              <w:jc w:val="center"/>
              <w:rPr>
                <w:rFonts w:ascii="Segoe UI Semibold" w:eastAsia="MS Mincho" w:hAnsi="Segoe UI Semibold"/>
                <w:bCs/>
                <w:color w:val="000000"/>
                <w:sz w:val="20"/>
                <w:szCs w:val="20"/>
              </w:rPr>
            </w:pPr>
            <w:r w:rsidRPr="00330772">
              <w:rPr>
                <w:rFonts w:ascii="Segoe UI Semibold" w:hAnsi="Segoe UI Semibold"/>
                <w:bCs/>
                <w:color w:val="000000"/>
                <w:sz w:val="20"/>
                <w:szCs w:val="20"/>
              </w:rPr>
              <w:t>2020</w:t>
            </w:r>
          </w:p>
        </w:tc>
        <w:tc>
          <w:tcPr>
            <w:tcW w:w="1170" w:type="dxa"/>
            <w:shd w:val="clear" w:color="auto" w:fill="DDD9C3"/>
            <w:vAlign w:val="center"/>
          </w:tcPr>
          <w:p w14:paraId="38714407" w14:textId="77777777" w:rsidR="00330772" w:rsidRPr="00330772" w:rsidRDefault="00330772" w:rsidP="00330772">
            <w:pPr>
              <w:keepNext/>
              <w:spacing w:before="0" w:after="0"/>
              <w:jc w:val="center"/>
              <w:rPr>
                <w:rFonts w:ascii="Segoe UI Semibold" w:hAnsi="Segoe UI Semibold"/>
                <w:bCs/>
                <w:color w:val="000000"/>
                <w:sz w:val="20"/>
                <w:szCs w:val="20"/>
              </w:rPr>
            </w:pPr>
            <w:r w:rsidRPr="00330772">
              <w:rPr>
                <w:rFonts w:ascii="Segoe UI Semibold" w:eastAsia="MS Mincho" w:hAnsi="Segoe UI Semibold"/>
                <w:bCs/>
                <w:color w:val="000000"/>
                <w:sz w:val="20"/>
                <w:szCs w:val="20"/>
              </w:rPr>
              <w:t>2021</w:t>
            </w:r>
          </w:p>
        </w:tc>
        <w:tc>
          <w:tcPr>
            <w:tcW w:w="1170" w:type="dxa"/>
            <w:shd w:val="clear" w:color="auto" w:fill="DDD9C3"/>
            <w:vAlign w:val="center"/>
          </w:tcPr>
          <w:p w14:paraId="6C4BA0F9" w14:textId="77777777" w:rsidR="00330772" w:rsidRPr="00330772" w:rsidRDefault="00330772" w:rsidP="00330772">
            <w:pPr>
              <w:keepNext/>
              <w:spacing w:before="0" w:after="0"/>
              <w:jc w:val="center"/>
              <w:rPr>
                <w:rFonts w:ascii="Segoe UI Semibold" w:eastAsia="MS Mincho" w:hAnsi="Segoe UI Semibold"/>
                <w:bCs/>
                <w:color w:val="000000"/>
                <w:sz w:val="20"/>
                <w:szCs w:val="20"/>
              </w:rPr>
            </w:pPr>
            <w:r w:rsidRPr="00330772">
              <w:rPr>
                <w:rFonts w:ascii="Segoe UI Semibold" w:eastAsia="MS Mincho" w:hAnsi="Segoe UI Semibold"/>
                <w:bCs/>
                <w:color w:val="000000"/>
                <w:sz w:val="20"/>
                <w:szCs w:val="20"/>
              </w:rPr>
              <w:t>2022</w:t>
            </w:r>
          </w:p>
        </w:tc>
        <w:tc>
          <w:tcPr>
            <w:tcW w:w="1531" w:type="dxa"/>
            <w:shd w:val="clear" w:color="auto" w:fill="DDD9C3"/>
            <w:vAlign w:val="center"/>
            <w:hideMark/>
          </w:tcPr>
          <w:p w14:paraId="2C6B67E5" w14:textId="77777777" w:rsidR="00330772" w:rsidRPr="00330772" w:rsidRDefault="00330772" w:rsidP="00330772">
            <w:pPr>
              <w:keepNext/>
              <w:spacing w:before="0" w:after="0"/>
              <w:jc w:val="center"/>
              <w:rPr>
                <w:rFonts w:ascii="Segoe UI Semibold" w:hAnsi="Segoe UI Semibold"/>
                <w:bCs/>
                <w:color w:val="000000"/>
                <w:sz w:val="20"/>
                <w:szCs w:val="20"/>
              </w:rPr>
            </w:pPr>
            <w:r w:rsidRPr="00330772">
              <w:rPr>
                <w:rFonts w:ascii="Segoe UI Semibold" w:eastAsia="MS Mincho" w:hAnsi="Segoe UI Semibold"/>
                <w:bCs/>
                <w:color w:val="000000"/>
                <w:sz w:val="20"/>
                <w:szCs w:val="20"/>
              </w:rPr>
              <w:t>2023</w:t>
            </w:r>
          </w:p>
        </w:tc>
      </w:tr>
      <w:tr w:rsidR="00330772" w:rsidRPr="00330772" w14:paraId="20B76195" w14:textId="77777777" w:rsidTr="00987B98">
        <w:trPr>
          <w:trHeight w:val="184"/>
        </w:trPr>
        <w:tc>
          <w:tcPr>
            <w:tcW w:w="4142" w:type="dxa"/>
            <w:shd w:val="clear" w:color="auto" w:fill="auto"/>
            <w:vAlign w:val="center"/>
            <w:hideMark/>
          </w:tcPr>
          <w:p w14:paraId="7D4B2118"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publications by scientific or technology transfer staff</w:t>
            </w:r>
          </w:p>
        </w:tc>
        <w:tc>
          <w:tcPr>
            <w:tcW w:w="1078" w:type="dxa"/>
            <w:vAlign w:val="center"/>
          </w:tcPr>
          <w:p w14:paraId="4641A2F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25</w:t>
            </w:r>
          </w:p>
        </w:tc>
        <w:tc>
          <w:tcPr>
            <w:tcW w:w="1080" w:type="dxa"/>
            <w:vAlign w:val="center"/>
          </w:tcPr>
          <w:p w14:paraId="5F1579F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37</w:t>
            </w:r>
          </w:p>
        </w:tc>
        <w:tc>
          <w:tcPr>
            <w:tcW w:w="1170" w:type="dxa"/>
            <w:vAlign w:val="center"/>
          </w:tcPr>
          <w:p w14:paraId="55F55804"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20</w:t>
            </w:r>
          </w:p>
        </w:tc>
        <w:tc>
          <w:tcPr>
            <w:tcW w:w="1170" w:type="dxa"/>
            <w:vAlign w:val="center"/>
          </w:tcPr>
          <w:p w14:paraId="403E766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15</w:t>
            </w:r>
          </w:p>
        </w:tc>
        <w:tc>
          <w:tcPr>
            <w:tcW w:w="1531" w:type="dxa"/>
            <w:shd w:val="clear" w:color="auto" w:fill="auto"/>
            <w:vAlign w:val="center"/>
          </w:tcPr>
          <w:p w14:paraId="37505AC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20</w:t>
            </w:r>
          </w:p>
        </w:tc>
      </w:tr>
      <w:tr w:rsidR="00330772" w:rsidRPr="00330772" w14:paraId="209042DF" w14:textId="77777777" w:rsidTr="00987B98">
        <w:trPr>
          <w:trHeight w:val="184"/>
        </w:trPr>
        <w:tc>
          <w:tcPr>
            <w:tcW w:w="4142" w:type="dxa"/>
            <w:shd w:val="clear" w:color="auto" w:fill="auto"/>
            <w:vAlign w:val="center"/>
            <w:hideMark/>
          </w:tcPr>
          <w:p w14:paraId="36274A13"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talks, conference attendances, speeches, and webinars (i.e., other forms of outreach) on Federal technology transfer</w:t>
            </w:r>
          </w:p>
        </w:tc>
        <w:tc>
          <w:tcPr>
            <w:tcW w:w="1078" w:type="dxa"/>
            <w:vAlign w:val="center"/>
          </w:tcPr>
          <w:p w14:paraId="1C51968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74</w:t>
            </w:r>
          </w:p>
        </w:tc>
        <w:tc>
          <w:tcPr>
            <w:tcW w:w="1080" w:type="dxa"/>
            <w:vAlign w:val="center"/>
          </w:tcPr>
          <w:p w14:paraId="01090B9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161</w:t>
            </w:r>
          </w:p>
        </w:tc>
        <w:tc>
          <w:tcPr>
            <w:tcW w:w="1170" w:type="dxa"/>
            <w:vAlign w:val="center"/>
          </w:tcPr>
          <w:p w14:paraId="530E896E"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219</w:t>
            </w:r>
          </w:p>
        </w:tc>
        <w:tc>
          <w:tcPr>
            <w:tcW w:w="1170" w:type="dxa"/>
            <w:vAlign w:val="center"/>
          </w:tcPr>
          <w:p w14:paraId="6FBB182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204</w:t>
            </w:r>
          </w:p>
        </w:tc>
        <w:tc>
          <w:tcPr>
            <w:tcW w:w="1531" w:type="dxa"/>
            <w:shd w:val="clear" w:color="auto" w:fill="auto"/>
            <w:vAlign w:val="center"/>
          </w:tcPr>
          <w:p w14:paraId="779B6C2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210</w:t>
            </w:r>
          </w:p>
        </w:tc>
      </w:tr>
      <w:tr w:rsidR="00330772" w:rsidRPr="00330772" w14:paraId="5D80455B" w14:textId="77777777" w:rsidTr="00987B98">
        <w:trPr>
          <w:trHeight w:val="184"/>
        </w:trPr>
        <w:tc>
          <w:tcPr>
            <w:tcW w:w="4142" w:type="dxa"/>
            <w:tcBorders>
              <w:bottom w:val="single" w:sz="4" w:space="0" w:color="auto"/>
            </w:tcBorders>
            <w:shd w:val="clear" w:color="auto" w:fill="auto"/>
            <w:noWrap/>
            <w:vAlign w:val="center"/>
            <w:hideMark/>
          </w:tcPr>
          <w:p w14:paraId="59623BDA"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new alliances (e.g., partnership intermediary agreements, memorandums of understanding, etc.)</w:t>
            </w:r>
          </w:p>
        </w:tc>
        <w:tc>
          <w:tcPr>
            <w:tcW w:w="1078" w:type="dxa"/>
            <w:tcBorders>
              <w:bottom w:val="single" w:sz="4" w:space="0" w:color="auto"/>
            </w:tcBorders>
            <w:vAlign w:val="center"/>
          </w:tcPr>
          <w:p w14:paraId="289F080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w:t>
            </w:r>
          </w:p>
        </w:tc>
        <w:tc>
          <w:tcPr>
            <w:tcW w:w="1080" w:type="dxa"/>
            <w:tcBorders>
              <w:bottom w:val="single" w:sz="4" w:space="0" w:color="auto"/>
            </w:tcBorders>
            <w:vAlign w:val="center"/>
          </w:tcPr>
          <w:p w14:paraId="78044C69"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11</w:t>
            </w:r>
          </w:p>
        </w:tc>
        <w:tc>
          <w:tcPr>
            <w:tcW w:w="1170" w:type="dxa"/>
            <w:tcBorders>
              <w:bottom w:val="single" w:sz="4" w:space="0" w:color="auto"/>
            </w:tcBorders>
            <w:vAlign w:val="center"/>
          </w:tcPr>
          <w:p w14:paraId="57F43DBF"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25</w:t>
            </w:r>
          </w:p>
        </w:tc>
        <w:tc>
          <w:tcPr>
            <w:tcW w:w="1170" w:type="dxa"/>
            <w:tcBorders>
              <w:bottom w:val="single" w:sz="4" w:space="0" w:color="auto"/>
            </w:tcBorders>
            <w:vAlign w:val="center"/>
          </w:tcPr>
          <w:p w14:paraId="4FF1ADE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29</w:t>
            </w:r>
          </w:p>
        </w:tc>
        <w:tc>
          <w:tcPr>
            <w:tcW w:w="1531" w:type="dxa"/>
            <w:tcBorders>
              <w:bottom w:val="single" w:sz="4" w:space="0" w:color="auto"/>
            </w:tcBorders>
            <w:shd w:val="clear" w:color="auto" w:fill="auto"/>
            <w:vAlign w:val="center"/>
          </w:tcPr>
          <w:p w14:paraId="05A9C89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29</w:t>
            </w:r>
          </w:p>
        </w:tc>
      </w:tr>
      <w:tr w:rsidR="00330772" w:rsidRPr="00330772" w14:paraId="0C3A9F76" w14:textId="77777777" w:rsidTr="00330772">
        <w:trPr>
          <w:trHeight w:val="184"/>
        </w:trPr>
        <w:tc>
          <w:tcPr>
            <w:tcW w:w="4142" w:type="dxa"/>
            <w:shd w:val="clear" w:color="auto" w:fill="DDD9C3"/>
            <w:vAlign w:val="center"/>
            <w:hideMark/>
          </w:tcPr>
          <w:p w14:paraId="1CF1965E" w14:textId="77777777" w:rsidR="00330772" w:rsidRPr="00330772" w:rsidRDefault="00330772" w:rsidP="00330772">
            <w:pPr>
              <w:keepNext/>
              <w:spacing w:before="0" w:after="0"/>
              <w:rPr>
                <w:rFonts w:ascii="Segoe UI Semibold" w:hAnsi="Segoe UI Semibold"/>
                <w:sz w:val="20"/>
                <w:szCs w:val="20"/>
              </w:rPr>
            </w:pPr>
            <w:r w:rsidRPr="00330772">
              <w:rPr>
                <w:rFonts w:ascii="Segoe UI Semibold" w:hAnsi="Segoe UI Semibold"/>
                <w:sz w:val="20"/>
                <w:szCs w:val="20"/>
              </w:rPr>
              <w:t>Plant Materials Centers</w:t>
            </w:r>
          </w:p>
        </w:tc>
        <w:tc>
          <w:tcPr>
            <w:tcW w:w="1078" w:type="dxa"/>
            <w:shd w:val="clear" w:color="auto" w:fill="DDD9C3"/>
            <w:vAlign w:val="center"/>
          </w:tcPr>
          <w:p w14:paraId="7B22539C"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6EEE821A"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4F021827"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1E6581FD"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37387704"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17828031" w14:textId="77777777" w:rsidTr="00987B98">
        <w:trPr>
          <w:trHeight w:val="184"/>
        </w:trPr>
        <w:tc>
          <w:tcPr>
            <w:tcW w:w="4142" w:type="dxa"/>
            <w:shd w:val="clear" w:color="auto" w:fill="auto"/>
            <w:vAlign w:val="center"/>
            <w:hideMark/>
          </w:tcPr>
          <w:p w14:paraId="40041E86"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technical publications</w:t>
            </w:r>
          </w:p>
        </w:tc>
        <w:tc>
          <w:tcPr>
            <w:tcW w:w="1078" w:type="dxa"/>
            <w:vAlign w:val="center"/>
          </w:tcPr>
          <w:p w14:paraId="7913DE6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86</w:t>
            </w:r>
          </w:p>
        </w:tc>
        <w:tc>
          <w:tcPr>
            <w:tcW w:w="1080" w:type="dxa"/>
            <w:vAlign w:val="center"/>
          </w:tcPr>
          <w:p w14:paraId="0A4832E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183</w:t>
            </w:r>
          </w:p>
        </w:tc>
        <w:tc>
          <w:tcPr>
            <w:tcW w:w="1170" w:type="dxa"/>
            <w:vAlign w:val="center"/>
          </w:tcPr>
          <w:p w14:paraId="0ED6340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88</w:t>
            </w:r>
          </w:p>
        </w:tc>
        <w:tc>
          <w:tcPr>
            <w:tcW w:w="1170" w:type="dxa"/>
            <w:vAlign w:val="center"/>
          </w:tcPr>
          <w:p w14:paraId="4A9664B4"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114</w:t>
            </w:r>
          </w:p>
        </w:tc>
        <w:tc>
          <w:tcPr>
            <w:tcW w:w="1531" w:type="dxa"/>
            <w:shd w:val="clear" w:color="auto" w:fill="auto"/>
            <w:vAlign w:val="center"/>
          </w:tcPr>
          <w:p w14:paraId="06A232C6"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107</w:t>
            </w:r>
          </w:p>
        </w:tc>
      </w:tr>
      <w:tr w:rsidR="00330772" w:rsidRPr="00330772" w14:paraId="5B847565" w14:textId="77777777" w:rsidTr="00987B98">
        <w:trPr>
          <w:trHeight w:val="184"/>
        </w:trPr>
        <w:tc>
          <w:tcPr>
            <w:tcW w:w="4142" w:type="dxa"/>
            <w:shd w:val="clear" w:color="auto" w:fill="auto"/>
            <w:vAlign w:val="center"/>
            <w:hideMark/>
          </w:tcPr>
          <w:p w14:paraId="047C9C5D"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 xml:space="preserve">Number of talks and presentations to transfer plant materials information </w:t>
            </w:r>
          </w:p>
        </w:tc>
        <w:tc>
          <w:tcPr>
            <w:tcW w:w="1078" w:type="dxa"/>
            <w:vAlign w:val="center"/>
          </w:tcPr>
          <w:p w14:paraId="3B8756F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72</w:t>
            </w:r>
          </w:p>
        </w:tc>
        <w:tc>
          <w:tcPr>
            <w:tcW w:w="1080" w:type="dxa"/>
            <w:vAlign w:val="center"/>
          </w:tcPr>
          <w:p w14:paraId="5220A1B1"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47</w:t>
            </w:r>
          </w:p>
        </w:tc>
        <w:tc>
          <w:tcPr>
            <w:tcW w:w="1170" w:type="dxa"/>
            <w:vAlign w:val="center"/>
          </w:tcPr>
          <w:p w14:paraId="48E7DA3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46</w:t>
            </w:r>
          </w:p>
        </w:tc>
        <w:tc>
          <w:tcPr>
            <w:tcW w:w="1170" w:type="dxa"/>
            <w:vAlign w:val="center"/>
          </w:tcPr>
          <w:p w14:paraId="01AB64C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70</w:t>
            </w:r>
          </w:p>
        </w:tc>
        <w:tc>
          <w:tcPr>
            <w:tcW w:w="1531" w:type="dxa"/>
            <w:shd w:val="clear" w:color="auto" w:fill="auto"/>
            <w:vAlign w:val="center"/>
          </w:tcPr>
          <w:p w14:paraId="2746A06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63</w:t>
            </w:r>
          </w:p>
        </w:tc>
      </w:tr>
      <w:tr w:rsidR="00330772" w:rsidRPr="00330772" w14:paraId="05160AC9" w14:textId="77777777" w:rsidTr="00987B98">
        <w:trPr>
          <w:trHeight w:val="184"/>
        </w:trPr>
        <w:tc>
          <w:tcPr>
            <w:tcW w:w="4142" w:type="dxa"/>
            <w:shd w:val="clear" w:color="auto" w:fill="auto"/>
            <w:vAlign w:val="center"/>
            <w:hideMark/>
          </w:tcPr>
          <w:p w14:paraId="03989CB4"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participants (internal and external) attending plant materials technology training sessions</w:t>
            </w:r>
          </w:p>
        </w:tc>
        <w:tc>
          <w:tcPr>
            <w:tcW w:w="1078" w:type="dxa"/>
            <w:vAlign w:val="center"/>
          </w:tcPr>
          <w:p w14:paraId="10C0664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3,187</w:t>
            </w:r>
          </w:p>
        </w:tc>
        <w:tc>
          <w:tcPr>
            <w:tcW w:w="1080" w:type="dxa"/>
            <w:vAlign w:val="center"/>
          </w:tcPr>
          <w:p w14:paraId="4020972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1,086</w:t>
            </w:r>
          </w:p>
        </w:tc>
        <w:tc>
          <w:tcPr>
            <w:tcW w:w="1170" w:type="dxa"/>
            <w:vAlign w:val="center"/>
          </w:tcPr>
          <w:p w14:paraId="3D54439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2,559</w:t>
            </w:r>
          </w:p>
        </w:tc>
        <w:tc>
          <w:tcPr>
            <w:tcW w:w="1170" w:type="dxa"/>
            <w:vAlign w:val="center"/>
          </w:tcPr>
          <w:p w14:paraId="64B27C3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2,413</w:t>
            </w:r>
          </w:p>
        </w:tc>
        <w:tc>
          <w:tcPr>
            <w:tcW w:w="1531" w:type="dxa"/>
            <w:shd w:val="clear" w:color="auto" w:fill="auto"/>
            <w:vAlign w:val="center"/>
          </w:tcPr>
          <w:p w14:paraId="2E54C4FE"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2,582</w:t>
            </w:r>
          </w:p>
        </w:tc>
      </w:tr>
      <w:tr w:rsidR="00330772" w:rsidRPr="00330772" w14:paraId="25BF52A0" w14:textId="77777777" w:rsidTr="00987B98">
        <w:trPr>
          <w:trHeight w:val="184"/>
        </w:trPr>
        <w:tc>
          <w:tcPr>
            <w:tcW w:w="4142" w:type="dxa"/>
            <w:shd w:val="clear" w:color="auto" w:fill="auto"/>
            <w:vAlign w:val="center"/>
            <w:hideMark/>
          </w:tcPr>
          <w:p w14:paraId="39A87193"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tours and field days</w:t>
            </w:r>
          </w:p>
        </w:tc>
        <w:tc>
          <w:tcPr>
            <w:tcW w:w="1078" w:type="dxa"/>
            <w:vAlign w:val="center"/>
          </w:tcPr>
          <w:p w14:paraId="0E19E2D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31</w:t>
            </w:r>
          </w:p>
        </w:tc>
        <w:tc>
          <w:tcPr>
            <w:tcW w:w="1080" w:type="dxa"/>
            <w:vAlign w:val="center"/>
          </w:tcPr>
          <w:p w14:paraId="1220A5D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10</w:t>
            </w:r>
          </w:p>
        </w:tc>
        <w:tc>
          <w:tcPr>
            <w:tcW w:w="1170" w:type="dxa"/>
            <w:vAlign w:val="center"/>
          </w:tcPr>
          <w:p w14:paraId="0987822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14</w:t>
            </w:r>
          </w:p>
        </w:tc>
        <w:tc>
          <w:tcPr>
            <w:tcW w:w="1170" w:type="dxa"/>
            <w:vAlign w:val="center"/>
          </w:tcPr>
          <w:p w14:paraId="2E99B3FE"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40</w:t>
            </w:r>
          </w:p>
        </w:tc>
        <w:tc>
          <w:tcPr>
            <w:tcW w:w="1531" w:type="dxa"/>
            <w:shd w:val="clear" w:color="auto" w:fill="auto"/>
            <w:vAlign w:val="center"/>
          </w:tcPr>
          <w:p w14:paraId="599AE13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35</w:t>
            </w:r>
          </w:p>
        </w:tc>
      </w:tr>
      <w:tr w:rsidR="00330772" w:rsidRPr="00330772" w14:paraId="305FE2BA" w14:textId="77777777" w:rsidTr="00987B98">
        <w:trPr>
          <w:trHeight w:val="184"/>
        </w:trPr>
        <w:tc>
          <w:tcPr>
            <w:tcW w:w="4142" w:type="dxa"/>
            <w:tcBorders>
              <w:bottom w:val="single" w:sz="4" w:space="0" w:color="auto"/>
            </w:tcBorders>
            <w:shd w:val="clear" w:color="auto" w:fill="auto"/>
            <w:vAlign w:val="center"/>
            <w:hideMark/>
          </w:tcPr>
          <w:p w14:paraId="37D194D3"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new conservation plant releases from Plant Materials Centers</w:t>
            </w:r>
          </w:p>
        </w:tc>
        <w:tc>
          <w:tcPr>
            <w:tcW w:w="1078" w:type="dxa"/>
            <w:tcBorders>
              <w:bottom w:val="single" w:sz="4" w:space="0" w:color="auto"/>
            </w:tcBorders>
            <w:vAlign w:val="center"/>
          </w:tcPr>
          <w:p w14:paraId="7E472E2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w:t>
            </w:r>
          </w:p>
        </w:tc>
        <w:tc>
          <w:tcPr>
            <w:tcW w:w="1080" w:type="dxa"/>
            <w:tcBorders>
              <w:bottom w:val="single" w:sz="4" w:space="0" w:color="auto"/>
            </w:tcBorders>
            <w:vAlign w:val="center"/>
          </w:tcPr>
          <w:p w14:paraId="0BC37826"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w:t>
            </w:r>
          </w:p>
        </w:tc>
        <w:tc>
          <w:tcPr>
            <w:tcW w:w="1170" w:type="dxa"/>
            <w:tcBorders>
              <w:bottom w:val="single" w:sz="4" w:space="0" w:color="auto"/>
            </w:tcBorders>
            <w:vAlign w:val="center"/>
          </w:tcPr>
          <w:p w14:paraId="64E510C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w:t>
            </w:r>
          </w:p>
        </w:tc>
        <w:tc>
          <w:tcPr>
            <w:tcW w:w="1170" w:type="dxa"/>
            <w:tcBorders>
              <w:bottom w:val="single" w:sz="4" w:space="0" w:color="auto"/>
            </w:tcBorders>
            <w:vAlign w:val="center"/>
          </w:tcPr>
          <w:p w14:paraId="42C0E334"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w:t>
            </w:r>
          </w:p>
        </w:tc>
        <w:tc>
          <w:tcPr>
            <w:tcW w:w="1531" w:type="dxa"/>
            <w:tcBorders>
              <w:bottom w:val="single" w:sz="4" w:space="0" w:color="auto"/>
            </w:tcBorders>
            <w:shd w:val="clear" w:color="auto" w:fill="auto"/>
            <w:vAlign w:val="center"/>
          </w:tcPr>
          <w:p w14:paraId="7CD91DF9"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0</w:t>
            </w:r>
          </w:p>
        </w:tc>
      </w:tr>
      <w:tr w:rsidR="00330772" w:rsidRPr="00330772" w14:paraId="45E0EAF7" w14:textId="77777777" w:rsidTr="00330772">
        <w:trPr>
          <w:trHeight w:val="184"/>
        </w:trPr>
        <w:tc>
          <w:tcPr>
            <w:tcW w:w="4142" w:type="dxa"/>
            <w:shd w:val="clear" w:color="auto" w:fill="DDD9C3"/>
            <w:vAlign w:val="center"/>
            <w:hideMark/>
          </w:tcPr>
          <w:p w14:paraId="6989CA6A" w14:textId="77777777" w:rsidR="00330772" w:rsidRPr="00330772" w:rsidRDefault="00330772" w:rsidP="00330772">
            <w:pPr>
              <w:keepNext/>
              <w:spacing w:before="0" w:after="0"/>
              <w:rPr>
                <w:rFonts w:ascii="Segoe UI Semibold" w:hAnsi="Segoe UI Semibold"/>
                <w:sz w:val="20"/>
                <w:szCs w:val="20"/>
              </w:rPr>
            </w:pPr>
            <w:r w:rsidRPr="00330772">
              <w:rPr>
                <w:rFonts w:ascii="Segoe UI Semibold" w:hAnsi="Segoe UI Semibold"/>
                <w:sz w:val="20"/>
                <w:szCs w:val="20"/>
              </w:rPr>
              <w:t>Conservation Practice Standards</w:t>
            </w:r>
          </w:p>
        </w:tc>
        <w:tc>
          <w:tcPr>
            <w:tcW w:w="1078" w:type="dxa"/>
            <w:shd w:val="clear" w:color="auto" w:fill="DDD9C3"/>
            <w:vAlign w:val="center"/>
          </w:tcPr>
          <w:p w14:paraId="66274455"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0B756C70"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32CDCC52"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1C243225"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33A46C71"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08B838B8" w14:textId="77777777" w:rsidTr="00987B98">
        <w:trPr>
          <w:trHeight w:val="184"/>
        </w:trPr>
        <w:tc>
          <w:tcPr>
            <w:tcW w:w="4142" w:type="dxa"/>
            <w:tcBorders>
              <w:bottom w:val="single" w:sz="4" w:space="0" w:color="auto"/>
            </w:tcBorders>
            <w:shd w:val="clear" w:color="auto" w:fill="auto"/>
            <w:vAlign w:val="center"/>
            <w:hideMark/>
          </w:tcPr>
          <w:p w14:paraId="60A2DD3F"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Development or revision of conservation practice standards</w:t>
            </w:r>
          </w:p>
        </w:tc>
        <w:tc>
          <w:tcPr>
            <w:tcW w:w="1078" w:type="dxa"/>
            <w:tcBorders>
              <w:bottom w:val="single" w:sz="4" w:space="0" w:color="auto"/>
            </w:tcBorders>
            <w:vAlign w:val="center"/>
          </w:tcPr>
          <w:p w14:paraId="630E99B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w:t>
            </w:r>
          </w:p>
        </w:tc>
        <w:tc>
          <w:tcPr>
            <w:tcW w:w="1080" w:type="dxa"/>
            <w:tcBorders>
              <w:bottom w:val="single" w:sz="4" w:space="0" w:color="auto"/>
            </w:tcBorders>
            <w:vAlign w:val="center"/>
          </w:tcPr>
          <w:p w14:paraId="422C0DE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58</w:t>
            </w:r>
          </w:p>
        </w:tc>
        <w:tc>
          <w:tcPr>
            <w:tcW w:w="1170" w:type="dxa"/>
            <w:tcBorders>
              <w:bottom w:val="single" w:sz="4" w:space="0" w:color="auto"/>
            </w:tcBorders>
            <w:vAlign w:val="center"/>
          </w:tcPr>
          <w:p w14:paraId="2F1DF32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28</w:t>
            </w:r>
          </w:p>
        </w:tc>
        <w:tc>
          <w:tcPr>
            <w:tcW w:w="1170" w:type="dxa"/>
            <w:tcBorders>
              <w:bottom w:val="single" w:sz="4" w:space="0" w:color="auto"/>
            </w:tcBorders>
            <w:vAlign w:val="center"/>
          </w:tcPr>
          <w:p w14:paraId="2B067E7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26</w:t>
            </w:r>
          </w:p>
        </w:tc>
        <w:tc>
          <w:tcPr>
            <w:tcW w:w="1531" w:type="dxa"/>
            <w:tcBorders>
              <w:bottom w:val="single" w:sz="4" w:space="0" w:color="auto"/>
            </w:tcBorders>
            <w:shd w:val="clear" w:color="auto" w:fill="auto"/>
            <w:vAlign w:val="center"/>
          </w:tcPr>
          <w:p w14:paraId="332E0D1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18</w:t>
            </w:r>
          </w:p>
        </w:tc>
      </w:tr>
      <w:tr w:rsidR="00330772" w:rsidRPr="00330772" w14:paraId="1AA0853B" w14:textId="77777777" w:rsidTr="00330772">
        <w:trPr>
          <w:trHeight w:val="184"/>
        </w:trPr>
        <w:tc>
          <w:tcPr>
            <w:tcW w:w="4142" w:type="dxa"/>
            <w:shd w:val="clear" w:color="auto" w:fill="DDD9C3"/>
            <w:vAlign w:val="center"/>
            <w:hideMark/>
          </w:tcPr>
          <w:p w14:paraId="1E64A1C5" w14:textId="77777777" w:rsidR="00330772" w:rsidRPr="00330772" w:rsidRDefault="00330772" w:rsidP="00330772">
            <w:pPr>
              <w:keepNext/>
              <w:spacing w:before="0" w:after="0"/>
              <w:rPr>
                <w:rFonts w:ascii="Segoe UI Semibold" w:hAnsi="Segoe UI Semibold"/>
                <w:sz w:val="20"/>
                <w:szCs w:val="20"/>
              </w:rPr>
            </w:pPr>
            <w:r w:rsidRPr="00330772">
              <w:rPr>
                <w:rFonts w:ascii="Segoe UI Semibold" w:hAnsi="Segoe UI Semibold"/>
                <w:sz w:val="20"/>
                <w:szCs w:val="20"/>
              </w:rPr>
              <w:t>Conservation Engineering</w:t>
            </w:r>
          </w:p>
        </w:tc>
        <w:tc>
          <w:tcPr>
            <w:tcW w:w="1078" w:type="dxa"/>
            <w:shd w:val="clear" w:color="auto" w:fill="DDD9C3"/>
            <w:vAlign w:val="center"/>
          </w:tcPr>
          <w:p w14:paraId="159EBB84"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058C6C3B"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7720CC87"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4053409E"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54E2C4B0"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13A404D0" w14:textId="77777777" w:rsidTr="00987B98">
        <w:trPr>
          <w:trHeight w:val="184"/>
        </w:trPr>
        <w:tc>
          <w:tcPr>
            <w:tcW w:w="4142" w:type="dxa"/>
            <w:shd w:val="clear" w:color="auto" w:fill="auto"/>
            <w:vAlign w:val="center"/>
            <w:hideMark/>
          </w:tcPr>
          <w:p w14:paraId="1B23F47D"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talks, conference attendances, speeches, webinars (i.e., other forms of outreach) on Federal technology transfer</w:t>
            </w:r>
          </w:p>
        </w:tc>
        <w:tc>
          <w:tcPr>
            <w:tcW w:w="1078" w:type="dxa"/>
            <w:vAlign w:val="center"/>
          </w:tcPr>
          <w:p w14:paraId="4D6720E6"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0865E7F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w:t>
            </w:r>
          </w:p>
        </w:tc>
        <w:tc>
          <w:tcPr>
            <w:tcW w:w="1170" w:type="dxa"/>
            <w:vAlign w:val="center"/>
          </w:tcPr>
          <w:p w14:paraId="488051A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12</w:t>
            </w:r>
          </w:p>
        </w:tc>
        <w:tc>
          <w:tcPr>
            <w:tcW w:w="1170" w:type="dxa"/>
            <w:shd w:val="clear" w:color="auto" w:fill="auto"/>
            <w:vAlign w:val="center"/>
          </w:tcPr>
          <w:p w14:paraId="7DC987F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10</w:t>
            </w:r>
          </w:p>
        </w:tc>
        <w:tc>
          <w:tcPr>
            <w:tcW w:w="1531" w:type="dxa"/>
            <w:shd w:val="clear" w:color="auto" w:fill="auto"/>
            <w:vAlign w:val="center"/>
          </w:tcPr>
          <w:p w14:paraId="37716106"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10</w:t>
            </w:r>
          </w:p>
        </w:tc>
      </w:tr>
      <w:tr w:rsidR="00330772" w:rsidRPr="00330772" w14:paraId="4DA00394" w14:textId="77777777" w:rsidTr="00987B98">
        <w:trPr>
          <w:trHeight w:val="184"/>
        </w:trPr>
        <w:tc>
          <w:tcPr>
            <w:tcW w:w="4142" w:type="dxa"/>
            <w:tcBorders>
              <w:bottom w:val="single" w:sz="4" w:space="0" w:color="auto"/>
            </w:tcBorders>
            <w:shd w:val="clear" w:color="auto" w:fill="auto"/>
            <w:vAlign w:val="center"/>
            <w:hideMark/>
          </w:tcPr>
          <w:p w14:paraId="16596D0B"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new alliances, (e.g., partnership intermediary agreements, memorandums of understanding, etc.)</w:t>
            </w:r>
          </w:p>
        </w:tc>
        <w:tc>
          <w:tcPr>
            <w:tcW w:w="1078" w:type="dxa"/>
            <w:tcBorders>
              <w:bottom w:val="single" w:sz="4" w:space="0" w:color="auto"/>
            </w:tcBorders>
            <w:vAlign w:val="center"/>
          </w:tcPr>
          <w:p w14:paraId="7FB8EB6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tcBorders>
              <w:bottom w:val="single" w:sz="4" w:space="0" w:color="auto"/>
            </w:tcBorders>
            <w:vAlign w:val="center"/>
          </w:tcPr>
          <w:p w14:paraId="742CA9C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w:t>
            </w:r>
          </w:p>
        </w:tc>
        <w:tc>
          <w:tcPr>
            <w:tcW w:w="1170" w:type="dxa"/>
            <w:tcBorders>
              <w:bottom w:val="single" w:sz="4" w:space="0" w:color="auto"/>
            </w:tcBorders>
            <w:vAlign w:val="center"/>
          </w:tcPr>
          <w:p w14:paraId="707A612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0</w:t>
            </w:r>
          </w:p>
        </w:tc>
        <w:tc>
          <w:tcPr>
            <w:tcW w:w="1170" w:type="dxa"/>
            <w:tcBorders>
              <w:bottom w:val="single" w:sz="4" w:space="0" w:color="auto"/>
            </w:tcBorders>
            <w:shd w:val="clear" w:color="auto" w:fill="auto"/>
            <w:vAlign w:val="center"/>
          </w:tcPr>
          <w:p w14:paraId="21EE0CF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w:t>
            </w:r>
          </w:p>
        </w:tc>
        <w:tc>
          <w:tcPr>
            <w:tcW w:w="1531" w:type="dxa"/>
            <w:tcBorders>
              <w:bottom w:val="single" w:sz="4" w:space="0" w:color="auto"/>
            </w:tcBorders>
            <w:shd w:val="clear" w:color="auto" w:fill="auto"/>
            <w:vAlign w:val="center"/>
          </w:tcPr>
          <w:p w14:paraId="4474BDBE"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w:t>
            </w:r>
          </w:p>
        </w:tc>
      </w:tr>
      <w:tr w:rsidR="00330772" w:rsidRPr="00330772" w14:paraId="20E3ECD2" w14:textId="77777777" w:rsidTr="00330772">
        <w:trPr>
          <w:trHeight w:val="184"/>
        </w:trPr>
        <w:tc>
          <w:tcPr>
            <w:tcW w:w="4142" w:type="dxa"/>
            <w:shd w:val="clear" w:color="auto" w:fill="DDD9C3"/>
            <w:vAlign w:val="center"/>
            <w:hideMark/>
          </w:tcPr>
          <w:p w14:paraId="0EB631A4" w14:textId="77777777" w:rsidR="00330772" w:rsidRPr="00330772" w:rsidRDefault="00330772" w:rsidP="00330772">
            <w:pPr>
              <w:keepNext/>
              <w:keepLines/>
              <w:spacing w:before="0" w:after="0"/>
              <w:rPr>
                <w:rFonts w:ascii="Segoe UI Semibold" w:eastAsia="Times New Roman" w:hAnsi="Segoe UI Semibold"/>
                <w:sz w:val="20"/>
                <w:szCs w:val="20"/>
              </w:rPr>
            </w:pPr>
            <w:r w:rsidRPr="00330772">
              <w:rPr>
                <w:rFonts w:ascii="Segoe UI Semibold" w:hAnsi="Segoe UI Semibold"/>
                <w:sz w:val="20"/>
                <w:szCs w:val="20"/>
              </w:rPr>
              <w:t>National Technology Support Centers</w:t>
            </w:r>
          </w:p>
        </w:tc>
        <w:tc>
          <w:tcPr>
            <w:tcW w:w="1078" w:type="dxa"/>
            <w:shd w:val="clear" w:color="auto" w:fill="DDD9C3"/>
            <w:vAlign w:val="center"/>
          </w:tcPr>
          <w:p w14:paraId="7E9B1121"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1DED13CE"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2B1D8035"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25CC37D7"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2686EAA1"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53D7D915" w14:textId="77777777" w:rsidTr="00987B98">
        <w:trPr>
          <w:trHeight w:val="184"/>
        </w:trPr>
        <w:tc>
          <w:tcPr>
            <w:tcW w:w="4142" w:type="dxa"/>
            <w:shd w:val="clear" w:color="auto" w:fill="auto"/>
            <w:vAlign w:val="center"/>
            <w:hideMark/>
          </w:tcPr>
          <w:p w14:paraId="6300EEF5" w14:textId="77777777" w:rsidR="00330772" w:rsidRPr="00330772" w:rsidRDefault="00330772" w:rsidP="00330772">
            <w:pPr>
              <w:keepNext/>
              <w:keepLines/>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publications by scientific or technology transfer staff</w:t>
            </w:r>
          </w:p>
        </w:tc>
        <w:tc>
          <w:tcPr>
            <w:tcW w:w="1078" w:type="dxa"/>
            <w:vAlign w:val="center"/>
          </w:tcPr>
          <w:p w14:paraId="35DC0F76"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5649EF44"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w:t>
            </w:r>
          </w:p>
        </w:tc>
        <w:tc>
          <w:tcPr>
            <w:tcW w:w="1170" w:type="dxa"/>
            <w:vAlign w:val="center"/>
          </w:tcPr>
          <w:p w14:paraId="6D6CF5E4"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21</w:t>
            </w:r>
          </w:p>
        </w:tc>
        <w:tc>
          <w:tcPr>
            <w:tcW w:w="1170" w:type="dxa"/>
            <w:vAlign w:val="center"/>
          </w:tcPr>
          <w:p w14:paraId="08222524"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13</w:t>
            </w:r>
          </w:p>
        </w:tc>
        <w:tc>
          <w:tcPr>
            <w:tcW w:w="1531" w:type="dxa"/>
            <w:shd w:val="clear" w:color="auto" w:fill="auto"/>
            <w:vAlign w:val="center"/>
          </w:tcPr>
          <w:p w14:paraId="20F78C8E"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w:t>
            </w:r>
          </w:p>
        </w:tc>
      </w:tr>
      <w:tr w:rsidR="00330772" w:rsidRPr="00330772" w14:paraId="3536D26D" w14:textId="77777777" w:rsidTr="00987B98">
        <w:trPr>
          <w:trHeight w:val="184"/>
        </w:trPr>
        <w:tc>
          <w:tcPr>
            <w:tcW w:w="4142" w:type="dxa"/>
            <w:tcBorders>
              <w:bottom w:val="single" w:sz="4" w:space="0" w:color="auto"/>
            </w:tcBorders>
            <w:shd w:val="clear" w:color="auto" w:fill="auto"/>
            <w:vAlign w:val="center"/>
            <w:hideMark/>
          </w:tcPr>
          <w:p w14:paraId="1AAFEEFF" w14:textId="77777777" w:rsidR="00330772" w:rsidRPr="00330772" w:rsidRDefault="00330772" w:rsidP="00330772">
            <w:pPr>
              <w:keepNext/>
              <w:keepLines/>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talks, conference attendances, speeches, training sessions, webinars (i.e., other forms of outreach)</w:t>
            </w:r>
          </w:p>
        </w:tc>
        <w:tc>
          <w:tcPr>
            <w:tcW w:w="1078" w:type="dxa"/>
            <w:tcBorders>
              <w:bottom w:val="single" w:sz="4" w:space="0" w:color="auto"/>
            </w:tcBorders>
            <w:vAlign w:val="center"/>
          </w:tcPr>
          <w:p w14:paraId="6A70637B"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tcBorders>
              <w:bottom w:val="single" w:sz="4" w:space="0" w:color="auto"/>
            </w:tcBorders>
            <w:vAlign w:val="center"/>
          </w:tcPr>
          <w:p w14:paraId="74A56462"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w:t>
            </w:r>
          </w:p>
        </w:tc>
        <w:tc>
          <w:tcPr>
            <w:tcW w:w="1170" w:type="dxa"/>
            <w:tcBorders>
              <w:bottom w:val="single" w:sz="4" w:space="0" w:color="auto"/>
            </w:tcBorders>
            <w:vAlign w:val="center"/>
          </w:tcPr>
          <w:p w14:paraId="080909BA"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53</w:t>
            </w:r>
          </w:p>
        </w:tc>
        <w:tc>
          <w:tcPr>
            <w:tcW w:w="1170" w:type="dxa"/>
            <w:tcBorders>
              <w:bottom w:val="single" w:sz="4" w:space="0" w:color="auto"/>
            </w:tcBorders>
            <w:vAlign w:val="center"/>
          </w:tcPr>
          <w:p w14:paraId="5DC6DD70"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250</w:t>
            </w:r>
          </w:p>
        </w:tc>
        <w:tc>
          <w:tcPr>
            <w:tcW w:w="1531" w:type="dxa"/>
            <w:tcBorders>
              <w:bottom w:val="single" w:sz="4" w:space="0" w:color="auto"/>
            </w:tcBorders>
            <w:shd w:val="clear" w:color="auto" w:fill="auto"/>
            <w:vAlign w:val="center"/>
          </w:tcPr>
          <w:p w14:paraId="312A0CB9" w14:textId="77777777" w:rsidR="00330772" w:rsidRPr="00330772" w:rsidRDefault="00330772" w:rsidP="00330772">
            <w:pPr>
              <w:keepNext/>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w:t>
            </w:r>
          </w:p>
        </w:tc>
      </w:tr>
      <w:tr w:rsidR="00330772" w:rsidRPr="00330772" w14:paraId="0A18DEA9" w14:textId="77777777" w:rsidTr="00330772">
        <w:trPr>
          <w:trHeight w:val="184"/>
        </w:trPr>
        <w:tc>
          <w:tcPr>
            <w:tcW w:w="4142" w:type="dxa"/>
            <w:shd w:val="clear" w:color="auto" w:fill="DDD9C3"/>
            <w:vAlign w:val="center"/>
            <w:hideMark/>
          </w:tcPr>
          <w:p w14:paraId="13336270" w14:textId="77777777" w:rsidR="00330772" w:rsidRPr="00330772" w:rsidRDefault="00330772" w:rsidP="00330772">
            <w:pPr>
              <w:keepNext/>
              <w:spacing w:before="0" w:after="0"/>
              <w:rPr>
                <w:rFonts w:ascii="Segoe UI Semibold" w:eastAsia="Times New Roman" w:hAnsi="Segoe UI Semibold"/>
                <w:sz w:val="20"/>
                <w:szCs w:val="20"/>
              </w:rPr>
            </w:pPr>
            <w:r w:rsidRPr="00330772">
              <w:rPr>
                <w:rFonts w:ascii="Segoe UI Semibold" w:hAnsi="Segoe UI Semibold"/>
                <w:sz w:val="20"/>
                <w:szCs w:val="20"/>
              </w:rPr>
              <w:t>Science and Technology Training Library</w:t>
            </w:r>
          </w:p>
        </w:tc>
        <w:tc>
          <w:tcPr>
            <w:tcW w:w="1078" w:type="dxa"/>
            <w:shd w:val="clear" w:color="auto" w:fill="DDD9C3"/>
            <w:vAlign w:val="center"/>
          </w:tcPr>
          <w:p w14:paraId="35541710"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76059960"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4FD9EC8A"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76543CED"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18B2454A"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30FE1FF1" w14:textId="77777777" w:rsidTr="00987B98">
        <w:trPr>
          <w:trHeight w:val="184"/>
        </w:trPr>
        <w:tc>
          <w:tcPr>
            <w:tcW w:w="4142" w:type="dxa"/>
            <w:shd w:val="clear" w:color="auto" w:fill="auto"/>
            <w:vAlign w:val="center"/>
            <w:hideMark/>
          </w:tcPr>
          <w:p w14:paraId="7722A466"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hAnsi="Segoe UI" w:cs="Arial"/>
                <w:color w:val="000000"/>
                <w:sz w:val="20"/>
                <w:szCs w:val="20"/>
              </w:rPr>
              <w:t>Number of new webinars hosted</w:t>
            </w:r>
          </w:p>
        </w:tc>
        <w:tc>
          <w:tcPr>
            <w:tcW w:w="1078" w:type="dxa"/>
            <w:vAlign w:val="center"/>
          </w:tcPr>
          <w:p w14:paraId="0709E74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21FB2D6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35</w:t>
            </w:r>
          </w:p>
        </w:tc>
        <w:tc>
          <w:tcPr>
            <w:tcW w:w="1170" w:type="dxa"/>
            <w:vAlign w:val="center"/>
          </w:tcPr>
          <w:p w14:paraId="3C094CE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35</w:t>
            </w:r>
          </w:p>
        </w:tc>
        <w:tc>
          <w:tcPr>
            <w:tcW w:w="1170" w:type="dxa"/>
            <w:vAlign w:val="center"/>
          </w:tcPr>
          <w:p w14:paraId="4BD882F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31</w:t>
            </w:r>
          </w:p>
        </w:tc>
        <w:tc>
          <w:tcPr>
            <w:tcW w:w="1531" w:type="dxa"/>
            <w:shd w:val="clear" w:color="auto" w:fill="auto"/>
            <w:vAlign w:val="center"/>
          </w:tcPr>
          <w:p w14:paraId="4C248B3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34</w:t>
            </w:r>
          </w:p>
        </w:tc>
      </w:tr>
      <w:tr w:rsidR="00330772" w:rsidRPr="00330772" w14:paraId="43F4DC0F" w14:textId="77777777" w:rsidTr="00987B98">
        <w:trPr>
          <w:trHeight w:val="184"/>
        </w:trPr>
        <w:tc>
          <w:tcPr>
            <w:tcW w:w="4142" w:type="dxa"/>
            <w:shd w:val="clear" w:color="auto" w:fill="auto"/>
            <w:vAlign w:val="center"/>
            <w:hideMark/>
          </w:tcPr>
          <w:p w14:paraId="201C1B4C"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hAnsi="Segoe UI" w:cs="Arial"/>
                <w:color w:val="000000"/>
                <w:sz w:val="20"/>
                <w:szCs w:val="20"/>
              </w:rPr>
              <w:lastRenderedPageBreak/>
              <w:t>Number of participants who viewed webinars and training in the Training Library</w:t>
            </w:r>
          </w:p>
        </w:tc>
        <w:tc>
          <w:tcPr>
            <w:tcW w:w="1078" w:type="dxa"/>
            <w:vAlign w:val="center"/>
          </w:tcPr>
          <w:p w14:paraId="714FF5A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239090C4"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9,884</w:t>
            </w:r>
          </w:p>
        </w:tc>
        <w:tc>
          <w:tcPr>
            <w:tcW w:w="1170" w:type="dxa"/>
            <w:vAlign w:val="center"/>
          </w:tcPr>
          <w:p w14:paraId="7C0E7B8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35,019</w:t>
            </w:r>
          </w:p>
        </w:tc>
        <w:tc>
          <w:tcPr>
            <w:tcW w:w="1170" w:type="dxa"/>
            <w:vAlign w:val="center"/>
          </w:tcPr>
          <w:p w14:paraId="52A6D3F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32,937</w:t>
            </w:r>
          </w:p>
        </w:tc>
        <w:tc>
          <w:tcPr>
            <w:tcW w:w="1531" w:type="dxa"/>
            <w:shd w:val="clear" w:color="auto" w:fill="auto"/>
            <w:vAlign w:val="center"/>
          </w:tcPr>
          <w:p w14:paraId="651DD15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14,762</w:t>
            </w:r>
          </w:p>
        </w:tc>
      </w:tr>
      <w:tr w:rsidR="00330772" w:rsidRPr="00330772" w14:paraId="6A22780A" w14:textId="77777777" w:rsidTr="00987B98">
        <w:trPr>
          <w:trHeight w:val="184"/>
        </w:trPr>
        <w:tc>
          <w:tcPr>
            <w:tcW w:w="4142" w:type="dxa"/>
            <w:tcBorders>
              <w:bottom w:val="single" w:sz="4" w:space="0" w:color="auto"/>
            </w:tcBorders>
            <w:shd w:val="clear" w:color="auto" w:fill="auto"/>
            <w:vAlign w:val="center"/>
            <w:hideMark/>
          </w:tcPr>
          <w:p w14:paraId="23AB030B"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hAnsi="Segoe UI" w:cs="Arial"/>
                <w:color w:val="000000"/>
                <w:sz w:val="20"/>
                <w:szCs w:val="20"/>
              </w:rPr>
              <w:t>Number of continuing education units</w:t>
            </w:r>
          </w:p>
        </w:tc>
        <w:tc>
          <w:tcPr>
            <w:tcW w:w="1078" w:type="dxa"/>
            <w:tcBorders>
              <w:bottom w:val="single" w:sz="4" w:space="0" w:color="auto"/>
            </w:tcBorders>
            <w:vAlign w:val="center"/>
          </w:tcPr>
          <w:p w14:paraId="72A07D6F"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tcBorders>
              <w:bottom w:val="single" w:sz="4" w:space="0" w:color="auto"/>
            </w:tcBorders>
            <w:vAlign w:val="center"/>
          </w:tcPr>
          <w:p w14:paraId="11F8ED4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2,176</w:t>
            </w:r>
          </w:p>
        </w:tc>
        <w:tc>
          <w:tcPr>
            <w:tcW w:w="1170" w:type="dxa"/>
            <w:tcBorders>
              <w:bottom w:val="single" w:sz="4" w:space="0" w:color="auto"/>
            </w:tcBorders>
            <w:vAlign w:val="center"/>
          </w:tcPr>
          <w:p w14:paraId="15B2C00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9,617</w:t>
            </w:r>
          </w:p>
        </w:tc>
        <w:tc>
          <w:tcPr>
            <w:tcW w:w="1170" w:type="dxa"/>
            <w:tcBorders>
              <w:bottom w:val="single" w:sz="4" w:space="0" w:color="auto"/>
            </w:tcBorders>
            <w:vAlign w:val="center"/>
          </w:tcPr>
          <w:p w14:paraId="057E08E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8,461</w:t>
            </w:r>
          </w:p>
        </w:tc>
        <w:tc>
          <w:tcPr>
            <w:tcW w:w="1531" w:type="dxa"/>
            <w:tcBorders>
              <w:bottom w:val="single" w:sz="4" w:space="0" w:color="auto"/>
            </w:tcBorders>
            <w:shd w:val="clear" w:color="auto" w:fill="auto"/>
            <w:vAlign w:val="center"/>
          </w:tcPr>
          <w:p w14:paraId="4F28C536"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7,794</w:t>
            </w:r>
          </w:p>
        </w:tc>
      </w:tr>
      <w:tr w:rsidR="00330772" w:rsidRPr="00330772" w14:paraId="6B0417B1" w14:textId="77777777" w:rsidTr="00330772">
        <w:trPr>
          <w:trHeight w:val="184"/>
        </w:trPr>
        <w:tc>
          <w:tcPr>
            <w:tcW w:w="4142" w:type="dxa"/>
            <w:shd w:val="clear" w:color="auto" w:fill="DDD9C3"/>
            <w:vAlign w:val="center"/>
            <w:hideMark/>
          </w:tcPr>
          <w:p w14:paraId="47640627" w14:textId="77777777" w:rsidR="00330772" w:rsidRPr="00330772" w:rsidRDefault="00330772" w:rsidP="00330772">
            <w:pPr>
              <w:keepNext/>
              <w:spacing w:before="0" w:after="0"/>
              <w:rPr>
                <w:rFonts w:ascii="Segoe UI Semibold" w:hAnsi="Segoe UI Semibold"/>
                <w:sz w:val="20"/>
                <w:szCs w:val="20"/>
              </w:rPr>
            </w:pPr>
            <w:r w:rsidRPr="00330772">
              <w:rPr>
                <w:rFonts w:ascii="Segoe UI Semibold" w:hAnsi="Segoe UI Semibold"/>
                <w:sz w:val="20"/>
                <w:szCs w:val="20"/>
              </w:rPr>
              <w:t>Soil Health</w:t>
            </w:r>
          </w:p>
        </w:tc>
        <w:tc>
          <w:tcPr>
            <w:tcW w:w="1078" w:type="dxa"/>
            <w:shd w:val="clear" w:color="auto" w:fill="DDD9C3"/>
            <w:vAlign w:val="center"/>
          </w:tcPr>
          <w:p w14:paraId="634CDCEF"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16C4A3B4"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10C8F2EE"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081C5354"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41B58034"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22BBC705" w14:textId="77777777" w:rsidTr="00987B98">
        <w:trPr>
          <w:trHeight w:val="184"/>
        </w:trPr>
        <w:tc>
          <w:tcPr>
            <w:tcW w:w="4142" w:type="dxa"/>
            <w:shd w:val="clear" w:color="auto" w:fill="auto"/>
            <w:vAlign w:val="center"/>
            <w:hideMark/>
          </w:tcPr>
          <w:p w14:paraId="170DC21C" w14:textId="77777777" w:rsidR="00330772" w:rsidRPr="00330772" w:rsidRDefault="00330772" w:rsidP="00330772">
            <w:pPr>
              <w:overflowPunct w:val="0"/>
              <w:autoSpaceDE w:val="0"/>
              <w:autoSpaceDN w:val="0"/>
              <w:adjustRightInd w:val="0"/>
              <w:spacing w:before="0" w:after="0"/>
              <w:textAlignment w:val="baseline"/>
              <w:rPr>
                <w:rFonts w:ascii="Segoe UI" w:hAnsi="Segoe UI" w:cs="Arial"/>
                <w:color w:val="000000"/>
                <w:sz w:val="20"/>
                <w:szCs w:val="20"/>
              </w:rPr>
            </w:pPr>
            <w:r w:rsidRPr="00330772">
              <w:rPr>
                <w:rFonts w:ascii="Segoe UI" w:eastAsia="Times New Roman" w:hAnsi="Segoe UI" w:cs="Arial"/>
                <w:color w:val="000000"/>
                <w:sz w:val="20"/>
                <w:szCs w:val="20"/>
              </w:rPr>
              <w:t>Number of publications by scientific or technology transfer staff</w:t>
            </w:r>
          </w:p>
        </w:tc>
        <w:tc>
          <w:tcPr>
            <w:tcW w:w="1078" w:type="dxa"/>
            <w:vAlign w:val="center"/>
          </w:tcPr>
          <w:p w14:paraId="05DC79B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763687F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117</w:t>
            </w:r>
          </w:p>
        </w:tc>
        <w:tc>
          <w:tcPr>
            <w:tcW w:w="1170" w:type="dxa"/>
            <w:vAlign w:val="center"/>
          </w:tcPr>
          <w:p w14:paraId="250B262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97</w:t>
            </w:r>
          </w:p>
        </w:tc>
        <w:tc>
          <w:tcPr>
            <w:tcW w:w="1170" w:type="dxa"/>
            <w:vAlign w:val="center"/>
          </w:tcPr>
          <w:p w14:paraId="37C3D07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73</w:t>
            </w:r>
          </w:p>
        </w:tc>
        <w:tc>
          <w:tcPr>
            <w:tcW w:w="1531" w:type="dxa"/>
            <w:shd w:val="clear" w:color="auto" w:fill="auto"/>
            <w:vAlign w:val="center"/>
          </w:tcPr>
          <w:p w14:paraId="6E21D380"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72</w:t>
            </w:r>
          </w:p>
        </w:tc>
      </w:tr>
      <w:tr w:rsidR="00330772" w:rsidRPr="00330772" w14:paraId="5B627C45" w14:textId="77777777" w:rsidTr="00987B98">
        <w:trPr>
          <w:trHeight w:val="184"/>
        </w:trPr>
        <w:tc>
          <w:tcPr>
            <w:tcW w:w="4142" w:type="dxa"/>
            <w:shd w:val="clear" w:color="auto" w:fill="auto"/>
            <w:vAlign w:val="center"/>
            <w:hideMark/>
          </w:tcPr>
          <w:p w14:paraId="18CEC57D" w14:textId="77777777" w:rsidR="00330772" w:rsidRPr="00330772" w:rsidRDefault="00330772" w:rsidP="00330772">
            <w:pPr>
              <w:overflowPunct w:val="0"/>
              <w:autoSpaceDE w:val="0"/>
              <w:autoSpaceDN w:val="0"/>
              <w:adjustRightInd w:val="0"/>
              <w:spacing w:before="0" w:after="0"/>
              <w:textAlignment w:val="baseline"/>
              <w:rPr>
                <w:rFonts w:ascii="Segoe UI" w:hAnsi="Segoe UI" w:cs="Arial"/>
                <w:color w:val="000000"/>
                <w:sz w:val="20"/>
                <w:szCs w:val="20"/>
              </w:rPr>
            </w:pPr>
            <w:r w:rsidRPr="00330772">
              <w:rPr>
                <w:rFonts w:ascii="Segoe UI" w:eastAsia="Times New Roman" w:hAnsi="Segoe UI" w:cs="Arial"/>
                <w:color w:val="000000"/>
                <w:sz w:val="20"/>
                <w:szCs w:val="20"/>
              </w:rPr>
              <w:t>Number of talks, conference attendances, speeches, webinars (i.e., other forms of outreach) on Federal technology transfer</w:t>
            </w:r>
          </w:p>
        </w:tc>
        <w:tc>
          <w:tcPr>
            <w:tcW w:w="1078" w:type="dxa"/>
            <w:vAlign w:val="center"/>
          </w:tcPr>
          <w:p w14:paraId="4F7B0881"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3E020A44"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204</w:t>
            </w:r>
          </w:p>
        </w:tc>
        <w:tc>
          <w:tcPr>
            <w:tcW w:w="1170" w:type="dxa"/>
            <w:vAlign w:val="center"/>
          </w:tcPr>
          <w:p w14:paraId="6F509E8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91</w:t>
            </w:r>
          </w:p>
        </w:tc>
        <w:tc>
          <w:tcPr>
            <w:tcW w:w="1170" w:type="dxa"/>
            <w:vAlign w:val="center"/>
          </w:tcPr>
          <w:p w14:paraId="02DE9A5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110</w:t>
            </w:r>
          </w:p>
        </w:tc>
        <w:tc>
          <w:tcPr>
            <w:tcW w:w="1531" w:type="dxa"/>
            <w:shd w:val="clear" w:color="auto" w:fill="auto"/>
            <w:vAlign w:val="center"/>
          </w:tcPr>
          <w:p w14:paraId="30D44B8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230</w:t>
            </w:r>
          </w:p>
        </w:tc>
      </w:tr>
      <w:tr w:rsidR="00330772" w:rsidRPr="00330772" w14:paraId="7E682948" w14:textId="77777777" w:rsidTr="00987B98">
        <w:trPr>
          <w:trHeight w:val="184"/>
        </w:trPr>
        <w:tc>
          <w:tcPr>
            <w:tcW w:w="4142" w:type="dxa"/>
            <w:shd w:val="clear" w:color="auto" w:fill="auto"/>
            <w:vAlign w:val="center"/>
            <w:hideMark/>
          </w:tcPr>
          <w:p w14:paraId="6C464811"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hAnsi="Segoe UI" w:cs="Arial"/>
                <w:color w:val="000000"/>
                <w:sz w:val="20"/>
                <w:szCs w:val="20"/>
              </w:rPr>
              <w:t>Number of participants who viewed webinars</w:t>
            </w:r>
          </w:p>
        </w:tc>
        <w:tc>
          <w:tcPr>
            <w:tcW w:w="1078" w:type="dxa"/>
            <w:vAlign w:val="center"/>
          </w:tcPr>
          <w:p w14:paraId="5F47AEAF"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5C0548D0"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5,203</w:t>
            </w:r>
          </w:p>
        </w:tc>
        <w:tc>
          <w:tcPr>
            <w:tcW w:w="1170" w:type="dxa"/>
            <w:vAlign w:val="center"/>
          </w:tcPr>
          <w:p w14:paraId="51C73A3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6,457</w:t>
            </w:r>
          </w:p>
        </w:tc>
        <w:tc>
          <w:tcPr>
            <w:tcW w:w="1170" w:type="dxa"/>
            <w:vAlign w:val="center"/>
          </w:tcPr>
          <w:p w14:paraId="631123F9"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4,507</w:t>
            </w:r>
          </w:p>
        </w:tc>
        <w:tc>
          <w:tcPr>
            <w:tcW w:w="1531" w:type="dxa"/>
            <w:shd w:val="clear" w:color="auto" w:fill="auto"/>
            <w:vAlign w:val="center"/>
          </w:tcPr>
          <w:p w14:paraId="239DF90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8,037</w:t>
            </w:r>
          </w:p>
        </w:tc>
      </w:tr>
      <w:tr w:rsidR="00330772" w:rsidRPr="00330772" w14:paraId="544F8050" w14:textId="77777777" w:rsidTr="00987B98">
        <w:trPr>
          <w:trHeight w:val="184"/>
        </w:trPr>
        <w:tc>
          <w:tcPr>
            <w:tcW w:w="4142" w:type="dxa"/>
            <w:tcBorders>
              <w:bottom w:val="single" w:sz="4" w:space="0" w:color="auto"/>
            </w:tcBorders>
            <w:shd w:val="clear" w:color="auto" w:fill="auto"/>
            <w:vAlign w:val="center"/>
            <w:hideMark/>
          </w:tcPr>
          <w:p w14:paraId="7D04ACE2" w14:textId="77777777" w:rsidR="00330772" w:rsidRPr="00330772" w:rsidRDefault="00330772" w:rsidP="00330772">
            <w:pPr>
              <w:overflowPunct w:val="0"/>
              <w:autoSpaceDE w:val="0"/>
              <w:autoSpaceDN w:val="0"/>
              <w:adjustRightInd w:val="0"/>
              <w:spacing w:before="0" w:after="0"/>
              <w:textAlignment w:val="baseline"/>
              <w:rPr>
                <w:rFonts w:ascii="Segoe UI" w:hAnsi="Segoe UI" w:cs="Arial"/>
                <w:color w:val="000000"/>
                <w:sz w:val="20"/>
                <w:szCs w:val="20"/>
              </w:rPr>
            </w:pPr>
            <w:r w:rsidRPr="00330772">
              <w:rPr>
                <w:rFonts w:ascii="Segoe UI" w:eastAsia="Times New Roman" w:hAnsi="Segoe UI" w:cs="Arial"/>
                <w:color w:val="000000"/>
                <w:sz w:val="20"/>
                <w:szCs w:val="20"/>
              </w:rPr>
              <w:t>Number of demonstrations and field days</w:t>
            </w:r>
          </w:p>
        </w:tc>
        <w:tc>
          <w:tcPr>
            <w:tcW w:w="1078" w:type="dxa"/>
            <w:tcBorders>
              <w:bottom w:val="single" w:sz="4" w:space="0" w:color="auto"/>
            </w:tcBorders>
            <w:vAlign w:val="center"/>
          </w:tcPr>
          <w:p w14:paraId="3769528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tcBorders>
              <w:bottom w:val="single" w:sz="4" w:space="0" w:color="auto"/>
            </w:tcBorders>
            <w:vAlign w:val="center"/>
          </w:tcPr>
          <w:p w14:paraId="5E8F418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184</w:t>
            </w:r>
          </w:p>
        </w:tc>
        <w:tc>
          <w:tcPr>
            <w:tcW w:w="1170" w:type="dxa"/>
            <w:tcBorders>
              <w:bottom w:val="single" w:sz="4" w:space="0" w:color="auto"/>
            </w:tcBorders>
            <w:vAlign w:val="center"/>
          </w:tcPr>
          <w:p w14:paraId="38D1E55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41</w:t>
            </w:r>
          </w:p>
        </w:tc>
        <w:tc>
          <w:tcPr>
            <w:tcW w:w="1170" w:type="dxa"/>
            <w:tcBorders>
              <w:bottom w:val="single" w:sz="4" w:space="0" w:color="auto"/>
            </w:tcBorders>
            <w:vAlign w:val="center"/>
          </w:tcPr>
          <w:p w14:paraId="6758C3E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45</w:t>
            </w:r>
          </w:p>
        </w:tc>
        <w:tc>
          <w:tcPr>
            <w:tcW w:w="1531" w:type="dxa"/>
            <w:tcBorders>
              <w:bottom w:val="single" w:sz="4" w:space="0" w:color="auto"/>
            </w:tcBorders>
            <w:shd w:val="clear" w:color="auto" w:fill="auto"/>
            <w:vAlign w:val="center"/>
          </w:tcPr>
          <w:p w14:paraId="53613C34"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149</w:t>
            </w:r>
          </w:p>
        </w:tc>
      </w:tr>
      <w:tr w:rsidR="00330772" w:rsidRPr="00330772" w14:paraId="157AA1C1" w14:textId="77777777" w:rsidTr="00987B98">
        <w:trPr>
          <w:trHeight w:val="184"/>
        </w:trPr>
        <w:tc>
          <w:tcPr>
            <w:tcW w:w="4142" w:type="dxa"/>
            <w:tcBorders>
              <w:bottom w:val="single" w:sz="4" w:space="0" w:color="auto"/>
            </w:tcBorders>
            <w:shd w:val="clear" w:color="auto" w:fill="auto"/>
            <w:vAlign w:val="center"/>
          </w:tcPr>
          <w:p w14:paraId="08FA6CB6"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partner meetings held</w:t>
            </w:r>
          </w:p>
        </w:tc>
        <w:tc>
          <w:tcPr>
            <w:tcW w:w="1078" w:type="dxa"/>
            <w:tcBorders>
              <w:bottom w:val="single" w:sz="4" w:space="0" w:color="auto"/>
            </w:tcBorders>
            <w:vAlign w:val="center"/>
          </w:tcPr>
          <w:p w14:paraId="0A2927F6"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tcBorders>
              <w:bottom w:val="single" w:sz="4" w:space="0" w:color="auto"/>
            </w:tcBorders>
            <w:vAlign w:val="center"/>
          </w:tcPr>
          <w:p w14:paraId="67EEB16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170" w:type="dxa"/>
            <w:tcBorders>
              <w:bottom w:val="single" w:sz="4" w:space="0" w:color="auto"/>
            </w:tcBorders>
            <w:vAlign w:val="center"/>
          </w:tcPr>
          <w:p w14:paraId="4B19911E"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170" w:type="dxa"/>
            <w:tcBorders>
              <w:bottom w:val="single" w:sz="4" w:space="0" w:color="auto"/>
            </w:tcBorders>
            <w:vAlign w:val="center"/>
          </w:tcPr>
          <w:p w14:paraId="2EE102A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531" w:type="dxa"/>
            <w:tcBorders>
              <w:bottom w:val="single" w:sz="4" w:space="0" w:color="auto"/>
            </w:tcBorders>
            <w:shd w:val="clear" w:color="auto" w:fill="auto"/>
            <w:vAlign w:val="center"/>
          </w:tcPr>
          <w:p w14:paraId="09301AA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163</w:t>
            </w:r>
          </w:p>
        </w:tc>
      </w:tr>
      <w:tr w:rsidR="00330772" w:rsidRPr="00330772" w14:paraId="11147A58" w14:textId="77777777" w:rsidTr="00330772">
        <w:trPr>
          <w:trHeight w:val="184"/>
        </w:trPr>
        <w:tc>
          <w:tcPr>
            <w:tcW w:w="4142" w:type="dxa"/>
            <w:shd w:val="clear" w:color="auto" w:fill="DDD9C3"/>
            <w:vAlign w:val="center"/>
            <w:hideMark/>
          </w:tcPr>
          <w:p w14:paraId="1C9C27FB" w14:textId="77777777" w:rsidR="00330772" w:rsidRPr="00330772" w:rsidRDefault="00330772" w:rsidP="00330772">
            <w:pPr>
              <w:keepNext/>
              <w:spacing w:before="0" w:after="0"/>
              <w:rPr>
                <w:rFonts w:ascii="Segoe UI Semibold" w:hAnsi="Segoe UI Semibold"/>
                <w:sz w:val="20"/>
                <w:szCs w:val="20"/>
              </w:rPr>
            </w:pPr>
            <w:r w:rsidRPr="00330772">
              <w:rPr>
                <w:rFonts w:ascii="Segoe UI Semibold" w:hAnsi="Segoe UI Semibold"/>
                <w:sz w:val="20"/>
                <w:szCs w:val="20"/>
              </w:rPr>
              <w:t>Snow Survey and Water Supply Forecasting</w:t>
            </w:r>
          </w:p>
        </w:tc>
        <w:tc>
          <w:tcPr>
            <w:tcW w:w="1078" w:type="dxa"/>
            <w:shd w:val="clear" w:color="auto" w:fill="DDD9C3"/>
            <w:vAlign w:val="center"/>
          </w:tcPr>
          <w:p w14:paraId="2DB68ADF"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4EFA59D0"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7554615E"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41284710"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413B0AA7"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0EC5333C" w14:textId="77777777" w:rsidTr="00987B98">
        <w:trPr>
          <w:trHeight w:val="184"/>
        </w:trPr>
        <w:tc>
          <w:tcPr>
            <w:tcW w:w="4142" w:type="dxa"/>
            <w:shd w:val="clear" w:color="auto" w:fill="auto"/>
            <w:vAlign w:val="center"/>
            <w:hideMark/>
          </w:tcPr>
          <w:p w14:paraId="59A634FE"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publications by scientific or technology transfer staff</w:t>
            </w:r>
          </w:p>
        </w:tc>
        <w:tc>
          <w:tcPr>
            <w:tcW w:w="1078" w:type="dxa"/>
            <w:vAlign w:val="center"/>
          </w:tcPr>
          <w:p w14:paraId="584BE8D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5</w:t>
            </w:r>
          </w:p>
        </w:tc>
        <w:tc>
          <w:tcPr>
            <w:tcW w:w="1080" w:type="dxa"/>
            <w:vAlign w:val="center"/>
          </w:tcPr>
          <w:p w14:paraId="73313209"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w:t>
            </w:r>
          </w:p>
        </w:tc>
        <w:tc>
          <w:tcPr>
            <w:tcW w:w="1170" w:type="dxa"/>
            <w:vAlign w:val="center"/>
          </w:tcPr>
          <w:p w14:paraId="4159759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w:t>
            </w:r>
          </w:p>
        </w:tc>
        <w:tc>
          <w:tcPr>
            <w:tcW w:w="1170" w:type="dxa"/>
            <w:vAlign w:val="center"/>
          </w:tcPr>
          <w:p w14:paraId="2001C2B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5</w:t>
            </w:r>
          </w:p>
        </w:tc>
        <w:tc>
          <w:tcPr>
            <w:tcW w:w="1531" w:type="dxa"/>
            <w:shd w:val="clear" w:color="auto" w:fill="auto"/>
            <w:vAlign w:val="center"/>
          </w:tcPr>
          <w:p w14:paraId="7E9755D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w:t>
            </w:r>
          </w:p>
        </w:tc>
      </w:tr>
      <w:tr w:rsidR="00330772" w:rsidRPr="00330772" w14:paraId="1FAF1970" w14:textId="77777777" w:rsidTr="00987B98">
        <w:trPr>
          <w:trHeight w:val="184"/>
        </w:trPr>
        <w:tc>
          <w:tcPr>
            <w:tcW w:w="4142" w:type="dxa"/>
            <w:tcBorders>
              <w:bottom w:val="single" w:sz="4" w:space="0" w:color="auto"/>
            </w:tcBorders>
            <w:shd w:val="clear" w:color="auto" w:fill="auto"/>
            <w:vAlign w:val="center"/>
            <w:hideMark/>
          </w:tcPr>
          <w:p w14:paraId="3E4B50B3"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talks, conference attendances, speeches, webinars (i.e., other forms of outreach) on Federal technology transfer</w:t>
            </w:r>
          </w:p>
        </w:tc>
        <w:tc>
          <w:tcPr>
            <w:tcW w:w="1078" w:type="dxa"/>
            <w:tcBorders>
              <w:bottom w:val="single" w:sz="4" w:space="0" w:color="auto"/>
            </w:tcBorders>
            <w:vAlign w:val="center"/>
          </w:tcPr>
          <w:p w14:paraId="6A63BCF0"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w:t>
            </w:r>
          </w:p>
        </w:tc>
        <w:tc>
          <w:tcPr>
            <w:tcW w:w="1080" w:type="dxa"/>
            <w:tcBorders>
              <w:bottom w:val="single" w:sz="4" w:space="0" w:color="auto"/>
            </w:tcBorders>
            <w:vAlign w:val="center"/>
          </w:tcPr>
          <w:p w14:paraId="0F54423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w:t>
            </w:r>
          </w:p>
        </w:tc>
        <w:tc>
          <w:tcPr>
            <w:tcW w:w="1170" w:type="dxa"/>
            <w:tcBorders>
              <w:bottom w:val="single" w:sz="4" w:space="0" w:color="auto"/>
            </w:tcBorders>
            <w:vAlign w:val="center"/>
          </w:tcPr>
          <w:p w14:paraId="2E7C2712"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w:t>
            </w:r>
          </w:p>
        </w:tc>
        <w:tc>
          <w:tcPr>
            <w:tcW w:w="1170" w:type="dxa"/>
            <w:tcBorders>
              <w:bottom w:val="single" w:sz="4" w:space="0" w:color="auto"/>
            </w:tcBorders>
            <w:vAlign w:val="center"/>
          </w:tcPr>
          <w:p w14:paraId="6BF3AC2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250</w:t>
            </w:r>
          </w:p>
        </w:tc>
        <w:tc>
          <w:tcPr>
            <w:tcW w:w="1531" w:type="dxa"/>
            <w:tcBorders>
              <w:bottom w:val="single" w:sz="4" w:space="0" w:color="auto"/>
            </w:tcBorders>
            <w:shd w:val="clear" w:color="auto" w:fill="auto"/>
            <w:vAlign w:val="center"/>
          </w:tcPr>
          <w:p w14:paraId="7E1FA94E"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250</w:t>
            </w:r>
          </w:p>
        </w:tc>
      </w:tr>
      <w:tr w:rsidR="00330772" w:rsidRPr="00330772" w14:paraId="143667E3" w14:textId="77777777" w:rsidTr="00987B98">
        <w:trPr>
          <w:trHeight w:val="184"/>
        </w:trPr>
        <w:tc>
          <w:tcPr>
            <w:tcW w:w="4142" w:type="dxa"/>
            <w:shd w:val="clear" w:color="auto" w:fill="auto"/>
            <w:vAlign w:val="center"/>
            <w:hideMark/>
          </w:tcPr>
          <w:p w14:paraId="1B6F9A28"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new alliances, (e.g., partnership intermediary agreements, memorandums of understanding, etc.)</w:t>
            </w:r>
          </w:p>
        </w:tc>
        <w:tc>
          <w:tcPr>
            <w:tcW w:w="1078" w:type="dxa"/>
            <w:vAlign w:val="center"/>
          </w:tcPr>
          <w:p w14:paraId="2379BA6A"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22</w:t>
            </w:r>
          </w:p>
        </w:tc>
        <w:tc>
          <w:tcPr>
            <w:tcW w:w="1080" w:type="dxa"/>
            <w:vAlign w:val="center"/>
          </w:tcPr>
          <w:p w14:paraId="0FF12BB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20</w:t>
            </w:r>
          </w:p>
        </w:tc>
        <w:tc>
          <w:tcPr>
            <w:tcW w:w="1170" w:type="dxa"/>
            <w:vAlign w:val="center"/>
          </w:tcPr>
          <w:p w14:paraId="322779C1"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20</w:t>
            </w:r>
          </w:p>
        </w:tc>
        <w:tc>
          <w:tcPr>
            <w:tcW w:w="1170" w:type="dxa"/>
            <w:vAlign w:val="center"/>
          </w:tcPr>
          <w:p w14:paraId="2F76AC4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17</w:t>
            </w:r>
          </w:p>
        </w:tc>
        <w:tc>
          <w:tcPr>
            <w:tcW w:w="1531" w:type="dxa"/>
            <w:shd w:val="clear" w:color="auto" w:fill="auto"/>
            <w:vAlign w:val="center"/>
          </w:tcPr>
          <w:p w14:paraId="76BB8DA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20</w:t>
            </w:r>
          </w:p>
        </w:tc>
      </w:tr>
      <w:tr w:rsidR="00330772" w:rsidRPr="00330772" w14:paraId="7460B0CA" w14:textId="77777777" w:rsidTr="00987B98">
        <w:trPr>
          <w:trHeight w:val="184"/>
        </w:trPr>
        <w:tc>
          <w:tcPr>
            <w:tcW w:w="4142" w:type="dxa"/>
            <w:shd w:val="clear" w:color="auto" w:fill="auto"/>
            <w:vAlign w:val="center"/>
            <w:hideMark/>
          </w:tcPr>
          <w:p w14:paraId="063C1AB4"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demonstrations and field days</w:t>
            </w:r>
          </w:p>
        </w:tc>
        <w:tc>
          <w:tcPr>
            <w:tcW w:w="1078" w:type="dxa"/>
            <w:vAlign w:val="center"/>
          </w:tcPr>
          <w:p w14:paraId="4AD9177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53</w:t>
            </w:r>
          </w:p>
        </w:tc>
        <w:tc>
          <w:tcPr>
            <w:tcW w:w="1080" w:type="dxa"/>
            <w:vAlign w:val="center"/>
          </w:tcPr>
          <w:p w14:paraId="05656921"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40</w:t>
            </w:r>
          </w:p>
        </w:tc>
        <w:tc>
          <w:tcPr>
            <w:tcW w:w="1170" w:type="dxa"/>
            <w:vAlign w:val="center"/>
          </w:tcPr>
          <w:p w14:paraId="1E7EBC01"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40</w:t>
            </w:r>
          </w:p>
        </w:tc>
        <w:tc>
          <w:tcPr>
            <w:tcW w:w="1170" w:type="dxa"/>
            <w:vAlign w:val="center"/>
          </w:tcPr>
          <w:p w14:paraId="7EFF41D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28</w:t>
            </w:r>
          </w:p>
        </w:tc>
        <w:tc>
          <w:tcPr>
            <w:tcW w:w="1531" w:type="dxa"/>
            <w:shd w:val="clear" w:color="auto" w:fill="auto"/>
            <w:vAlign w:val="center"/>
          </w:tcPr>
          <w:p w14:paraId="218E8A69"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not available</w:t>
            </w:r>
          </w:p>
        </w:tc>
      </w:tr>
      <w:tr w:rsidR="00330772" w:rsidRPr="00330772" w14:paraId="0A2A56AF" w14:textId="77777777" w:rsidTr="00987B98">
        <w:trPr>
          <w:trHeight w:val="184"/>
        </w:trPr>
        <w:tc>
          <w:tcPr>
            <w:tcW w:w="4142" w:type="dxa"/>
            <w:shd w:val="clear" w:color="auto" w:fill="auto"/>
            <w:vAlign w:val="center"/>
            <w:hideMark/>
          </w:tcPr>
          <w:p w14:paraId="3C6B1CA2" w14:textId="77777777" w:rsidR="00330772" w:rsidRPr="00330772" w:rsidRDefault="00330772" w:rsidP="00330772">
            <w:pPr>
              <w:overflowPunct w:val="0"/>
              <w:autoSpaceDE w:val="0"/>
              <w:autoSpaceDN w:val="0"/>
              <w:adjustRightInd w:val="0"/>
              <w:spacing w:before="0" w:after="0"/>
              <w:textAlignment w:val="baseline"/>
              <w:rPr>
                <w:rFonts w:ascii="Segoe UI" w:hAnsi="Segoe UI" w:cs="Arial"/>
                <w:color w:val="000000"/>
                <w:sz w:val="20"/>
                <w:szCs w:val="20"/>
              </w:rPr>
            </w:pPr>
            <w:r w:rsidRPr="00330772">
              <w:rPr>
                <w:rFonts w:ascii="Segoe UI" w:hAnsi="Segoe UI" w:cs="Arial"/>
                <w:color w:val="000000"/>
                <w:sz w:val="20"/>
                <w:szCs w:val="20"/>
              </w:rPr>
              <w:t>SCAN and TSCAN installations</w:t>
            </w:r>
          </w:p>
        </w:tc>
        <w:tc>
          <w:tcPr>
            <w:tcW w:w="1078" w:type="dxa"/>
            <w:vAlign w:val="center"/>
          </w:tcPr>
          <w:p w14:paraId="74365860"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12</w:t>
            </w:r>
          </w:p>
        </w:tc>
        <w:tc>
          <w:tcPr>
            <w:tcW w:w="1080" w:type="dxa"/>
            <w:vAlign w:val="center"/>
          </w:tcPr>
          <w:p w14:paraId="63E95FC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w:t>
            </w:r>
          </w:p>
        </w:tc>
        <w:tc>
          <w:tcPr>
            <w:tcW w:w="1170" w:type="dxa"/>
            <w:vAlign w:val="center"/>
          </w:tcPr>
          <w:p w14:paraId="0B0CF7F1"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w:t>
            </w:r>
          </w:p>
        </w:tc>
        <w:tc>
          <w:tcPr>
            <w:tcW w:w="1170" w:type="dxa"/>
            <w:vAlign w:val="center"/>
          </w:tcPr>
          <w:p w14:paraId="0B90A26F"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w:t>
            </w:r>
          </w:p>
        </w:tc>
        <w:tc>
          <w:tcPr>
            <w:tcW w:w="1531" w:type="dxa"/>
            <w:shd w:val="clear" w:color="auto" w:fill="auto"/>
            <w:vAlign w:val="center"/>
          </w:tcPr>
          <w:p w14:paraId="46B4338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w:t>
            </w:r>
          </w:p>
        </w:tc>
      </w:tr>
      <w:tr w:rsidR="00330772" w:rsidRPr="00330772" w14:paraId="211BAE3E" w14:textId="77777777" w:rsidTr="00987B98">
        <w:trPr>
          <w:trHeight w:val="184"/>
        </w:trPr>
        <w:tc>
          <w:tcPr>
            <w:tcW w:w="4142" w:type="dxa"/>
            <w:shd w:val="clear" w:color="auto" w:fill="auto"/>
            <w:vAlign w:val="center"/>
            <w:hideMark/>
          </w:tcPr>
          <w:p w14:paraId="154C1C5E" w14:textId="77777777" w:rsidR="00330772" w:rsidRPr="00330772" w:rsidRDefault="00330772" w:rsidP="00330772">
            <w:pPr>
              <w:overflowPunct w:val="0"/>
              <w:autoSpaceDE w:val="0"/>
              <w:autoSpaceDN w:val="0"/>
              <w:adjustRightInd w:val="0"/>
              <w:spacing w:before="0" w:after="0"/>
              <w:textAlignment w:val="baseline"/>
              <w:rPr>
                <w:rFonts w:ascii="Segoe UI" w:hAnsi="Segoe UI" w:cs="Arial"/>
                <w:color w:val="000000"/>
                <w:sz w:val="20"/>
                <w:szCs w:val="20"/>
              </w:rPr>
            </w:pPr>
            <w:r w:rsidRPr="00330772">
              <w:rPr>
                <w:rFonts w:ascii="Segoe UI" w:hAnsi="Segoe UI" w:cs="Arial"/>
                <w:color w:val="000000"/>
                <w:sz w:val="20"/>
                <w:szCs w:val="20"/>
              </w:rPr>
              <w:t>SNOTEL and Snolite installations</w:t>
            </w:r>
          </w:p>
        </w:tc>
        <w:tc>
          <w:tcPr>
            <w:tcW w:w="1078" w:type="dxa"/>
            <w:vAlign w:val="center"/>
          </w:tcPr>
          <w:p w14:paraId="23E8FCBF"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w:t>
            </w:r>
          </w:p>
        </w:tc>
        <w:tc>
          <w:tcPr>
            <w:tcW w:w="1080" w:type="dxa"/>
            <w:vAlign w:val="center"/>
          </w:tcPr>
          <w:p w14:paraId="3C34E08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w:t>
            </w:r>
          </w:p>
        </w:tc>
        <w:tc>
          <w:tcPr>
            <w:tcW w:w="1170" w:type="dxa"/>
            <w:vAlign w:val="center"/>
          </w:tcPr>
          <w:p w14:paraId="5395D31C"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w:t>
            </w:r>
          </w:p>
        </w:tc>
        <w:tc>
          <w:tcPr>
            <w:tcW w:w="1170" w:type="dxa"/>
            <w:vAlign w:val="center"/>
          </w:tcPr>
          <w:p w14:paraId="35D0CAF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12</w:t>
            </w:r>
          </w:p>
        </w:tc>
        <w:tc>
          <w:tcPr>
            <w:tcW w:w="1531" w:type="dxa"/>
            <w:shd w:val="clear" w:color="auto" w:fill="auto"/>
            <w:vAlign w:val="center"/>
          </w:tcPr>
          <w:p w14:paraId="26082261"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w:t>
            </w:r>
          </w:p>
        </w:tc>
      </w:tr>
      <w:tr w:rsidR="00330772" w:rsidRPr="00330772" w14:paraId="5708BDC0" w14:textId="77777777" w:rsidTr="00987B98">
        <w:trPr>
          <w:trHeight w:val="184"/>
        </w:trPr>
        <w:tc>
          <w:tcPr>
            <w:tcW w:w="4142" w:type="dxa"/>
            <w:shd w:val="clear" w:color="auto" w:fill="auto"/>
            <w:vAlign w:val="center"/>
            <w:hideMark/>
          </w:tcPr>
          <w:p w14:paraId="3DF8538B" w14:textId="77777777" w:rsidR="00330772" w:rsidRPr="00330772" w:rsidRDefault="00330772" w:rsidP="00330772">
            <w:pPr>
              <w:overflowPunct w:val="0"/>
              <w:autoSpaceDE w:val="0"/>
              <w:autoSpaceDN w:val="0"/>
              <w:adjustRightInd w:val="0"/>
              <w:spacing w:before="0" w:after="0"/>
              <w:textAlignment w:val="baseline"/>
              <w:rPr>
                <w:rFonts w:ascii="Segoe UI" w:hAnsi="Segoe UI" w:cs="Arial"/>
                <w:color w:val="000000"/>
                <w:sz w:val="20"/>
                <w:szCs w:val="20"/>
              </w:rPr>
            </w:pPr>
            <w:r w:rsidRPr="00330772">
              <w:rPr>
                <w:rFonts w:ascii="Segoe UI" w:hAnsi="Segoe UI" w:cs="Arial"/>
                <w:color w:val="000000"/>
                <w:sz w:val="20"/>
                <w:szCs w:val="20"/>
              </w:rPr>
              <w:t>Snow surveys</w:t>
            </w:r>
          </w:p>
        </w:tc>
        <w:tc>
          <w:tcPr>
            <w:tcW w:w="1078" w:type="dxa"/>
            <w:vAlign w:val="center"/>
          </w:tcPr>
          <w:p w14:paraId="7AA9DF39"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1,579</w:t>
            </w:r>
          </w:p>
        </w:tc>
        <w:tc>
          <w:tcPr>
            <w:tcW w:w="1080" w:type="dxa"/>
            <w:vAlign w:val="center"/>
          </w:tcPr>
          <w:p w14:paraId="61E584D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857</w:t>
            </w:r>
          </w:p>
        </w:tc>
        <w:tc>
          <w:tcPr>
            <w:tcW w:w="1170" w:type="dxa"/>
            <w:vAlign w:val="center"/>
          </w:tcPr>
          <w:p w14:paraId="3D26251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857</w:t>
            </w:r>
          </w:p>
        </w:tc>
        <w:tc>
          <w:tcPr>
            <w:tcW w:w="1170" w:type="dxa"/>
            <w:vAlign w:val="center"/>
          </w:tcPr>
          <w:p w14:paraId="7B6AB0C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2,332</w:t>
            </w:r>
          </w:p>
        </w:tc>
        <w:tc>
          <w:tcPr>
            <w:tcW w:w="1531" w:type="dxa"/>
            <w:shd w:val="clear" w:color="auto" w:fill="auto"/>
            <w:vAlign w:val="center"/>
          </w:tcPr>
          <w:p w14:paraId="470CF466"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2,330</w:t>
            </w:r>
          </w:p>
        </w:tc>
      </w:tr>
      <w:tr w:rsidR="00330772" w:rsidRPr="00330772" w14:paraId="01EFCADF" w14:textId="77777777" w:rsidTr="00987B98">
        <w:trPr>
          <w:trHeight w:val="184"/>
        </w:trPr>
        <w:tc>
          <w:tcPr>
            <w:tcW w:w="4142" w:type="dxa"/>
            <w:tcBorders>
              <w:bottom w:val="single" w:sz="4" w:space="0" w:color="auto"/>
            </w:tcBorders>
            <w:shd w:val="clear" w:color="auto" w:fill="auto"/>
            <w:vAlign w:val="center"/>
            <w:hideMark/>
          </w:tcPr>
          <w:p w14:paraId="056460A5" w14:textId="77777777" w:rsidR="00330772" w:rsidRPr="00330772" w:rsidRDefault="00330772" w:rsidP="00330772">
            <w:pPr>
              <w:overflowPunct w:val="0"/>
              <w:autoSpaceDE w:val="0"/>
              <w:autoSpaceDN w:val="0"/>
              <w:adjustRightInd w:val="0"/>
              <w:spacing w:before="0" w:after="0"/>
              <w:textAlignment w:val="baseline"/>
              <w:rPr>
                <w:rFonts w:ascii="Segoe UI" w:hAnsi="Segoe UI" w:cs="Arial"/>
                <w:color w:val="000000"/>
                <w:sz w:val="20"/>
                <w:szCs w:val="20"/>
              </w:rPr>
            </w:pPr>
            <w:r w:rsidRPr="00330772">
              <w:rPr>
                <w:rFonts w:ascii="Segoe UI" w:hAnsi="Segoe UI" w:cs="Arial"/>
                <w:color w:val="000000"/>
                <w:sz w:val="20"/>
                <w:szCs w:val="20"/>
              </w:rPr>
              <w:t>Number of forecast points</w:t>
            </w:r>
          </w:p>
        </w:tc>
        <w:tc>
          <w:tcPr>
            <w:tcW w:w="1078" w:type="dxa"/>
            <w:tcBorders>
              <w:bottom w:val="single" w:sz="4" w:space="0" w:color="auto"/>
            </w:tcBorders>
            <w:vAlign w:val="center"/>
          </w:tcPr>
          <w:p w14:paraId="76DC5103"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600</w:t>
            </w:r>
          </w:p>
        </w:tc>
        <w:tc>
          <w:tcPr>
            <w:tcW w:w="1080" w:type="dxa"/>
            <w:tcBorders>
              <w:bottom w:val="single" w:sz="4" w:space="0" w:color="auto"/>
            </w:tcBorders>
            <w:vAlign w:val="center"/>
          </w:tcPr>
          <w:p w14:paraId="7D1CCD55"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600</w:t>
            </w:r>
          </w:p>
        </w:tc>
        <w:tc>
          <w:tcPr>
            <w:tcW w:w="1170" w:type="dxa"/>
            <w:tcBorders>
              <w:bottom w:val="single" w:sz="4" w:space="0" w:color="auto"/>
            </w:tcBorders>
            <w:vAlign w:val="center"/>
          </w:tcPr>
          <w:p w14:paraId="54FE2FC9"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600</w:t>
            </w:r>
          </w:p>
        </w:tc>
        <w:tc>
          <w:tcPr>
            <w:tcW w:w="1170" w:type="dxa"/>
            <w:tcBorders>
              <w:bottom w:val="single" w:sz="4" w:space="0" w:color="auto"/>
            </w:tcBorders>
            <w:vAlign w:val="center"/>
          </w:tcPr>
          <w:p w14:paraId="367C203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600</w:t>
            </w:r>
          </w:p>
        </w:tc>
        <w:tc>
          <w:tcPr>
            <w:tcW w:w="1531" w:type="dxa"/>
            <w:tcBorders>
              <w:bottom w:val="single" w:sz="4" w:space="0" w:color="auto"/>
            </w:tcBorders>
            <w:shd w:val="clear" w:color="auto" w:fill="auto"/>
            <w:vAlign w:val="center"/>
          </w:tcPr>
          <w:p w14:paraId="52EDA56B"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600</w:t>
            </w:r>
          </w:p>
        </w:tc>
      </w:tr>
      <w:tr w:rsidR="00330772" w:rsidRPr="00330772" w14:paraId="5F9A46B0" w14:textId="77777777" w:rsidTr="00330772">
        <w:trPr>
          <w:trHeight w:val="184"/>
        </w:trPr>
        <w:tc>
          <w:tcPr>
            <w:tcW w:w="4142" w:type="dxa"/>
            <w:shd w:val="clear" w:color="auto" w:fill="DDD9C3"/>
            <w:vAlign w:val="center"/>
            <w:hideMark/>
          </w:tcPr>
          <w:p w14:paraId="67468E0C" w14:textId="77777777" w:rsidR="00330772" w:rsidRPr="00330772" w:rsidRDefault="00330772" w:rsidP="00330772">
            <w:pPr>
              <w:keepNext/>
              <w:keepLines/>
              <w:spacing w:before="0" w:after="0"/>
              <w:rPr>
                <w:rFonts w:ascii="Segoe UI Semibold" w:hAnsi="Segoe UI Semibold"/>
                <w:sz w:val="20"/>
                <w:szCs w:val="20"/>
              </w:rPr>
            </w:pPr>
            <w:r w:rsidRPr="00330772">
              <w:rPr>
                <w:rFonts w:ascii="Segoe UI Semibold" w:hAnsi="Segoe UI Semibold"/>
                <w:sz w:val="20"/>
                <w:szCs w:val="20"/>
              </w:rPr>
              <w:t xml:space="preserve">Conservation Effects Assessment Project </w:t>
            </w:r>
          </w:p>
        </w:tc>
        <w:tc>
          <w:tcPr>
            <w:tcW w:w="1078" w:type="dxa"/>
            <w:shd w:val="clear" w:color="auto" w:fill="DDD9C3"/>
            <w:vAlign w:val="center"/>
          </w:tcPr>
          <w:p w14:paraId="18C455AE"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3F17AD3B"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0A5D930B"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42DEC1F8"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76C4310A" w14:textId="77777777" w:rsidR="00330772" w:rsidRPr="00330772" w:rsidRDefault="00330772" w:rsidP="00330772">
            <w:pPr>
              <w:keepNext/>
              <w:keepLines/>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61F09B83" w14:textId="77777777" w:rsidTr="00987B98">
        <w:trPr>
          <w:trHeight w:val="184"/>
        </w:trPr>
        <w:tc>
          <w:tcPr>
            <w:tcW w:w="4142" w:type="dxa"/>
            <w:shd w:val="clear" w:color="auto" w:fill="auto"/>
            <w:vAlign w:val="center"/>
            <w:hideMark/>
          </w:tcPr>
          <w:p w14:paraId="3C96CA18" w14:textId="77777777" w:rsidR="00330772" w:rsidRPr="00330772" w:rsidRDefault="00330772" w:rsidP="00330772">
            <w:pPr>
              <w:keepLines/>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publications by scientific or technology transfer staff</w:t>
            </w:r>
          </w:p>
        </w:tc>
        <w:tc>
          <w:tcPr>
            <w:tcW w:w="1078" w:type="dxa"/>
            <w:vAlign w:val="center"/>
          </w:tcPr>
          <w:p w14:paraId="7FD3D3BB"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7C6EA50A"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170" w:type="dxa"/>
            <w:vAlign w:val="center"/>
          </w:tcPr>
          <w:p w14:paraId="3BBE776E"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43</w:t>
            </w:r>
          </w:p>
        </w:tc>
        <w:tc>
          <w:tcPr>
            <w:tcW w:w="1170" w:type="dxa"/>
            <w:vAlign w:val="center"/>
          </w:tcPr>
          <w:p w14:paraId="14F8881C"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31</w:t>
            </w:r>
          </w:p>
        </w:tc>
        <w:tc>
          <w:tcPr>
            <w:tcW w:w="1531" w:type="dxa"/>
            <w:shd w:val="clear" w:color="auto" w:fill="auto"/>
            <w:vAlign w:val="center"/>
          </w:tcPr>
          <w:p w14:paraId="1D8A6926"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42</w:t>
            </w:r>
          </w:p>
        </w:tc>
      </w:tr>
      <w:tr w:rsidR="00330772" w:rsidRPr="00330772" w14:paraId="2E4F03DE" w14:textId="77777777" w:rsidTr="00987B98">
        <w:trPr>
          <w:trHeight w:val="184"/>
        </w:trPr>
        <w:tc>
          <w:tcPr>
            <w:tcW w:w="4142" w:type="dxa"/>
            <w:shd w:val="clear" w:color="auto" w:fill="auto"/>
            <w:vAlign w:val="center"/>
            <w:hideMark/>
          </w:tcPr>
          <w:p w14:paraId="668AE015" w14:textId="77777777" w:rsidR="00330772" w:rsidRPr="00330772" w:rsidRDefault="00330772" w:rsidP="00330772">
            <w:pPr>
              <w:keepLines/>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talks, conference attendances, speeches, video recordings, webinars (i.e., other forms of outreach) on Federal technology transfer</w:t>
            </w:r>
          </w:p>
        </w:tc>
        <w:tc>
          <w:tcPr>
            <w:tcW w:w="1078" w:type="dxa"/>
            <w:vAlign w:val="center"/>
          </w:tcPr>
          <w:p w14:paraId="78C36A41"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7BD03DA4"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170" w:type="dxa"/>
            <w:vAlign w:val="center"/>
          </w:tcPr>
          <w:p w14:paraId="7ED9AA7F"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55</w:t>
            </w:r>
          </w:p>
        </w:tc>
        <w:tc>
          <w:tcPr>
            <w:tcW w:w="1170" w:type="dxa"/>
            <w:vAlign w:val="center"/>
          </w:tcPr>
          <w:p w14:paraId="7F6EB5F4"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21</w:t>
            </w:r>
          </w:p>
        </w:tc>
        <w:tc>
          <w:tcPr>
            <w:tcW w:w="1531" w:type="dxa"/>
            <w:shd w:val="clear" w:color="auto" w:fill="auto"/>
            <w:vAlign w:val="center"/>
          </w:tcPr>
          <w:p w14:paraId="55476087"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72</w:t>
            </w:r>
          </w:p>
        </w:tc>
      </w:tr>
      <w:tr w:rsidR="00330772" w:rsidRPr="00330772" w14:paraId="39818475" w14:textId="77777777" w:rsidTr="00987B98">
        <w:trPr>
          <w:trHeight w:val="184"/>
        </w:trPr>
        <w:tc>
          <w:tcPr>
            <w:tcW w:w="4142" w:type="dxa"/>
            <w:shd w:val="clear" w:color="auto" w:fill="auto"/>
            <w:vAlign w:val="center"/>
            <w:hideMark/>
          </w:tcPr>
          <w:p w14:paraId="285439E9" w14:textId="77777777" w:rsidR="00330772" w:rsidRPr="00330772" w:rsidRDefault="00330772" w:rsidP="00330772">
            <w:pPr>
              <w:keepLines/>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new alliances, (e.g., partnership intermediary agreements, memorandums of understanding, etc.)</w:t>
            </w:r>
          </w:p>
        </w:tc>
        <w:tc>
          <w:tcPr>
            <w:tcW w:w="1078" w:type="dxa"/>
            <w:vAlign w:val="center"/>
          </w:tcPr>
          <w:p w14:paraId="423E6674"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6EED3C91"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170" w:type="dxa"/>
            <w:vAlign w:val="center"/>
          </w:tcPr>
          <w:p w14:paraId="1E396B02"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w:t>
            </w:r>
          </w:p>
        </w:tc>
        <w:tc>
          <w:tcPr>
            <w:tcW w:w="1170" w:type="dxa"/>
            <w:vAlign w:val="center"/>
          </w:tcPr>
          <w:p w14:paraId="1BCAE799"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18</w:t>
            </w:r>
          </w:p>
        </w:tc>
        <w:tc>
          <w:tcPr>
            <w:tcW w:w="1531" w:type="dxa"/>
            <w:shd w:val="clear" w:color="auto" w:fill="auto"/>
            <w:vAlign w:val="center"/>
          </w:tcPr>
          <w:p w14:paraId="52239114"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24</w:t>
            </w:r>
          </w:p>
        </w:tc>
      </w:tr>
      <w:tr w:rsidR="00330772" w:rsidRPr="00330772" w14:paraId="7719A64F" w14:textId="77777777" w:rsidTr="00987B98">
        <w:trPr>
          <w:trHeight w:val="184"/>
        </w:trPr>
        <w:tc>
          <w:tcPr>
            <w:tcW w:w="4142" w:type="dxa"/>
            <w:shd w:val="clear" w:color="auto" w:fill="auto"/>
            <w:vAlign w:val="center"/>
            <w:hideMark/>
          </w:tcPr>
          <w:p w14:paraId="38C34E54" w14:textId="77777777" w:rsidR="00330772" w:rsidRPr="00330772" w:rsidRDefault="00330772" w:rsidP="00330772">
            <w:pPr>
              <w:keepLines/>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contracts awarded to non-Federal entities for technology demonstration and transfer</w:t>
            </w:r>
          </w:p>
        </w:tc>
        <w:tc>
          <w:tcPr>
            <w:tcW w:w="1078" w:type="dxa"/>
            <w:vAlign w:val="center"/>
          </w:tcPr>
          <w:p w14:paraId="37A0AD7B"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vAlign w:val="center"/>
          </w:tcPr>
          <w:p w14:paraId="2A2C0DAB"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170" w:type="dxa"/>
            <w:vAlign w:val="center"/>
          </w:tcPr>
          <w:p w14:paraId="7715259F"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7</w:t>
            </w:r>
          </w:p>
        </w:tc>
        <w:tc>
          <w:tcPr>
            <w:tcW w:w="1170" w:type="dxa"/>
            <w:vAlign w:val="center"/>
          </w:tcPr>
          <w:p w14:paraId="01513010"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6</w:t>
            </w:r>
          </w:p>
        </w:tc>
        <w:tc>
          <w:tcPr>
            <w:tcW w:w="1531" w:type="dxa"/>
            <w:shd w:val="clear" w:color="auto" w:fill="auto"/>
            <w:vAlign w:val="center"/>
          </w:tcPr>
          <w:p w14:paraId="22AD8D7D"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17</w:t>
            </w:r>
          </w:p>
        </w:tc>
      </w:tr>
      <w:tr w:rsidR="00330772" w:rsidRPr="00330772" w14:paraId="679B6CB5" w14:textId="77777777" w:rsidTr="00987B98">
        <w:trPr>
          <w:trHeight w:val="184"/>
        </w:trPr>
        <w:tc>
          <w:tcPr>
            <w:tcW w:w="4142" w:type="dxa"/>
            <w:tcBorders>
              <w:bottom w:val="single" w:sz="4" w:space="0" w:color="auto"/>
            </w:tcBorders>
            <w:shd w:val="clear" w:color="auto" w:fill="auto"/>
            <w:vAlign w:val="center"/>
            <w:hideMark/>
          </w:tcPr>
          <w:p w14:paraId="2E0E2F5B" w14:textId="77777777" w:rsidR="00330772" w:rsidRPr="00330772" w:rsidRDefault="00330772" w:rsidP="00330772">
            <w:pPr>
              <w:keepLines/>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Number of participants who viewed webinars</w:t>
            </w:r>
          </w:p>
        </w:tc>
        <w:tc>
          <w:tcPr>
            <w:tcW w:w="1078" w:type="dxa"/>
            <w:tcBorders>
              <w:bottom w:val="single" w:sz="4" w:space="0" w:color="auto"/>
            </w:tcBorders>
            <w:vAlign w:val="center"/>
          </w:tcPr>
          <w:p w14:paraId="713B81A9"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080" w:type="dxa"/>
            <w:tcBorders>
              <w:bottom w:val="single" w:sz="4" w:space="0" w:color="auto"/>
            </w:tcBorders>
            <w:vAlign w:val="center"/>
          </w:tcPr>
          <w:p w14:paraId="12EA14CD"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 data</w:t>
            </w:r>
          </w:p>
        </w:tc>
        <w:tc>
          <w:tcPr>
            <w:tcW w:w="1170" w:type="dxa"/>
            <w:tcBorders>
              <w:bottom w:val="single" w:sz="4" w:space="0" w:color="auto"/>
            </w:tcBorders>
            <w:vAlign w:val="center"/>
          </w:tcPr>
          <w:p w14:paraId="392CBF3C"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&gt;1,900</w:t>
            </w:r>
          </w:p>
        </w:tc>
        <w:tc>
          <w:tcPr>
            <w:tcW w:w="1170" w:type="dxa"/>
            <w:tcBorders>
              <w:bottom w:val="single" w:sz="4" w:space="0" w:color="auto"/>
            </w:tcBorders>
            <w:vAlign w:val="center"/>
          </w:tcPr>
          <w:p w14:paraId="04B13492"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&gt;2,300</w:t>
            </w:r>
          </w:p>
        </w:tc>
        <w:tc>
          <w:tcPr>
            <w:tcW w:w="1531" w:type="dxa"/>
            <w:tcBorders>
              <w:bottom w:val="single" w:sz="4" w:space="0" w:color="auto"/>
            </w:tcBorders>
            <w:shd w:val="clear" w:color="auto" w:fill="auto"/>
            <w:vAlign w:val="center"/>
          </w:tcPr>
          <w:p w14:paraId="1D3A7B5D" w14:textId="77777777" w:rsidR="00330772" w:rsidRPr="00330772" w:rsidRDefault="00330772" w:rsidP="00330772">
            <w:pPr>
              <w:keepLines/>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&lt;2700</w:t>
            </w:r>
          </w:p>
        </w:tc>
      </w:tr>
      <w:tr w:rsidR="00330772" w:rsidRPr="00330772" w14:paraId="252E0BC2" w14:textId="77777777" w:rsidTr="00330772">
        <w:trPr>
          <w:trHeight w:val="184"/>
        </w:trPr>
        <w:tc>
          <w:tcPr>
            <w:tcW w:w="4142" w:type="dxa"/>
            <w:shd w:val="clear" w:color="auto" w:fill="DDD9C3"/>
            <w:vAlign w:val="center"/>
            <w:hideMark/>
          </w:tcPr>
          <w:p w14:paraId="50A6585C" w14:textId="77777777" w:rsidR="00330772" w:rsidRPr="00330772" w:rsidRDefault="00330772" w:rsidP="00330772">
            <w:pPr>
              <w:keepNext/>
              <w:spacing w:before="0" w:after="0"/>
              <w:rPr>
                <w:rFonts w:ascii="Segoe UI Semibold" w:hAnsi="Segoe UI Semibold"/>
                <w:sz w:val="20"/>
                <w:szCs w:val="20"/>
              </w:rPr>
            </w:pPr>
            <w:r w:rsidRPr="00330772">
              <w:rPr>
                <w:rFonts w:ascii="Segoe UI Semibold" w:hAnsi="Segoe UI Semibold"/>
                <w:sz w:val="20"/>
                <w:szCs w:val="20"/>
              </w:rPr>
              <w:t>Conservation Innovation Grants</w:t>
            </w:r>
          </w:p>
        </w:tc>
        <w:tc>
          <w:tcPr>
            <w:tcW w:w="1078" w:type="dxa"/>
            <w:shd w:val="clear" w:color="auto" w:fill="DDD9C3"/>
            <w:vAlign w:val="center"/>
          </w:tcPr>
          <w:p w14:paraId="18989DE3"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2019</w:t>
            </w:r>
          </w:p>
        </w:tc>
        <w:tc>
          <w:tcPr>
            <w:tcW w:w="1080" w:type="dxa"/>
            <w:shd w:val="clear" w:color="auto" w:fill="DDD9C3"/>
            <w:vAlign w:val="center"/>
          </w:tcPr>
          <w:p w14:paraId="31EDC67D"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2020</w:t>
            </w:r>
          </w:p>
        </w:tc>
        <w:tc>
          <w:tcPr>
            <w:tcW w:w="1170" w:type="dxa"/>
            <w:shd w:val="clear" w:color="auto" w:fill="DDD9C3"/>
            <w:vAlign w:val="center"/>
          </w:tcPr>
          <w:p w14:paraId="09E465A8"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2021</w:t>
            </w:r>
          </w:p>
        </w:tc>
        <w:tc>
          <w:tcPr>
            <w:tcW w:w="1170" w:type="dxa"/>
            <w:shd w:val="clear" w:color="auto" w:fill="DDD9C3"/>
            <w:vAlign w:val="center"/>
          </w:tcPr>
          <w:p w14:paraId="1A1C9302"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2022</w:t>
            </w:r>
          </w:p>
        </w:tc>
        <w:tc>
          <w:tcPr>
            <w:tcW w:w="1531" w:type="dxa"/>
            <w:shd w:val="clear" w:color="auto" w:fill="DDD9C3"/>
            <w:vAlign w:val="center"/>
          </w:tcPr>
          <w:p w14:paraId="55407750" w14:textId="77777777" w:rsidR="00330772" w:rsidRPr="00330772" w:rsidRDefault="00330772" w:rsidP="00330772">
            <w:pPr>
              <w:keepNext/>
              <w:spacing w:before="0" w:after="0"/>
              <w:jc w:val="center"/>
              <w:rPr>
                <w:rFonts w:ascii="Segoe UI Semibold" w:eastAsia="Times New Roman" w:hAnsi="Segoe UI Semibold"/>
                <w:sz w:val="20"/>
                <w:szCs w:val="20"/>
              </w:rPr>
            </w:pPr>
            <w:r w:rsidRPr="00330772">
              <w:rPr>
                <w:rFonts w:ascii="Segoe UI Semibold" w:eastAsia="Times New Roman" w:hAnsi="Segoe UI Semibold"/>
                <w:sz w:val="20"/>
                <w:szCs w:val="20"/>
              </w:rPr>
              <w:t>2023</w:t>
            </w:r>
          </w:p>
        </w:tc>
      </w:tr>
      <w:tr w:rsidR="00330772" w:rsidRPr="00330772" w14:paraId="0C596208" w14:textId="77777777" w:rsidTr="00987B98">
        <w:trPr>
          <w:trHeight w:val="184"/>
        </w:trPr>
        <w:tc>
          <w:tcPr>
            <w:tcW w:w="4142" w:type="dxa"/>
            <w:shd w:val="clear" w:color="auto" w:fill="auto"/>
            <w:vAlign w:val="center"/>
            <w:hideMark/>
          </w:tcPr>
          <w:p w14:paraId="7285E731" w14:textId="77777777" w:rsidR="00330772" w:rsidRPr="00330772" w:rsidRDefault="00330772" w:rsidP="00330772">
            <w:pPr>
              <w:overflowPunct w:val="0"/>
              <w:autoSpaceDE w:val="0"/>
              <w:autoSpaceDN w:val="0"/>
              <w:adjustRightInd w:val="0"/>
              <w:spacing w:before="0" w:after="0"/>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CIGs awarded to non-Federal entities for technology demonstration and transfer</w:t>
            </w:r>
          </w:p>
        </w:tc>
        <w:tc>
          <w:tcPr>
            <w:tcW w:w="1078" w:type="dxa"/>
            <w:vAlign w:val="center"/>
          </w:tcPr>
          <w:p w14:paraId="16033B3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96</w:t>
            </w:r>
          </w:p>
        </w:tc>
        <w:tc>
          <w:tcPr>
            <w:tcW w:w="1080" w:type="dxa"/>
            <w:vAlign w:val="center"/>
          </w:tcPr>
          <w:p w14:paraId="15035C90"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90</w:t>
            </w:r>
          </w:p>
        </w:tc>
        <w:tc>
          <w:tcPr>
            <w:tcW w:w="1170" w:type="dxa"/>
            <w:vAlign w:val="center"/>
          </w:tcPr>
          <w:p w14:paraId="3D02C0E7"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87</w:t>
            </w:r>
          </w:p>
        </w:tc>
        <w:tc>
          <w:tcPr>
            <w:tcW w:w="1170" w:type="dxa"/>
            <w:shd w:val="clear" w:color="auto" w:fill="auto"/>
            <w:vAlign w:val="center"/>
          </w:tcPr>
          <w:p w14:paraId="2DAF276D"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93</w:t>
            </w:r>
          </w:p>
        </w:tc>
        <w:tc>
          <w:tcPr>
            <w:tcW w:w="1531" w:type="dxa"/>
            <w:shd w:val="clear" w:color="auto" w:fill="auto"/>
            <w:vAlign w:val="center"/>
          </w:tcPr>
          <w:p w14:paraId="33883B58" w14:textId="77777777" w:rsidR="00330772" w:rsidRPr="00330772" w:rsidRDefault="00330772" w:rsidP="00330772">
            <w:pPr>
              <w:overflowPunct w:val="0"/>
              <w:autoSpaceDE w:val="0"/>
              <w:autoSpaceDN w:val="0"/>
              <w:adjustRightInd w:val="0"/>
              <w:spacing w:before="0" w:after="0"/>
              <w:jc w:val="center"/>
              <w:textAlignment w:val="baseline"/>
              <w:rPr>
                <w:rFonts w:ascii="Segoe UI" w:eastAsia="Times New Roman" w:hAnsi="Segoe UI" w:cs="Arial"/>
                <w:color w:val="000000"/>
                <w:sz w:val="20"/>
                <w:szCs w:val="20"/>
              </w:rPr>
            </w:pPr>
            <w:r w:rsidRPr="00330772">
              <w:rPr>
                <w:rFonts w:ascii="Segoe UI" w:eastAsia="Times New Roman" w:hAnsi="Segoe UI" w:cs="Arial"/>
                <w:color w:val="000000"/>
                <w:sz w:val="20"/>
                <w:szCs w:val="20"/>
              </w:rPr>
              <w:t>not yet available</w:t>
            </w:r>
          </w:p>
        </w:tc>
      </w:tr>
    </w:tbl>
    <w:p w14:paraId="5C12962F" w14:textId="77777777" w:rsidR="00330772" w:rsidRPr="00330772" w:rsidRDefault="00330772" w:rsidP="00330772">
      <w:pPr>
        <w:rPr>
          <w:rFonts w:ascii="Calibri" w:eastAsia="Times New Roman" w:hAnsi="Calibri"/>
          <w:color w:val="000000"/>
          <w:szCs w:val="24"/>
        </w:rPr>
      </w:pPr>
    </w:p>
    <w:p w14:paraId="485B4891" w14:textId="77777777" w:rsidR="003B6299" w:rsidRPr="003B6299" w:rsidRDefault="003B6299" w:rsidP="003B6299">
      <w:pPr>
        <w:pStyle w:val="BodyText"/>
      </w:pPr>
    </w:p>
    <w:sectPr w:rsidR="003B6299" w:rsidRPr="003B6299" w:rsidSect="00971751">
      <w:headerReference w:type="default" r:id="rId111"/>
      <w:footerReference w:type="default" r:id="rId112"/>
      <w:pgSz w:w="12240" w:h="15840" w:code="1"/>
      <w:pgMar w:top="720" w:right="1080" w:bottom="72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10CE90" w14:textId="77777777" w:rsidR="00380572" w:rsidRDefault="00380572" w:rsidP="00677C3E">
      <w:r>
        <w:separator/>
      </w:r>
    </w:p>
  </w:endnote>
  <w:endnote w:type="continuationSeparator" w:id="0">
    <w:p w14:paraId="32B16100" w14:textId="77777777" w:rsidR="00380572" w:rsidRDefault="00380572" w:rsidP="00677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ckwell">
    <w:panose1 w:val="02060603020205020403"/>
    <w:charset w:val="00"/>
    <w:family w:val="roman"/>
    <w:pitch w:val="variable"/>
    <w:sig w:usb0="00000003" w:usb1="00000000" w:usb2="00000000" w:usb3="00000000" w:csb0="00000001" w:csb1="00000000"/>
  </w:font>
  <w:font w:name="HOICM N+ Myriad Pro">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radeGothic Light">
    <w:charset w:val="00"/>
    <w:family w:val="auto"/>
    <w:pitch w:val="variable"/>
    <w:sig w:usb0="80000027"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Palatino">
    <w:altName w:val="Palatino Linotype"/>
    <w:charset w:val="00"/>
    <w:family w:val="auto"/>
    <w:pitch w:val="variable"/>
    <w:sig w:usb0="A30002FF" w:usb1="7800205A" w:usb2="14600000" w:usb3="00000000" w:csb0="00000193" w:csb1="00000000"/>
  </w:font>
  <w:font w:name="Berkeley Book">
    <w:altName w:val="Berkeley Book"/>
    <w:charset w:val="00"/>
    <w:family w:val="auto"/>
    <w:pitch w:val="variable"/>
    <w:sig w:usb0="00000003" w:usb1="00000000" w:usb2="00000000" w:usb3="00000000" w:csb0="00000001" w:csb1="00000000"/>
  </w:font>
  <w:font w:name="Verdana, arial">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TT14Bt00">
    <w:altName w:val="Calibri"/>
    <w:charset w:val="00"/>
    <w:family w:val="auto"/>
    <w:pitch w:val="default"/>
  </w:font>
  <w:font w:name="Bradley Hand ITC">
    <w:panose1 w:val="03070402050302030203"/>
    <w:charset w:val="00"/>
    <w:family w:val="script"/>
    <w:pitch w:val="variable"/>
    <w:sig w:usb0="00000003" w:usb1="00000000" w:usb2="00000000" w:usb3="00000000" w:csb0="00000001" w:csb1="00000000"/>
  </w:font>
  <w:font w:name="Univers 45 Light">
    <w:altName w:val="Calibri"/>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 w:name="Helvetica">
    <w:panose1 w:val="020B0604020202020204"/>
    <w:charset w:val="00"/>
    <w:family w:val="swiss"/>
    <w:pitch w:val="variable"/>
    <w:sig w:usb0="E0002EFF" w:usb1="C000785B" w:usb2="00000009" w:usb3="00000000" w:csb0="000001FF" w:csb1="00000000"/>
  </w:font>
  <w:font w:name="CMR10">
    <w:altName w:val="Yu Gothic"/>
    <w:panose1 w:val="00000000000000000000"/>
    <w:charset w:val="80"/>
    <w:family w:val="auto"/>
    <w:notTrueType/>
    <w:pitch w:val="default"/>
    <w:sig w:usb0="00000001" w:usb1="08070000" w:usb2="00000010" w:usb3="00000000" w:csb0="00020000" w:csb1="00000000"/>
  </w:font>
  <w:font w:name="CMTI10">
    <w:altName w:val="Yu Gothic"/>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82100" w14:textId="36A7A498" w:rsidR="00185B9E" w:rsidRDefault="00AA2D1F" w:rsidP="00D24456">
    <w:pPr>
      <w:pStyle w:val="Footer"/>
      <w:pBdr>
        <w:top w:val="thinThickSmallGap" w:sz="24" w:space="0" w:color="622423" w:themeColor="accent2" w:themeShade="7F"/>
      </w:pBdr>
    </w:pPr>
    <w:r w:rsidRPr="001232E4">
      <w:rPr>
        <w:rFonts w:asciiTheme="majorHAnsi" w:hAnsiTheme="majorHAnsi"/>
      </w:rPr>
      <w:t xml:space="preserve">FY </w:t>
    </w:r>
    <w:r w:rsidR="005845EB">
      <w:rPr>
        <w:rFonts w:asciiTheme="majorHAnsi" w:hAnsiTheme="majorHAnsi"/>
      </w:rPr>
      <w:t>202</w:t>
    </w:r>
    <w:r w:rsidR="00242945">
      <w:rPr>
        <w:rFonts w:asciiTheme="majorHAnsi" w:hAnsiTheme="majorHAnsi"/>
      </w:rPr>
      <w:t>3</w:t>
    </w:r>
    <w:r>
      <w:rPr>
        <w:rFonts w:asciiTheme="majorHAnsi" w:hAnsiTheme="majorHAnsi"/>
      </w:rPr>
      <w:tab/>
      <w:t xml:space="preserve">page </w:t>
    </w:r>
    <w:r>
      <w:fldChar w:fldCharType="begin"/>
    </w:r>
    <w:r>
      <w:instrText xml:space="preserve"> PAGE   \* MERGEFORMAT </w:instrText>
    </w:r>
    <w:r>
      <w:fldChar w:fldCharType="separate"/>
    </w:r>
    <w:r w:rsidRPr="001C4C1A">
      <w:rPr>
        <w:rFonts w:asciiTheme="majorHAnsi" w:hAnsiTheme="majorHAnsi"/>
        <w:noProof/>
      </w:rPr>
      <w:t>399</w:t>
    </w:r>
    <w:r>
      <w:rPr>
        <w:rFonts w:asciiTheme="majorHAnsi" w:hAnsiTheme="majorHAnsi"/>
        <w:noProof/>
      </w:rPr>
      <w:fldChar w:fldCharType="end"/>
    </w:r>
  </w:p>
  <w:p w14:paraId="4D42EC76" w14:textId="77777777" w:rsidR="00536279" w:rsidRDefault="005362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9D5CA8" w14:textId="77777777" w:rsidR="00380572" w:rsidRDefault="00380572" w:rsidP="00677C3E">
      <w:r>
        <w:separator/>
      </w:r>
    </w:p>
  </w:footnote>
  <w:footnote w:type="continuationSeparator" w:id="0">
    <w:p w14:paraId="74BE3BD5" w14:textId="77777777" w:rsidR="00380572" w:rsidRDefault="00380572" w:rsidP="00677C3E">
      <w:r>
        <w:continuationSeparator/>
      </w:r>
    </w:p>
  </w:footnote>
  <w:footnote w:id="1">
    <w:p w14:paraId="3AD682C4" w14:textId="77777777" w:rsidR="006A7C40" w:rsidRPr="00C579B4" w:rsidRDefault="006A7C40" w:rsidP="006A7C40">
      <w:pPr>
        <w:pStyle w:val="FootnoteText"/>
        <w:rPr>
          <w:szCs w:val="24"/>
        </w:rPr>
      </w:pPr>
      <w:r w:rsidRPr="00C579B4">
        <w:rPr>
          <w:rStyle w:val="FootnoteReference"/>
          <w:szCs w:val="24"/>
        </w:rPr>
        <w:footnoteRef/>
      </w:r>
      <w:r w:rsidRPr="00C579B4">
        <w:rPr>
          <w:szCs w:val="24"/>
        </w:rPr>
        <w:t xml:space="preserve"> ND: No data available</w:t>
      </w:r>
    </w:p>
  </w:footnote>
  <w:footnote w:id="2">
    <w:p w14:paraId="52636687" w14:textId="77777777" w:rsidR="0078080F" w:rsidRDefault="0078080F" w:rsidP="006A7C40">
      <w:pPr>
        <w:pStyle w:val="FootnoteText"/>
        <w:rPr>
          <w:iCs/>
          <w:color w:val="000000"/>
          <w:szCs w:val="24"/>
        </w:rPr>
      </w:pPr>
      <w:r w:rsidRPr="00C579B4">
        <w:rPr>
          <w:rStyle w:val="FootnoteReference"/>
          <w:szCs w:val="24"/>
        </w:rPr>
        <w:footnoteRef/>
      </w:r>
      <w:r w:rsidRPr="00C579B4">
        <w:rPr>
          <w:szCs w:val="24"/>
        </w:rPr>
        <w:t xml:space="preserve"> </w:t>
      </w:r>
      <w:r w:rsidRPr="00C579B4">
        <w:rPr>
          <w:iCs/>
          <w:color w:val="000000"/>
          <w:szCs w:val="24"/>
        </w:rPr>
        <w:t>Includes U.S. patent applications, foreign patent applications filed on cases for which no U.S. application was filed, divisional applications, continuation-in-part applications, and provisional applications.</w:t>
      </w:r>
    </w:p>
    <w:p w14:paraId="4A613444" w14:textId="77777777" w:rsidR="0078080F" w:rsidRDefault="0078080F" w:rsidP="006A7C40">
      <w:pPr>
        <w:pStyle w:val="FootnoteText"/>
        <w:rPr>
          <w:iCs/>
          <w:color w:val="000000"/>
          <w:szCs w:val="24"/>
        </w:rPr>
      </w:pPr>
    </w:p>
    <w:p w14:paraId="0E1EEBC6" w14:textId="77777777" w:rsidR="0078080F" w:rsidRDefault="0078080F" w:rsidP="006A7C40">
      <w:pPr>
        <w:pStyle w:val="FootnoteText"/>
      </w:pPr>
    </w:p>
  </w:footnote>
  <w:footnote w:id="3">
    <w:p w14:paraId="5347C0F4" w14:textId="77777777" w:rsidR="006A7C40" w:rsidRPr="00C579B4" w:rsidRDefault="006A7C40" w:rsidP="006A7C40">
      <w:pPr>
        <w:pStyle w:val="Default"/>
      </w:pPr>
      <w:r w:rsidRPr="00C579B4">
        <w:rPr>
          <w:rStyle w:val="FootnoteReference"/>
          <w:rFonts w:eastAsia="Calibri"/>
        </w:rPr>
        <w:footnoteRef/>
      </w:r>
      <w:r w:rsidRPr="00C579B4">
        <w:t xml:space="preserve"> Invention licenses refer to licenses resulting from a patent. Other intellectual property licenses included biological materials licenses and plant variety protection licenses. </w:t>
      </w:r>
    </w:p>
    <w:p w14:paraId="02C2290F" w14:textId="77777777" w:rsidR="006A7C40" w:rsidRPr="00C579B4" w:rsidRDefault="006A7C40" w:rsidP="006A7C40">
      <w:pPr>
        <w:pStyle w:val="FootnoteText"/>
        <w:rPr>
          <w:szCs w:val="24"/>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ED9F02" w14:textId="2DEFCFB1" w:rsidR="00AA2D1F" w:rsidRDefault="00B2178E">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sdt>
      <w:sdtPr>
        <w:rPr>
          <w:rFonts w:asciiTheme="majorHAnsi" w:eastAsiaTheme="majorEastAsia" w:hAnsiTheme="majorHAnsi" w:cstheme="majorBidi"/>
          <w:szCs w:val="32"/>
        </w:rPr>
        <w:alias w:val="Title"/>
        <w:id w:val="39809465"/>
        <w:dataBinding w:prefixMappings="xmlns:ns0='http://schemas.openxmlformats.org/package/2006/metadata/core-properties' xmlns:ns1='http://purl.org/dc/elements/1.1/'" w:xpath="/ns0:coreProperties[1]/ns1:title[1]" w:storeItemID="{6C3C8BC8-F283-45AE-878A-BAB7291924A1}"/>
        <w:text/>
      </w:sdtPr>
      <w:sdtEndPr/>
      <w:sdtContent>
        <w:r w:rsidR="006F44D1">
          <w:rPr>
            <w:rFonts w:asciiTheme="majorHAnsi" w:eastAsiaTheme="majorEastAsia" w:hAnsiTheme="majorHAnsi" w:cstheme="majorBidi"/>
            <w:szCs w:val="32"/>
          </w:rPr>
          <w:t xml:space="preserve">FY </w:t>
        </w:r>
        <w:r w:rsidR="005845EB">
          <w:rPr>
            <w:rFonts w:asciiTheme="majorHAnsi" w:eastAsiaTheme="majorEastAsia" w:hAnsiTheme="majorHAnsi" w:cstheme="majorBidi"/>
            <w:szCs w:val="32"/>
          </w:rPr>
          <w:t>202</w:t>
        </w:r>
        <w:r w:rsidR="00F41172">
          <w:rPr>
            <w:rFonts w:asciiTheme="majorHAnsi" w:eastAsiaTheme="majorEastAsia" w:hAnsiTheme="majorHAnsi" w:cstheme="majorBidi"/>
            <w:szCs w:val="32"/>
          </w:rPr>
          <w:t>3</w:t>
        </w:r>
        <w:r w:rsidR="006F44D1">
          <w:rPr>
            <w:rFonts w:asciiTheme="majorHAnsi" w:eastAsiaTheme="majorEastAsia" w:hAnsiTheme="majorHAnsi" w:cstheme="majorBidi"/>
            <w:szCs w:val="32"/>
          </w:rPr>
          <w:t xml:space="preserve"> Annual Report on Technology Transfer</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E1748"/>
    <w:multiLevelType w:val="hybridMultilevel"/>
    <w:tmpl w:val="C98A49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F8075A"/>
    <w:multiLevelType w:val="hybridMultilevel"/>
    <w:tmpl w:val="139E0A78"/>
    <w:lvl w:ilvl="0" w:tplc="1B8E6D08">
      <w:start w:val="1"/>
      <w:numFmt w:val="bullet"/>
      <w:pStyle w:val="1bullettex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2" w15:restartNumberingAfterBreak="0">
    <w:nsid w:val="0C5019A3"/>
    <w:multiLevelType w:val="multilevel"/>
    <w:tmpl w:val="063439B8"/>
    <w:lvl w:ilvl="0">
      <w:start w:val="3"/>
      <w:numFmt w:val="decimal"/>
      <w:pStyle w:val="Heading1"/>
      <w:lvlText w:val="%1"/>
      <w:lvlJc w:val="left"/>
      <w:pPr>
        <w:ind w:left="432" w:hanging="432"/>
      </w:pPr>
      <w:rPr>
        <w:rFonts w:hint="default"/>
        <w:b/>
        <w:bCs w:val="0"/>
        <w:color w:val="000000" w:themeColor="text1"/>
      </w:rPr>
    </w:lvl>
    <w:lvl w:ilvl="1">
      <w:start w:val="1"/>
      <w:numFmt w:val="decimal"/>
      <w:pStyle w:val="Heading2"/>
      <w:lvlText w:val="%1.%2"/>
      <w:lvlJc w:val="left"/>
      <w:pPr>
        <w:ind w:left="576" w:hanging="576"/>
      </w:pPr>
      <w:rPr>
        <w:rFonts w:hint="default"/>
        <w:i w:val="0"/>
        <w:iCs w: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104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0F7957A2"/>
    <w:multiLevelType w:val="hybridMultilevel"/>
    <w:tmpl w:val="3782C7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132BBC"/>
    <w:multiLevelType w:val="hybridMultilevel"/>
    <w:tmpl w:val="2916AC80"/>
    <w:styleLink w:val="ImportedStyle10"/>
    <w:lvl w:ilvl="0" w:tplc="2804756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60CCCD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5B4220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8EDEB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B1C69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B70AB6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23262D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0A874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318873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5866746"/>
    <w:multiLevelType w:val="hybridMultilevel"/>
    <w:tmpl w:val="51E057A8"/>
    <w:lvl w:ilvl="0" w:tplc="04090001">
      <w:start w:val="1"/>
      <w:numFmt w:val="bullet"/>
      <w:lvlText w:val=""/>
      <w:lvlJc w:val="left"/>
      <w:pPr>
        <w:ind w:left="840" w:hanging="360"/>
      </w:pPr>
      <w:rPr>
        <w:rFonts w:ascii="Symbol" w:hAnsi="Symbol" w:hint="default"/>
      </w:rPr>
    </w:lvl>
    <w:lvl w:ilvl="1" w:tplc="04090003">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6" w15:restartNumberingAfterBreak="0">
    <w:nsid w:val="194C2740"/>
    <w:multiLevelType w:val="multilevel"/>
    <w:tmpl w:val="64101F2E"/>
    <w:lvl w:ilvl="0">
      <w:start w:val="1"/>
      <w:numFmt w:val="bullet"/>
      <w:pStyle w:val="List"/>
      <w:lvlText w:val=""/>
      <w:lvlJc w:val="left"/>
      <w:pPr>
        <w:tabs>
          <w:tab w:val="num" w:pos="720"/>
        </w:tabs>
        <w:ind w:left="720" w:hanging="360"/>
      </w:pPr>
      <w:rPr>
        <w:rFonts w:ascii="Symbol" w:hAnsi="Symbol" w:hint="default"/>
      </w:rPr>
    </w:lvl>
    <w:lvl w:ilvl="1">
      <w:start w:val="1"/>
      <w:numFmt w:val="bullet"/>
      <w:pStyle w:val="List2"/>
      <w:lvlText w:val="o"/>
      <w:lvlJc w:val="left"/>
      <w:pPr>
        <w:tabs>
          <w:tab w:val="num" w:pos="1080"/>
        </w:tabs>
        <w:ind w:left="1080" w:hanging="360"/>
      </w:pPr>
      <w:rPr>
        <w:rFonts w:ascii="Courier New" w:hAnsi="Courier New" w:hint="default"/>
      </w:rPr>
    </w:lvl>
    <w:lvl w:ilvl="2">
      <w:start w:val="1"/>
      <w:numFmt w:val="bullet"/>
      <w:pStyle w:val="List3"/>
      <w:lvlText w:val=""/>
      <w:lvlJc w:val="left"/>
      <w:pPr>
        <w:tabs>
          <w:tab w:val="num" w:pos="1440"/>
        </w:tabs>
        <w:ind w:left="1440" w:hanging="360"/>
      </w:pPr>
      <w:rPr>
        <w:rFonts w:ascii="Wingdings" w:hAnsi="Wingdings" w:hint="default"/>
      </w:rPr>
    </w:lvl>
    <w:lvl w:ilvl="3">
      <w:start w:val="1"/>
      <w:numFmt w:val="bullet"/>
      <w:pStyle w:val="List4"/>
      <w:lvlText w:val=""/>
      <w:lvlJc w:val="left"/>
      <w:pPr>
        <w:tabs>
          <w:tab w:val="num" w:pos="1800"/>
        </w:tabs>
        <w:ind w:left="1800" w:hanging="360"/>
      </w:pPr>
      <w:rPr>
        <w:rFonts w:ascii="Wingdings" w:hAnsi="Wingdings" w:hint="default"/>
      </w:rPr>
    </w:lvl>
    <w:lvl w:ilvl="4">
      <w:start w:val="1"/>
      <w:numFmt w:val="bullet"/>
      <w:pStyle w:val="List5"/>
      <w:lvlText w:val=""/>
      <w:lvlJc w:val="left"/>
      <w:pPr>
        <w:tabs>
          <w:tab w:val="num" w:pos="2160"/>
        </w:tabs>
        <w:ind w:left="2160" w:hanging="360"/>
      </w:pPr>
      <w:rPr>
        <w:rFonts w:ascii="Symbol" w:hAnsi="Symbol"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7" w15:restartNumberingAfterBreak="0">
    <w:nsid w:val="1C88381C"/>
    <w:multiLevelType w:val="hybridMultilevel"/>
    <w:tmpl w:val="89CE14E0"/>
    <w:lvl w:ilvl="0" w:tplc="400800FE">
      <w:start w:val="1"/>
      <w:numFmt w:val="bullet"/>
      <w:pStyle w:val="InstructionalBullet1"/>
      <w:lvlText w:val=""/>
      <w:lvlJc w:val="left"/>
      <w:pPr>
        <w:tabs>
          <w:tab w:val="num" w:pos="360"/>
        </w:tabs>
        <w:ind w:left="36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2EF523B"/>
    <w:multiLevelType w:val="hybridMultilevel"/>
    <w:tmpl w:val="BDD40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0E592E"/>
    <w:multiLevelType w:val="hybridMultilevel"/>
    <w:tmpl w:val="4B94E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B9012D"/>
    <w:multiLevelType w:val="multilevel"/>
    <w:tmpl w:val="FC422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922A37"/>
    <w:multiLevelType w:val="hybridMultilevel"/>
    <w:tmpl w:val="56D4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8B28BC"/>
    <w:multiLevelType w:val="multilevel"/>
    <w:tmpl w:val="3C5AC516"/>
    <w:styleLink w:val="ImportedStyle9"/>
    <w:lvl w:ilvl="0">
      <w:start w:val="1"/>
      <w:numFmt w:val="decimal"/>
      <w:lvlText w:val="%1."/>
      <w:lvlJc w:val="left"/>
      <w:pPr>
        <w:ind w:left="396" w:hanging="396"/>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2EA2369B"/>
    <w:multiLevelType w:val="hybridMultilevel"/>
    <w:tmpl w:val="4DA2A3F2"/>
    <w:styleLink w:val="ImportedStyle3"/>
    <w:lvl w:ilvl="0" w:tplc="EDC2E2F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D7C330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F78AE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FF4820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BEE39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D063B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E26FB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D2991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1FC948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34D8787D"/>
    <w:multiLevelType w:val="hybridMultilevel"/>
    <w:tmpl w:val="6554B45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38BE20F9"/>
    <w:multiLevelType w:val="multilevel"/>
    <w:tmpl w:val="1654E2DC"/>
    <w:styleLink w:val="ImportedStyle1"/>
    <w:lvl w:ilvl="0">
      <w:start w:val="1"/>
      <w:numFmt w:val="decimal"/>
      <w:lvlText w:val="%1."/>
      <w:lvlJc w:val="left"/>
      <w:pPr>
        <w:ind w:left="432" w:hanging="432"/>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800" w:hanging="180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3D9A0EE6"/>
    <w:multiLevelType w:val="hybridMultilevel"/>
    <w:tmpl w:val="90BACAEA"/>
    <w:lvl w:ilvl="0" w:tplc="6DF27118">
      <w:start w:val="1"/>
      <w:numFmt w:val="bullet"/>
      <w:lvlText w:val=""/>
      <w:lvlJc w:val="left"/>
      <w:pPr>
        <w:ind w:left="778" w:hanging="360"/>
      </w:pPr>
      <w:rPr>
        <w:rFonts w:ascii="Wingdings" w:hAnsi="Wingdings" w:hint="default"/>
        <w:color w:val="auto"/>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7" w15:restartNumberingAfterBreak="0">
    <w:nsid w:val="47C04B96"/>
    <w:multiLevelType w:val="multilevel"/>
    <w:tmpl w:val="26C0ED86"/>
    <w:lvl w:ilvl="0">
      <w:start w:val="1"/>
      <w:numFmt w:val="decimal"/>
      <w:pStyle w:val="ListNumber"/>
      <w:lvlText w:val="%1."/>
      <w:lvlJc w:val="left"/>
      <w:pPr>
        <w:tabs>
          <w:tab w:val="num" w:pos="1080"/>
        </w:tabs>
        <w:ind w:left="1080" w:hanging="360"/>
      </w:pPr>
      <w:rPr>
        <w:rFonts w:hint="default"/>
      </w:rPr>
    </w:lvl>
    <w:lvl w:ilvl="1">
      <w:start w:val="1"/>
      <w:numFmt w:val="lowerLetter"/>
      <w:pStyle w:val="ListNumber2"/>
      <w:lvlText w:val="%2."/>
      <w:lvlJc w:val="left"/>
      <w:pPr>
        <w:tabs>
          <w:tab w:val="num" w:pos="1440"/>
        </w:tabs>
        <w:ind w:left="1440" w:hanging="360"/>
      </w:pPr>
      <w:rPr>
        <w:rFonts w:hint="default"/>
      </w:rPr>
    </w:lvl>
    <w:lvl w:ilvl="2">
      <w:start w:val="1"/>
      <w:numFmt w:val="lowerRoman"/>
      <w:pStyle w:val="ListNumber3"/>
      <w:lvlText w:val="%3."/>
      <w:lvlJc w:val="right"/>
      <w:pPr>
        <w:tabs>
          <w:tab w:val="num" w:pos="1800"/>
        </w:tabs>
        <w:ind w:left="1800" w:hanging="173"/>
      </w:pPr>
      <w:rPr>
        <w:rFonts w:hint="default"/>
      </w:rPr>
    </w:lvl>
    <w:lvl w:ilvl="3">
      <w:start w:val="1"/>
      <w:numFmt w:val="upperLetter"/>
      <w:pStyle w:val="ListNumber4"/>
      <w:lvlText w:val="%4."/>
      <w:lvlJc w:val="left"/>
      <w:pPr>
        <w:tabs>
          <w:tab w:val="num" w:pos="2160"/>
        </w:tabs>
        <w:ind w:left="2160" w:hanging="360"/>
      </w:pPr>
      <w:rPr>
        <w:rFonts w:hint="default"/>
      </w:rPr>
    </w:lvl>
    <w:lvl w:ilvl="4">
      <w:start w:val="1"/>
      <w:numFmt w:val="decimal"/>
      <w:pStyle w:val="ListNumber5"/>
      <w:lvlText w:val="%5."/>
      <w:lvlJc w:val="left"/>
      <w:pPr>
        <w:tabs>
          <w:tab w:val="num" w:pos="2520"/>
        </w:tabs>
        <w:ind w:left="2520" w:hanging="360"/>
      </w:pPr>
      <w:rPr>
        <w:rFonts w:hint="default"/>
      </w:rPr>
    </w:lvl>
    <w:lvl w:ilvl="5">
      <w:start w:val="1"/>
      <w:numFmt w:val="bullet"/>
      <w:lvlText w:val=""/>
      <w:lvlJc w:val="left"/>
      <w:pPr>
        <w:tabs>
          <w:tab w:val="num" w:pos="2880"/>
        </w:tabs>
        <w:ind w:left="2880" w:hanging="360"/>
      </w:pPr>
      <w:rPr>
        <w:rFonts w:ascii="Symbol" w:hAnsi="Symbol"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480100B4"/>
    <w:multiLevelType w:val="hybridMultilevel"/>
    <w:tmpl w:val="681444E0"/>
    <w:lvl w:ilvl="0" w:tplc="04090001">
      <w:start w:val="1"/>
      <w:numFmt w:val="bullet"/>
      <w:lvlText w:val=""/>
      <w:lvlJc w:val="left"/>
      <w:pPr>
        <w:ind w:left="4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0B767D"/>
    <w:multiLevelType w:val="multilevel"/>
    <w:tmpl w:val="A0EC228C"/>
    <w:lvl w:ilvl="0">
      <w:start w:val="1"/>
      <w:numFmt w:val="bullet"/>
      <w:pStyle w:val="TableTextBullet"/>
      <w:lvlText w:val=""/>
      <w:lvlJc w:val="left"/>
      <w:pPr>
        <w:tabs>
          <w:tab w:val="num" w:pos="360"/>
        </w:tabs>
        <w:ind w:left="360" w:hanging="216"/>
      </w:pPr>
      <w:rPr>
        <w:rFonts w:ascii="Symbol" w:hAnsi="Symbol" w:hint="default"/>
        <w:color w:val="auto"/>
      </w:rPr>
    </w:lvl>
    <w:lvl w:ilvl="1">
      <w:start w:val="1"/>
      <w:numFmt w:val="bullet"/>
      <w:pStyle w:val="TableTextBullet2"/>
      <w:lvlText w:val="o"/>
      <w:lvlJc w:val="left"/>
      <w:pPr>
        <w:tabs>
          <w:tab w:val="num" w:pos="504"/>
        </w:tabs>
        <w:ind w:left="504" w:hanging="144"/>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527F1321"/>
    <w:multiLevelType w:val="multilevel"/>
    <w:tmpl w:val="83608C30"/>
    <w:lvl w:ilvl="0">
      <w:start w:val="1"/>
      <w:numFmt w:val="bullet"/>
      <w:pStyle w:val="ListBullet"/>
      <w:lvlText w:val=""/>
      <w:lvlJc w:val="left"/>
      <w:pPr>
        <w:tabs>
          <w:tab w:val="num" w:pos="907"/>
        </w:tabs>
        <w:ind w:left="907" w:hanging="360"/>
      </w:pPr>
      <w:rPr>
        <w:rFonts w:ascii="Symbol" w:hAnsi="Symbol" w:hint="default"/>
      </w:rPr>
    </w:lvl>
    <w:lvl w:ilvl="1">
      <w:start w:val="1"/>
      <w:numFmt w:val="bullet"/>
      <w:pStyle w:val="ListBullet2"/>
      <w:lvlText w:val="o"/>
      <w:lvlJc w:val="left"/>
      <w:pPr>
        <w:tabs>
          <w:tab w:val="num" w:pos="1267"/>
        </w:tabs>
        <w:ind w:left="1267" w:hanging="360"/>
      </w:pPr>
      <w:rPr>
        <w:rFonts w:ascii="Courier New" w:hAnsi="Courier New" w:hint="default"/>
      </w:rPr>
    </w:lvl>
    <w:lvl w:ilvl="2">
      <w:start w:val="1"/>
      <w:numFmt w:val="bullet"/>
      <w:pStyle w:val="ListBullet3"/>
      <w:lvlText w:val=""/>
      <w:lvlJc w:val="left"/>
      <w:pPr>
        <w:tabs>
          <w:tab w:val="num" w:pos="1627"/>
        </w:tabs>
        <w:ind w:left="1627" w:hanging="360"/>
      </w:pPr>
      <w:rPr>
        <w:rFonts w:ascii="Wingdings" w:hAnsi="Wingdings" w:hint="default"/>
      </w:rPr>
    </w:lvl>
    <w:lvl w:ilvl="3">
      <w:start w:val="1"/>
      <w:numFmt w:val="bullet"/>
      <w:pStyle w:val="ListBullet4"/>
      <w:lvlText w:val=""/>
      <w:lvlJc w:val="left"/>
      <w:pPr>
        <w:tabs>
          <w:tab w:val="num" w:pos="1987"/>
        </w:tabs>
        <w:ind w:left="1987" w:hanging="360"/>
      </w:pPr>
      <w:rPr>
        <w:rFonts w:ascii="Wingdings" w:hAnsi="Wingdings" w:hint="default"/>
      </w:rPr>
    </w:lvl>
    <w:lvl w:ilvl="4">
      <w:start w:val="1"/>
      <w:numFmt w:val="bullet"/>
      <w:pStyle w:val="ListBullet5"/>
      <w:lvlText w:val=""/>
      <w:lvlJc w:val="left"/>
      <w:pPr>
        <w:tabs>
          <w:tab w:val="num" w:pos="2347"/>
        </w:tabs>
        <w:ind w:left="2347" w:hanging="360"/>
      </w:pPr>
      <w:rPr>
        <w:rFonts w:ascii="Symbol" w:hAnsi="Symbol"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21" w15:restartNumberingAfterBreak="0">
    <w:nsid w:val="56918056"/>
    <w:multiLevelType w:val="hybridMultilevel"/>
    <w:tmpl w:val="361E7938"/>
    <w:lvl w:ilvl="0" w:tplc="B3D6900E">
      <w:start w:val="1"/>
      <w:numFmt w:val="bullet"/>
      <w:lvlText w:val="·"/>
      <w:lvlJc w:val="left"/>
      <w:pPr>
        <w:ind w:left="1440" w:hanging="360"/>
      </w:pPr>
      <w:rPr>
        <w:rFonts w:ascii="Symbol" w:hAnsi="Symbol" w:hint="default"/>
      </w:rPr>
    </w:lvl>
    <w:lvl w:ilvl="1" w:tplc="FBFC76B2">
      <w:start w:val="1"/>
      <w:numFmt w:val="bullet"/>
      <w:lvlText w:val="o"/>
      <w:lvlJc w:val="left"/>
      <w:pPr>
        <w:ind w:left="2160" w:hanging="360"/>
      </w:pPr>
      <w:rPr>
        <w:rFonts w:ascii="Courier New" w:hAnsi="Courier New" w:hint="default"/>
      </w:rPr>
    </w:lvl>
    <w:lvl w:ilvl="2" w:tplc="0C50A9AE">
      <w:start w:val="1"/>
      <w:numFmt w:val="bullet"/>
      <w:lvlText w:val=""/>
      <w:lvlJc w:val="left"/>
      <w:pPr>
        <w:ind w:left="2880" w:hanging="360"/>
      </w:pPr>
      <w:rPr>
        <w:rFonts w:ascii="Wingdings" w:hAnsi="Wingdings" w:hint="default"/>
      </w:rPr>
    </w:lvl>
    <w:lvl w:ilvl="3" w:tplc="2C40E63E">
      <w:start w:val="1"/>
      <w:numFmt w:val="bullet"/>
      <w:lvlText w:val=""/>
      <w:lvlJc w:val="left"/>
      <w:pPr>
        <w:ind w:left="3600" w:hanging="360"/>
      </w:pPr>
      <w:rPr>
        <w:rFonts w:ascii="Symbol" w:hAnsi="Symbol" w:hint="default"/>
      </w:rPr>
    </w:lvl>
    <w:lvl w:ilvl="4" w:tplc="8E9C967C">
      <w:start w:val="1"/>
      <w:numFmt w:val="bullet"/>
      <w:lvlText w:val="o"/>
      <w:lvlJc w:val="left"/>
      <w:pPr>
        <w:ind w:left="4320" w:hanging="360"/>
      </w:pPr>
      <w:rPr>
        <w:rFonts w:ascii="Courier New" w:hAnsi="Courier New" w:hint="default"/>
      </w:rPr>
    </w:lvl>
    <w:lvl w:ilvl="5" w:tplc="BAAABDDE">
      <w:start w:val="1"/>
      <w:numFmt w:val="bullet"/>
      <w:lvlText w:val=""/>
      <w:lvlJc w:val="left"/>
      <w:pPr>
        <w:ind w:left="5040" w:hanging="360"/>
      </w:pPr>
      <w:rPr>
        <w:rFonts w:ascii="Wingdings" w:hAnsi="Wingdings" w:hint="default"/>
      </w:rPr>
    </w:lvl>
    <w:lvl w:ilvl="6" w:tplc="A8F0B354">
      <w:start w:val="1"/>
      <w:numFmt w:val="bullet"/>
      <w:lvlText w:val=""/>
      <w:lvlJc w:val="left"/>
      <w:pPr>
        <w:ind w:left="5760" w:hanging="360"/>
      </w:pPr>
      <w:rPr>
        <w:rFonts w:ascii="Symbol" w:hAnsi="Symbol" w:hint="default"/>
      </w:rPr>
    </w:lvl>
    <w:lvl w:ilvl="7" w:tplc="3DD0E9E6">
      <w:start w:val="1"/>
      <w:numFmt w:val="bullet"/>
      <w:lvlText w:val="o"/>
      <w:lvlJc w:val="left"/>
      <w:pPr>
        <w:ind w:left="6480" w:hanging="360"/>
      </w:pPr>
      <w:rPr>
        <w:rFonts w:ascii="Courier New" w:hAnsi="Courier New" w:hint="default"/>
      </w:rPr>
    </w:lvl>
    <w:lvl w:ilvl="8" w:tplc="AA32C3CC">
      <w:start w:val="1"/>
      <w:numFmt w:val="bullet"/>
      <w:lvlText w:val=""/>
      <w:lvlJc w:val="left"/>
      <w:pPr>
        <w:ind w:left="7200" w:hanging="360"/>
      </w:pPr>
      <w:rPr>
        <w:rFonts w:ascii="Wingdings" w:hAnsi="Wingdings" w:hint="default"/>
      </w:rPr>
    </w:lvl>
  </w:abstractNum>
  <w:abstractNum w:abstractNumId="22" w15:restartNumberingAfterBreak="0">
    <w:nsid w:val="5C131D21"/>
    <w:multiLevelType w:val="hybridMultilevel"/>
    <w:tmpl w:val="4DCCE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DA33DC"/>
    <w:multiLevelType w:val="hybridMultilevel"/>
    <w:tmpl w:val="88D0FEBE"/>
    <w:styleLink w:val="ImportedStyle4"/>
    <w:lvl w:ilvl="0" w:tplc="6C8A813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66A55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598B78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13AABB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BE0A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CAF10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F6D70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D840DD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A9683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6E475967"/>
    <w:multiLevelType w:val="hybridMultilevel"/>
    <w:tmpl w:val="029E9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F486E7A"/>
    <w:multiLevelType w:val="hybridMultilevel"/>
    <w:tmpl w:val="C73CFB30"/>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26" w15:restartNumberingAfterBreak="0">
    <w:nsid w:val="724E77F3"/>
    <w:multiLevelType w:val="multilevel"/>
    <w:tmpl w:val="8CB80818"/>
    <w:styleLink w:val="ImportedStyle2"/>
    <w:lvl w:ilvl="0">
      <w:start w:val="1"/>
      <w:numFmt w:val="decimal"/>
      <w:lvlText w:val="%1."/>
      <w:lvlJc w:val="left"/>
      <w:pPr>
        <w:ind w:left="432" w:hanging="432"/>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800" w:hanging="180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73F130AA"/>
    <w:multiLevelType w:val="hybridMultilevel"/>
    <w:tmpl w:val="7DD273C8"/>
    <w:lvl w:ilvl="0" w:tplc="32DA3FA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7CE403BD"/>
    <w:multiLevelType w:val="multilevel"/>
    <w:tmpl w:val="817E35F2"/>
    <w:lvl w:ilvl="0">
      <w:start w:val="1"/>
      <w:numFmt w:val="upperLetter"/>
      <w:pStyle w:val="HeadingAppendix1"/>
      <w:lvlText w:val="Appendix %1."/>
      <w:lvlJc w:val="left"/>
      <w:pPr>
        <w:tabs>
          <w:tab w:val="num" w:pos="2160"/>
        </w:tabs>
        <w:ind w:left="0" w:firstLine="0"/>
      </w:pPr>
      <w:rPr>
        <w:rFonts w:cs="Times New Roman" w:hint="default"/>
      </w:rPr>
    </w:lvl>
    <w:lvl w:ilvl="1">
      <w:start w:val="1"/>
      <w:numFmt w:val="decimal"/>
      <w:pStyle w:val="HeadingAppendix2"/>
      <w:lvlText w:val="%1.%2."/>
      <w:lvlJc w:val="left"/>
      <w:pPr>
        <w:tabs>
          <w:tab w:val="num" w:pos="1080"/>
        </w:tabs>
        <w:ind w:left="1080" w:hanging="893"/>
      </w:pPr>
      <w:rPr>
        <w:rFonts w:cs="Times New Roman" w:hint="default"/>
      </w:rPr>
    </w:lvl>
    <w:lvl w:ilvl="2">
      <w:start w:val="1"/>
      <w:numFmt w:val="decimal"/>
      <w:pStyle w:val="HeadingAppendix3"/>
      <w:lvlText w:val="%1.%2.%3."/>
      <w:lvlJc w:val="left"/>
      <w:pPr>
        <w:tabs>
          <w:tab w:val="num" w:pos="1440"/>
        </w:tabs>
        <w:ind w:left="1440" w:hanging="1080"/>
      </w:pPr>
      <w:rPr>
        <w:rFonts w:cs="Times New Roman" w:hint="default"/>
      </w:rPr>
    </w:lvl>
    <w:lvl w:ilvl="3">
      <w:start w:val="1"/>
      <w:numFmt w:val="lowerRoman"/>
      <w:lvlText w:val="(%4)"/>
      <w:lvlJc w:val="right"/>
      <w:pPr>
        <w:tabs>
          <w:tab w:val="num" w:pos="864"/>
        </w:tabs>
        <w:ind w:left="864" w:hanging="144"/>
      </w:pPr>
      <w:rPr>
        <w:rFonts w:cs="Times New Roman" w:hint="default"/>
      </w:rPr>
    </w:lvl>
    <w:lvl w:ilvl="4">
      <w:start w:val="1"/>
      <w:numFmt w:val="decimal"/>
      <w:lvlText w:val="%5)"/>
      <w:lvlJc w:val="left"/>
      <w:pPr>
        <w:tabs>
          <w:tab w:val="num" w:pos="1008"/>
        </w:tabs>
        <w:ind w:left="1008" w:hanging="432"/>
      </w:pPr>
      <w:rPr>
        <w:rFonts w:cs="Times New Roman" w:hint="default"/>
      </w:rPr>
    </w:lvl>
    <w:lvl w:ilvl="5">
      <w:start w:val="1"/>
      <w:numFmt w:val="lowerLetter"/>
      <w:lvlText w:val="%6)"/>
      <w:lvlJc w:val="left"/>
      <w:pPr>
        <w:tabs>
          <w:tab w:val="num" w:pos="1152"/>
        </w:tabs>
        <w:ind w:left="1152" w:hanging="432"/>
      </w:pPr>
      <w:rPr>
        <w:rFonts w:cs="Times New Roman" w:hint="default"/>
      </w:rPr>
    </w:lvl>
    <w:lvl w:ilvl="6">
      <w:start w:val="1"/>
      <w:numFmt w:val="lowerRoman"/>
      <w:lvlText w:val="%7)"/>
      <w:lvlJc w:val="right"/>
      <w:pPr>
        <w:tabs>
          <w:tab w:val="num" w:pos="1296"/>
        </w:tabs>
        <w:ind w:left="1296" w:hanging="288"/>
      </w:pPr>
      <w:rPr>
        <w:rFonts w:cs="Times New Roman" w:hint="default"/>
      </w:rPr>
    </w:lvl>
    <w:lvl w:ilvl="7">
      <w:start w:val="1"/>
      <w:numFmt w:val="lowerLetter"/>
      <w:lvlText w:val="%8."/>
      <w:lvlJc w:val="left"/>
      <w:pPr>
        <w:tabs>
          <w:tab w:val="num" w:pos="1440"/>
        </w:tabs>
        <w:ind w:left="1440" w:hanging="432"/>
      </w:pPr>
      <w:rPr>
        <w:rFonts w:cs="Times New Roman" w:hint="default"/>
      </w:rPr>
    </w:lvl>
    <w:lvl w:ilvl="8">
      <w:start w:val="1"/>
      <w:numFmt w:val="lowerRoman"/>
      <w:lvlText w:val="%9."/>
      <w:lvlJc w:val="right"/>
      <w:pPr>
        <w:tabs>
          <w:tab w:val="num" w:pos="1584"/>
        </w:tabs>
        <w:ind w:left="1584" w:hanging="144"/>
      </w:pPr>
      <w:rPr>
        <w:rFonts w:cs="Times New Roman" w:hint="default"/>
      </w:rPr>
    </w:lvl>
  </w:abstractNum>
  <w:num w:numId="1" w16cid:durableId="619653656">
    <w:abstractNumId w:val="1"/>
  </w:num>
  <w:num w:numId="2" w16cid:durableId="828865166">
    <w:abstractNumId w:val="15"/>
  </w:num>
  <w:num w:numId="3" w16cid:durableId="2059696302">
    <w:abstractNumId w:val="26"/>
  </w:num>
  <w:num w:numId="4" w16cid:durableId="1614479867">
    <w:abstractNumId w:val="13"/>
  </w:num>
  <w:num w:numId="5" w16cid:durableId="336006022">
    <w:abstractNumId w:val="23"/>
  </w:num>
  <w:num w:numId="6" w16cid:durableId="426777220">
    <w:abstractNumId w:val="12"/>
  </w:num>
  <w:num w:numId="7" w16cid:durableId="1589730939">
    <w:abstractNumId w:val="4"/>
  </w:num>
  <w:num w:numId="8" w16cid:durableId="1389263107">
    <w:abstractNumId w:val="28"/>
  </w:num>
  <w:num w:numId="9" w16cid:durableId="455217520">
    <w:abstractNumId w:val="7"/>
  </w:num>
  <w:num w:numId="10" w16cid:durableId="1018582460">
    <w:abstractNumId w:val="6"/>
  </w:num>
  <w:num w:numId="11" w16cid:durableId="1371370411">
    <w:abstractNumId w:val="20"/>
  </w:num>
  <w:num w:numId="12" w16cid:durableId="819344799">
    <w:abstractNumId w:val="17"/>
  </w:num>
  <w:num w:numId="13" w16cid:durableId="1280913391">
    <w:abstractNumId w:val="19"/>
  </w:num>
  <w:num w:numId="14" w16cid:durableId="1824462924">
    <w:abstractNumId w:val="2"/>
  </w:num>
  <w:num w:numId="15" w16cid:durableId="1705397481">
    <w:abstractNumId w:val="25"/>
  </w:num>
  <w:num w:numId="16" w16cid:durableId="1109393879">
    <w:abstractNumId w:val="8"/>
  </w:num>
  <w:num w:numId="17" w16cid:durableId="1657420568">
    <w:abstractNumId w:val="10"/>
  </w:num>
  <w:num w:numId="18" w16cid:durableId="261114947">
    <w:abstractNumId w:val="18"/>
  </w:num>
  <w:num w:numId="19" w16cid:durableId="529298281">
    <w:abstractNumId w:val="11"/>
  </w:num>
  <w:num w:numId="20" w16cid:durableId="1885212677">
    <w:abstractNumId w:val="27"/>
  </w:num>
  <w:num w:numId="21" w16cid:durableId="1754550956">
    <w:abstractNumId w:val="21"/>
  </w:num>
  <w:num w:numId="22" w16cid:durableId="1697927408">
    <w:abstractNumId w:val="5"/>
  </w:num>
  <w:num w:numId="23" w16cid:durableId="1050686081">
    <w:abstractNumId w:val="14"/>
  </w:num>
  <w:num w:numId="24" w16cid:durableId="1081681804">
    <w:abstractNumId w:val="9"/>
  </w:num>
  <w:num w:numId="25" w16cid:durableId="1345865574">
    <w:abstractNumId w:val="0"/>
  </w:num>
  <w:num w:numId="26" w16cid:durableId="2047022396">
    <w:abstractNumId w:val="22"/>
  </w:num>
  <w:num w:numId="27" w16cid:durableId="1833644628">
    <w:abstractNumId w:val="3"/>
  </w:num>
  <w:num w:numId="28" w16cid:durableId="832185211">
    <w:abstractNumId w:val="24"/>
  </w:num>
  <w:num w:numId="29" w16cid:durableId="352727427">
    <w:abstractNumId w:val="1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360"/>
  <w:drawingGridHorizontalSpacing w:val="110"/>
  <w:displayHorizontalDrawingGridEvery w:val="2"/>
  <w:characterSpacingControl w:val="doNotCompress"/>
  <w:hdrShapeDefaults>
    <o:shapedefaults v:ext="edit" spidmax="2050">
      <o:colormru v:ext="edit" colors="#478844,#3c908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5713"/>
    <w:rsid w:val="00000BFC"/>
    <w:rsid w:val="00000F58"/>
    <w:rsid w:val="000016AF"/>
    <w:rsid w:val="0000174F"/>
    <w:rsid w:val="00001947"/>
    <w:rsid w:val="0000241A"/>
    <w:rsid w:val="00003BEA"/>
    <w:rsid w:val="00003FB7"/>
    <w:rsid w:val="0000407B"/>
    <w:rsid w:val="000045CC"/>
    <w:rsid w:val="00004C64"/>
    <w:rsid w:val="00005362"/>
    <w:rsid w:val="0000564D"/>
    <w:rsid w:val="00006289"/>
    <w:rsid w:val="000066B8"/>
    <w:rsid w:val="00006914"/>
    <w:rsid w:val="00007591"/>
    <w:rsid w:val="0000784F"/>
    <w:rsid w:val="00007A7E"/>
    <w:rsid w:val="00007F68"/>
    <w:rsid w:val="000106C9"/>
    <w:rsid w:val="00010E5D"/>
    <w:rsid w:val="0001123C"/>
    <w:rsid w:val="0001152A"/>
    <w:rsid w:val="00011E04"/>
    <w:rsid w:val="00011E4E"/>
    <w:rsid w:val="00011F19"/>
    <w:rsid w:val="000121F8"/>
    <w:rsid w:val="0001260B"/>
    <w:rsid w:val="00013BA8"/>
    <w:rsid w:val="00013CB4"/>
    <w:rsid w:val="0001424F"/>
    <w:rsid w:val="000145A2"/>
    <w:rsid w:val="00014739"/>
    <w:rsid w:val="00014A0C"/>
    <w:rsid w:val="00014F4F"/>
    <w:rsid w:val="0001564D"/>
    <w:rsid w:val="00015ED3"/>
    <w:rsid w:val="00016029"/>
    <w:rsid w:val="0001627C"/>
    <w:rsid w:val="00016885"/>
    <w:rsid w:val="00016B25"/>
    <w:rsid w:val="00016CC4"/>
    <w:rsid w:val="0001741B"/>
    <w:rsid w:val="00017721"/>
    <w:rsid w:val="00017BF8"/>
    <w:rsid w:val="00017FEF"/>
    <w:rsid w:val="0002057A"/>
    <w:rsid w:val="00021046"/>
    <w:rsid w:val="00021C76"/>
    <w:rsid w:val="00022FF7"/>
    <w:rsid w:val="000231C1"/>
    <w:rsid w:val="000231CD"/>
    <w:rsid w:val="00024695"/>
    <w:rsid w:val="00025382"/>
    <w:rsid w:val="0002543E"/>
    <w:rsid w:val="00025578"/>
    <w:rsid w:val="00025BE0"/>
    <w:rsid w:val="0002617A"/>
    <w:rsid w:val="000262BF"/>
    <w:rsid w:val="0002676E"/>
    <w:rsid w:val="0002680F"/>
    <w:rsid w:val="00026BEB"/>
    <w:rsid w:val="00026F68"/>
    <w:rsid w:val="00027558"/>
    <w:rsid w:val="000311C1"/>
    <w:rsid w:val="000320F8"/>
    <w:rsid w:val="00032201"/>
    <w:rsid w:val="000326C0"/>
    <w:rsid w:val="000331DA"/>
    <w:rsid w:val="00033584"/>
    <w:rsid w:val="000336E9"/>
    <w:rsid w:val="00033941"/>
    <w:rsid w:val="00033AA3"/>
    <w:rsid w:val="00033CC1"/>
    <w:rsid w:val="0003413A"/>
    <w:rsid w:val="0003493C"/>
    <w:rsid w:val="00034DE7"/>
    <w:rsid w:val="00035778"/>
    <w:rsid w:val="000357C7"/>
    <w:rsid w:val="00035D4C"/>
    <w:rsid w:val="000366A3"/>
    <w:rsid w:val="000374D7"/>
    <w:rsid w:val="000402DC"/>
    <w:rsid w:val="000403FF"/>
    <w:rsid w:val="00040B7B"/>
    <w:rsid w:val="0004124D"/>
    <w:rsid w:val="0004166C"/>
    <w:rsid w:val="00041CA6"/>
    <w:rsid w:val="00042BE4"/>
    <w:rsid w:val="000432EC"/>
    <w:rsid w:val="0004349C"/>
    <w:rsid w:val="00043782"/>
    <w:rsid w:val="00043E79"/>
    <w:rsid w:val="00044F0F"/>
    <w:rsid w:val="00044F33"/>
    <w:rsid w:val="000455D0"/>
    <w:rsid w:val="00045757"/>
    <w:rsid w:val="000457EC"/>
    <w:rsid w:val="00045FF1"/>
    <w:rsid w:val="00047390"/>
    <w:rsid w:val="00047E2F"/>
    <w:rsid w:val="00047E8F"/>
    <w:rsid w:val="000500F1"/>
    <w:rsid w:val="00051302"/>
    <w:rsid w:val="000516F6"/>
    <w:rsid w:val="0005287A"/>
    <w:rsid w:val="000532DA"/>
    <w:rsid w:val="000537AA"/>
    <w:rsid w:val="00053CD0"/>
    <w:rsid w:val="00054A9F"/>
    <w:rsid w:val="00054CD8"/>
    <w:rsid w:val="00054DA1"/>
    <w:rsid w:val="00054E7A"/>
    <w:rsid w:val="00055C63"/>
    <w:rsid w:val="00055C71"/>
    <w:rsid w:val="00056947"/>
    <w:rsid w:val="00056949"/>
    <w:rsid w:val="00057695"/>
    <w:rsid w:val="0005773F"/>
    <w:rsid w:val="00060B19"/>
    <w:rsid w:val="00060FC5"/>
    <w:rsid w:val="000613F1"/>
    <w:rsid w:val="00061732"/>
    <w:rsid w:val="0006280D"/>
    <w:rsid w:val="000634A6"/>
    <w:rsid w:val="000635B8"/>
    <w:rsid w:val="00063BD1"/>
    <w:rsid w:val="000648EF"/>
    <w:rsid w:val="00064E30"/>
    <w:rsid w:val="0006510F"/>
    <w:rsid w:val="00065441"/>
    <w:rsid w:val="0006551D"/>
    <w:rsid w:val="00065760"/>
    <w:rsid w:val="00065C8C"/>
    <w:rsid w:val="00067ADD"/>
    <w:rsid w:val="0007086F"/>
    <w:rsid w:val="0007175E"/>
    <w:rsid w:val="0007277E"/>
    <w:rsid w:val="00072923"/>
    <w:rsid w:val="000734D7"/>
    <w:rsid w:val="00074311"/>
    <w:rsid w:val="0007461D"/>
    <w:rsid w:val="00074FED"/>
    <w:rsid w:val="000754C9"/>
    <w:rsid w:val="00075DE2"/>
    <w:rsid w:val="00075E54"/>
    <w:rsid w:val="00076905"/>
    <w:rsid w:val="00076D1A"/>
    <w:rsid w:val="000772A2"/>
    <w:rsid w:val="0007737B"/>
    <w:rsid w:val="00077ABF"/>
    <w:rsid w:val="00077DA9"/>
    <w:rsid w:val="00080070"/>
    <w:rsid w:val="00080432"/>
    <w:rsid w:val="0008259B"/>
    <w:rsid w:val="000826B6"/>
    <w:rsid w:val="00082AF3"/>
    <w:rsid w:val="00082BC7"/>
    <w:rsid w:val="00082FEB"/>
    <w:rsid w:val="0008312A"/>
    <w:rsid w:val="0008479B"/>
    <w:rsid w:val="00084F61"/>
    <w:rsid w:val="00085044"/>
    <w:rsid w:val="00085B49"/>
    <w:rsid w:val="000864ED"/>
    <w:rsid w:val="000875EB"/>
    <w:rsid w:val="00087C75"/>
    <w:rsid w:val="00087EA5"/>
    <w:rsid w:val="000912B6"/>
    <w:rsid w:val="000934EB"/>
    <w:rsid w:val="000939BE"/>
    <w:rsid w:val="00093A17"/>
    <w:rsid w:val="00093AE8"/>
    <w:rsid w:val="0009476F"/>
    <w:rsid w:val="000958DE"/>
    <w:rsid w:val="00096092"/>
    <w:rsid w:val="0009676E"/>
    <w:rsid w:val="0009693A"/>
    <w:rsid w:val="00096AB3"/>
    <w:rsid w:val="00096F2F"/>
    <w:rsid w:val="000972E7"/>
    <w:rsid w:val="000976B1"/>
    <w:rsid w:val="000A03BF"/>
    <w:rsid w:val="000A07AC"/>
    <w:rsid w:val="000A0917"/>
    <w:rsid w:val="000A14BF"/>
    <w:rsid w:val="000A1D22"/>
    <w:rsid w:val="000A29E8"/>
    <w:rsid w:val="000A2EF2"/>
    <w:rsid w:val="000A303B"/>
    <w:rsid w:val="000A31B0"/>
    <w:rsid w:val="000A3456"/>
    <w:rsid w:val="000A38C4"/>
    <w:rsid w:val="000A40A5"/>
    <w:rsid w:val="000A414E"/>
    <w:rsid w:val="000A4232"/>
    <w:rsid w:val="000A4C7F"/>
    <w:rsid w:val="000A5A91"/>
    <w:rsid w:val="000A5C00"/>
    <w:rsid w:val="000A60B6"/>
    <w:rsid w:val="000A67D4"/>
    <w:rsid w:val="000A6F76"/>
    <w:rsid w:val="000A7493"/>
    <w:rsid w:val="000A7621"/>
    <w:rsid w:val="000A79E9"/>
    <w:rsid w:val="000B0422"/>
    <w:rsid w:val="000B0986"/>
    <w:rsid w:val="000B11AF"/>
    <w:rsid w:val="000B11BD"/>
    <w:rsid w:val="000B1227"/>
    <w:rsid w:val="000B2181"/>
    <w:rsid w:val="000B218C"/>
    <w:rsid w:val="000B2683"/>
    <w:rsid w:val="000B3027"/>
    <w:rsid w:val="000B30DF"/>
    <w:rsid w:val="000B380B"/>
    <w:rsid w:val="000B3B68"/>
    <w:rsid w:val="000B3E59"/>
    <w:rsid w:val="000B444B"/>
    <w:rsid w:val="000B4850"/>
    <w:rsid w:val="000B4994"/>
    <w:rsid w:val="000B4C7B"/>
    <w:rsid w:val="000B52A9"/>
    <w:rsid w:val="000B64C9"/>
    <w:rsid w:val="000B65CF"/>
    <w:rsid w:val="000B6892"/>
    <w:rsid w:val="000B79CD"/>
    <w:rsid w:val="000B7C6D"/>
    <w:rsid w:val="000B7CBD"/>
    <w:rsid w:val="000B7E2F"/>
    <w:rsid w:val="000C02AF"/>
    <w:rsid w:val="000C085C"/>
    <w:rsid w:val="000C0935"/>
    <w:rsid w:val="000C125E"/>
    <w:rsid w:val="000C130D"/>
    <w:rsid w:val="000C19B5"/>
    <w:rsid w:val="000C1C84"/>
    <w:rsid w:val="000C247F"/>
    <w:rsid w:val="000C3EAA"/>
    <w:rsid w:val="000C44E2"/>
    <w:rsid w:val="000C45CC"/>
    <w:rsid w:val="000C49FC"/>
    <w:rsid w:val="000C4E58"/>
    <w:rsid w:val="000C4F17"/>
    <w:rsid w:val="000C55A3"/>
    <w:rsid w:val="000C55E5"/>
    <w:rsid w:val="000C56D8"/>
    <w:rsid w:val="000C5C17"/>
    <w:rsid w:val="000C5E10"/>
    <w:rsid w:val="000C62FA"/>
    <w:rsid w:val="000C6AD2"/>
    <w:rsid w:val="000C6B0A"/>
    <w:rsid w:val="000C6BAE"/>
    <w:rsid w:val="000C7A1A"/>
    <w:rsid w:val="000C7ABC"/>
    <w:rsid w:val="000D087D"/>
    <w:rsid w:val="000D08CD"/>
    <w:rsid w:val="000D0C86"/>
    <w:rsid w:val="000D0ECA"/>
    <w:rsid w:val="000D182D"/>
    <w:rsid w:val="000D18D5"/>
    <w:rsid w:val="000D1D54"/>
    <w:rsid w:val="000D1DD5"/>
    <w:rsid w:val="000D1F93"/>
    <w:rsid w:val="000D244F"/>
    <w:rsid w:val="000D2535"/>
    <w:rsid w:val="000D28F6"/>
    <w:rsid w:val="000D2A3F"/>
    <w:rsid w:val="000D2F9B"/>
    <w:rsid w:val="000D3112"/>
    <w:rsid w:val="000D3518"/>
    <w:rsid w:val="000D44F1"/>
    <w:rsid w:val="000D4A53"/>
    <w:rsid w:val="000D5428"/>
    <w:rsid w:val="000D56B3"/>
    <w:rsid w:val="000D5993"/>
    <w:rsid w:val="000D5F4B"/>
    <w:rsid w:val="000D6535"/>
    <w:rsid w:val="000D6585"/>
    <w:rsid w:val="000D6771"/>
    <w:rsid w:val="000D69DA"/>
    <w:rsid w:val="000D7E5E"/>
    <w:rsid w:val="000E02CC"/>
    <w:rsid w:val="000E0570"/>
    <w:rsid w:val="000E1D5D"/>
    <w:rsid w:val="000E20F3"/>
    <w:rsid w:val="000E2D67"/>
    <w:rsid w:val="000E45A7"/>
    <w:rsid w:val="000E45BE"/>
    <w:rsid w:val="000E4CAA"/>
    <w:rsid w:val="000E4F36"/>
    <w:rsid w:val="000E68EA"/>
    <w:rsid w:val="000E69E9"/>
    <w:rsid w:val="000E79C8"/>
    <w:rsid w:val="000E7F6C"/>
    <w:rsid w:val="000F0638"/>
    <w:rsid w:val="000F0990"/>
    <w:rsid w:val="000F09DC"/>
    <w:rsid w:val="000F0A86"/>
    <w:rsid w:val="000F1020"/>
    <w:rsid w:val="000F2187"/>
    <w:rsid w:val="000F27D5"/>
    <w:rsid w:val="000F2B00"/>
    <w:rsid w:val="000F2DC9"/>
    <w:rsid w:val="000F325E"/>
    <w:rsid w:val="000F4A87"/>
    <w:rsid w:val="000F4C62"/>
    <w:rsid w:val="000F575A"/>
    <w:rsid w:val="000F69D8"/>
    <w:rsid w:val="000F6C8E"/>
    <w:rsid w:val="000F6ECF"/>
    <w:rsid w:val="000F6FE7"/>
    <w:rsid w:val="000F7215"/>
    <w:rsid w:val="000F77F9"/>
    <w:rsid w:val="000F7DD2"/>
    <w:rsid w:val="00100260"/>
    <w:rsid w:val="00100C8D"/>
    <w:rsid w:val="00100E08"/>
    <w:rsid w:val="001015A4"/>
    <w:rsid w:val="00101B00"/>
    <w:rsid w:val="00101B0D"/>
    <w:rsid w:val="00102A15"/>
    <w:rsid w:val="00103268"/>
    <w:rsid w:val="0010359F"/>
    <w:rsid w:val="00103672"/>
    <w:rsid w:val="0010384C"/>
    <w:rsid w:val="00103B9F"/>
    <w:rsid w:val="001049DF"/>
    <w:rsid w:val="00104E8B"/>
    <w:rsid w:val="0010500B"/>
    <w:rsid w:val="001054FA"/>
    <w:rsid w:val="00106161"/>
    <w:rsid w:val="0010664B"/>
    <w:rsid w:val="001069D4"/>
    <w:rsid w:val="00106A3F"/>
    <w:rsid w:val="00106D83"/>
    <w:rsid w:val="001073FE"/>
    <w:rsid w:val="00107520"/>
    <w:rsid w:val="0010774E"/>
    <w:rsid w:val="00107C19"/>
    <w:rsid w:val="0011081F"/>
    <w:rsid w:val="00110D7A"/>
    <w:rsid w:val="0011112F"/>
    <w:rsid w:val="0011129E"/>
    <w:rsid w:val="001119A3"/>
    <w:rsid w:val="00111FCB"/>
    <w:rsid w:val="0011245A"/>
    <w:rsid w:val="00112656"/>
    <w:rsid w:val="00112749"/>
    <w:rsid w:val="001139E3"/>
    <w:rsid w:val="001142F2"/>
    <w:rsid w:val="00114460"/>
    <w:rsid w:val="001144DF"/>
    <w:rsid w:val="00114C2B"/>
    <w:rsid w:val="00115F66"/>
    <w:rsid w:val="00115F91"/>
    <w:rsid w:val="00115FA6"/>
    <w:rsid w:val="001168B9"/>
    <w:rsid w:val="00116B12"/>
    <w:rsid w:val="0012002D"/>
    <w:rsid w:val="0012043A"/>
    <w:rsid w:val="00120FA8"/>
    <w:rsid w:val="00122347"/>
    <w:rsid w:val="001231A2"/>
    <w:rsid w:val="001232E4"/>
    <w:rsid w:val="00123420"/>
    <w:rsid w:val="00124236"/>
    <w:rsid w:val="00124425"/>
    <w:rsid w:val="001245C5"/>
    <w:rsid w:val="00124FBD"/>
    <w:rsid w:val="0012518B"/>
    <w:rsid w:val="00125252"/>
    <w:rsid w:val="00125C94"/>
    <w:rsid w:val="00125D70"/>
    <w:rsid w:val="001260C5"/>
    <w:rsid w:val="00126A66"/>
    <w:rsid w:val="00126EE8"/>
    <w:rsid w:val="00127088"/>
    <w:rsid w:val="00127096"/>
    <w:rsid w:val="0012759E"/>
    <w:rsid w:val="00130494"/>
    <w:rsid w:val="001308DB"/>
    <w:rsid w:val="00130EAB"/>
    <w:rsid w:val="00130EEF"/>
    <w:rsid w:val="0013137C"/>
    <w:rsid w:val="00132A4D"/>
    <w:rsid w:val="001330DF"/>
    <w:rsid w:val="00133107"/>
    <w:rsid w:val="00133153"/>
    <w:rsid w:val="00133223"/>
    <w:rsid w:val="00133FEA"/>
    <w:rsid w:val="00134F3B"/>
    <w:rsid w:val="00135299"/>
    <w:rsid w:val="001361F8"/>
    <w:rsid w:val="001365D8"/>
    <w:rsid w:val="001368F1"/>
    <w:rsid w:val="00136F07"/>
    <w:rsid w:val="001371E3"/>
    <w:rsid w:val="00137939"/>
    <w:rsid w:val="00140369"/>
    <w:rsid w:val="001403C1"/>
    <w:rsid w:val="00140478"/>
    <w:rsid w:val="00140929"/>
    <w:rsid w:val="00140F05"/>
    <w:rsid w:val="0014136E"/>
    <w:rsid w:val="00141782"/>
    <w:rsid w:val="00141C45"/>
    <w:rsid w:val="00142431"/>
    <w:rsid w:val="001424AA"/>
    <w:rsid w:val="00142680"/>
    <w:rsid w:val="00142CA3"/>
    <w:rsid w:val="0014302A"/>
    <w:rsid w:val="00143DEC"/>
    <w:rsid w:val="001443B4"/>
    <w:rsid w:val="001444A6"/>
    <w:rsid w:val="00144565"/>
    <w:rsid w:val="00144589"/>
    <w:rsid w:val="001446EF"/>
    <w:rsid w:val="00144CDD"/>
    <w:rsid w:val="00144EDD"/>
    <w:rsid w:val="00145880"/>
    <w:rsid w:val="00146567"/>
    <w:rsid w:val="0014694C"/>
    <w:rsid w:val="00146C45"/>
    <w:rsid w:val="00146DFF"/>
    <w:rsid w:val="00147249"/>
    <w:rsid w:val="00147BFB"/>
    <w:rsid w:val="00147C80"/>
    <w:rsid w:val="00147F34"/>
    <w:rsid w:val="001500BD"/>
    <w:rsid w:val="00150288"/>
    <w:rsid w:val="001503CD"/>
    <w:rsid w:val="00150A86"/>
    <w:rsid w:val="00150FC2"/>
    <w:rsid w:val="0015119B"/>
    <w:rsid w:val="00151470"/>
    <w:rsid w:val="0015162E"/>
    <w:rsid w:val="00152D82"/>
    <w:rsid w:val="00153A23"/>
    <w:rsid w:val="00153D2D"/>
    <w:rsid w:val="0015426E"/>
    <w:rsid w:val="001544C0"/>
    <w:rsid w:val="001545C1"/>
    <w:rsid w:val="001545DC"/>
    <w:rsid w:val="00154AD6"/>
    <w:rsid w:val="00154D4C"/>
    <w:rsid w:val="00154E57"/>
    <w:rsid w:val="00154EB9"/>
    <w:rsid w:val="001559F0"/>
    <w:rsid w:val="00156033"/>
    <w:rsid w:val="00156041"/>
    <w:rsid w:val="00156054"/>
    <w:rsid w:val="001565AE"/>
    <w:rsid w:val="00157321"/>
    <w:rsid w:val="00157700"/>
    <w:rsid w:val="00157F64"/>
    <w:rsid w:val="001609DB"/>
    <w:rsid w:val="00160D7D"/>
    <w:rsid w:val="00160E2A"/>
    <w:rsid w:val="001615A8"/>
    <w:rsid w:val="00161943"/>
    <w:rsid w:val="001619A0"/>
    <w:rsid w:val="00162ABC"/>
    <w:rsid w:val="00162F2C"/>
    <w:rsid w:val="00163ACB"/>
    <w:rsid w:val="00163D6E"/>
    <w:rsid w:val="00163E32"/>
    <w:rsid w:val="001641D0"/>
    <w:rsid w:val="001646D4"/>
    <w:rsid w:val="0016495B"/>
    <w:rsid w:val="001649E5"/>
    <w:rsid w:val="00164A9D"/>
    <w:rsid w:val="00165133"/>
    <w:rsid w:val="00166E78"/>
    <w:rsid w:val="00167353"/>
    <w:rsid w:val="001677B8"/>
    <w:rsid w:val="00167848"/>
    <w:rsid w:val="00167926"/>
    <w:rsid w:val="00167C1D"/>
    <w:rsid w:val="00167C9D"/>
    <w:rsid w:val="001702BA"/>
    <w:rsid w:val="0017037A"/>
    <w:rsid w:val="00170D39"/>
    <w:rsid w:val="00170D8D"/>
    <w:rsid w:val="0017254A"/>
    <w:rsid w:val="00173610"/>
    <w:rsid w:val="001736CC"/>
    <w:rsid w:val="00173924"/>
    <w:rsid w:val="00173DFF"/>
    <w:rsid w:val="001743C2"/>
    <w:rsid w:val="001743D7"/>
    <w:rsid w:val="00174518"/>
    <w:rsid w:val="00174526"/>
    <w:rsid w:val="00174531"/>
    <w:rsid w:val="00174A86"/>
    <w:rsid w:val="00174C09"/>
    <w:rsid w:val="0017533C"/>
    <w:rsid w:val="0017559F"/>
    <w:rsid w:val="00175E51"/>
    <w:rsid w:val="00175F23"/>
    <w:rsid w:val="00176D98"/>
    <w:rsid w:val="00176E17"/>
    <w:rsid w:val="00177124"/>
    <w:rsid w:val="0018026F"/>
    <w:rsid w:val="00181088"/>
    <w:rsid w:val="001819BC"/>
    <w:rsid w:val="00181D00"/>
    <w:rsid w:val="00181D34"/>
    <w:rsid w:val="00181F25"/>
    <w:rsid w:val="00181FAD"/>
    <w:rsid w:val="00182200"/>
    <w:rsid w:val="00182FBB"/>
    <w:rsid w:val="00183514"/>
    <w:rsid w:val="00184667"/>
    <w:rsid w:val="001850CD"/>
    <w:rsid w:val="00185684"/>
    <w:rsid w:val="001856DA"/>
    <w:rsid w:val="001857B1"/>
    <w:rsid w:val="00185B9E"/>
    <w:rsid w:val="001862E0"/>
    <w:rsid w:val="0018635D"/>
    <w:rsid w:val="00186831"/>
    <w:rsid w:val="001868DB"/>
    <w:rsid w:val="00186C94"/>
    <w:rsid w:val="001875D6"/>
    <w:rsid w:val="001877C1"/>
    <w:rsid w:val="001878A2"/>
    <w:rsid w:val="00187E4C"/>
    <w:rsid w:val="00190844"/>
    <w:rsid w:val="0019337F"/>
    <w:rsid w:val="00193A7B"/>
    <w:rsid w:val="001943EB"/>
    <w:rsid w:val="001948AB"/>
    <w:rsid w:val="0019512D"/>
    <w:rsid w:val="001952FC"/>
    <w:rsid w:val="00195CC5"/>
    <w:rsid w:val="001975A4"/>
    <w:rsid w:val="001A012E"/>
    <w:rsid w:val="001A09D8"/>
    <w:rsid w:val="001A144F"/>
    <w:rsid w:val="001A1569"/>
    <w:rsid w:val="001A1B83"/>
    <w:rsid w:val="001A2049"/>
    <w:rsid w:val="001A22DF"/>
    <w:rsid w:val="001A3502"/>
    <w:rsid w:val="001A35AF"/>
    <w:rsid w:val="001A3CF5"/>
    <w:rsid w:val="001A4607"/>
    <w:rsid w:val="001A4D89"/>
    <w:rsid w:val="001A4DF0"/>
    <w:rsid w:val="001A6C2C"/>
    <w:rsid w:val="001A7181"/>
    <w:rsid w:val="001A7869"/>
    <w:rsid w:val="001A7ACD"/>
    <w:rsid w:val="001B0409"/>
    <w:rsid w:val="001B0E6F"/>
    <w:rsid w:val="001B1240"/>
    <w:rsid w:val="001B12D4"/>
    <w:rsid w:val="001B17B7"/>
    <w:rsid w:val="001B19BA"/>
    <w:rsid w:val="001B1B07"/>
    <w:rsid w:val="001B21E7"/>
    <w:rsid w:val="001B37DE"/>
    <w:rsid w:val="001B47E4"/>
    <w:rsid w:val="001B62BA"/>
    <w:rsid w:val="001B66CF"/>
    <w:rsid w:val="001B7418"/>
    <w:rsid w:val="001C0021"/>
    <w:rsid w:val="001C1513"/>
    <w:rsid w:val="001C1905"/>
    <w:rsid w:val="001C1D09"/>
    <w:rsid w:val="001C1E94"/>
    <w:rsid w:val="001C2078"/>
    <w:rsid w:val="001C21BA"/>
    <w:rsid w:val="001C4A91"/>
    <w:rsid w:val="001C4C1A"/>
    <w:rsid w:val="001C51A7"/>
    <w:rsid w:val="001C539C"/>
    <w:rsid w:val="001C5A11"/>
    <w:rsid w:val="001C6687"/>
    <w:rsid w:val="001C6861"/>
    <w:rsid w:val="001C6B11"/>
    <w:rsid w:val="001D07BE"/>
    <w:rsid w:val="001D0C9F"/>
    <w:rsid w:val="001D1A5B"/>
    <w:rsid w:val="001D1A93"/>
    <w:rsid w:val="001D1B14"/>
    <w:rsid w:val="001D2058"/>
    <w:rsid w:val="001D3008"/>
    <w:rsid w:val="001D5E44"/>
    <w:rsid w:val="001D6789"/>
    <w:rsid w:val="001D69E5"/>
    <w:rsid w:val="001D6A7D"/>
    <w:rsid w:val="001D7494"/>
    <w:rsid w:val="001D7833"/>
    <w:rsid w:val="001D795A"/>
    <w:rsid w:val="001D7D70"/>
    <w:rsid w:val="001D7F25"/>
    <w:rsid w:val="001E0CC0"/>
    <w:rsid w:val="001E1727"/>
    <w:rsid w:val="001E2583"/>
    <w:rsid w:val="001E2897"/>
    <w:rsid w:val="001E2E51"/>
    <w:rsid w:val="001E367B"/>
    <w:rsid w:val="001E40D0"/>
    <w:rsid w:val="001E4C54"/>
    <w:rsid w:val="001E5347"/>
    <w:rsid w:val="001E588D"/>
    <w:rsid w:val="001E5BAA"/>
    <w:rsid w:val="001E6A53"/>
    <w:rsid w:val="001E6C4E"/>
    <w:rsid w:val="001E7795"/>
    <w:rsid w:val="001E7FD6"/>
    <w:rsid w:val="001F021C"/>
    <w:rsid w:val="001F0794"/>
    <w:rsid w:val="001F09DD"/>
    <w:rsid w:val="001F0BD8"/>
    <w:rsid w:val="001F1286"/>
    <w:rsid w:val="001F18E6"/>
    <w:rsid w:val="001F1D8C"/>
    <w:rsid w:val="001F1E7F"/>
    <w:rsid w:val="001F2244"/>
    <w:rsid w:val="001F35AC"/>
    <w:rsid w:val="001F3706"/>
    <w:rsid w:val="001F3B61"/>
    <w:rsid w:val="001F4222"/>
    <w:rsid w:val="001F5502"/>
    <w:rsid w:val="001F55AD"/>
    <w:rsid w:val="001F6968"/>
    <w:rsid w:val="001F6A2A"/>
    <w:rsid w:val="001F6C07"/>
    <w:rsid w:val="001F706B"/>
    <w:rsid w:val="001F70BC"/>
    <w:rsid w:val="001F7BD5"/>
    <w:rsid w:val="00200D54"/>
    <w:rsid w:val="00200EF2"/>
    <w:rsid w:val="00201C09"/>
    <w:rsid w:val="00201C8C"/>
    <w:rsid w:val="002022F5"/>
    <w:rsid w:val="002027EA"/>
    <w:rsid w:val="00202C6A"/>
    <w:rsid w:val="0020490E"/>
    <w:rsid w:val="00205D75"/>
    <w:rsid w:val="00206317"/>
    <w:rsid w:val="0020717F"/>
    <w:rsid w:val="00207235"/>
    <w:rsid w:val="00207549"/>
    <w:rsid w:val="00210C6D"/>
    <w:rsid w:val="002118CB"/>
    <w:rsid w:val="00211D80"/>
    <w:rsid w:val="002125D5"/>
    <w:rsid w:val="002127CF"/>
    <w:rsid w:val="0021384C"/>
    <w:rsid w:val="00214233"/>
    <w:rsid w:val="002143EB"/>
    <w:rsid w:val="00214538"/>
    <w:rsid w:val="00214633"/>
    <w:rsid w:val="00214BD7"/>
    <w:rsid w:val="00214C93"/>
    <w:rsid w:val="00215314"/>
    <w:rsid w:val="00215E56"/>
    <w:rsid w:val="00215E5A"/>
    <w:rsid w:val="00215FEF"/>
    <w:rsid w:val="00216080"/>
    <w:rsid w:val="00216A3B"/>
    <w:rsid w:val="00216BFC"/>
    <w:rsid w:val="0021704F"/>
    <w:rsid w:val="00217E09"/>
    <w:rsid w:val="002205E8"/>
    <w:rsid w:val="00220630"/>
    <w:rsid w:val="00220858"/>
    <w:rsid w:val="0022120F"/>
    <w:rsid w:val="00221901"/>
    <w:rsid w:val="00221FD6"/>
    <w:rsid w:val="00222C8F"/>
    <w:rsid w:val="00223256"/>
    <w:rsid w:val="002238B2"/>
    <w:rsid w:val="00223BD4"/>
    <w:rsid w:val="00224262"/>
    <w:rsid w:val="00225448"/>
    <w:rsid w:val="00225A3D"/>
    <w:rsid w:val="00225D4A"/>
    <w:rsid w:val="00225E8D"/>
    <w:rsid w:val="00225EE1"/>
    <w:rsid w:val="00226268"/>
    <w:rsid w:val="0022653C"/>
    <w:rsid w:val="00226949"/>
    <w:rsid w:val="0022779D"/>
    <w:rsid w:val="00230F02"/>
    <w:rsid w:val="00231637"/>
    <w:rsid w:val="0023188C"/>
    <w:rsid w:val="00231A89"/>
    <w:rsid w:val="002323D7"/>
    <w:rsid w:val="00232410"/>
    <w:rsid w:val="0023256F"/>
    <w:rsid w:val="002328D4"/>
    <w:rsid w:val="00233287"/>
    <w:rsid w:val="002332EA"/>
    <w:rsid w:val="00233695"/>
    <w:rsid w:val="00234195"/>
    <w:rsid w:val="00234308"/>
    <w:rsid w:val="0023456D"/>
    <w:rsid w:val="00234C0A"/>
    <w:rsid w:val="00235522"/>
    <w:rsid w:val="00235632"/>
    <w:rsid w:val="0023590A"/>
    <w:rsid w:val="00236279"/>
    <w:rsid w:val="002369D2"/>
    <w:rsid w:val="00236A7C"/>
    <w:rsid w:val="00237545"/>
    <w:rsid w:val="00237B6F"/>
    <w:rsid w:val="00237E6C"/>
    <w:rsid w:val="00240AA7"/>
    <w:rsid w:val="00240B26"/>
    <w:rsid w:val="002421F7"/>
    <w:rsid w:val="00242918"/>
    <w:rsid w:val="00242945"/>
    <w:rsid w:val="00242B3D"/>
    <w:rsid w:val="002433AD"/>
    <w:rsid w:val="002441A2"/>
    <w:rsid w:val="0024423B"/>
    <w:rsid w:val="00244621"/>
    <w:rsid w:val="002448FB"/>
    <w:rsid w:val="00244915"/>
    <w:rsid w:val="002473FF"/>
    <w:rsid w:val="00247819"/>
    <w:rsid w:val="002509F2"/>
    <w:rsid w:val="00251145"/>
    <w:rsid w:val="00251F84"/>
    <w:rsid w:val="00252486"/>
    <w:rsid w:val="00252C1E"/>
    <w:rsid w:val="00253979"/>
    <w:rsid w:val="00253D08"/>
    <w:rsid w:val="00253DAD"/>
    <w:rsid w:val="002557CA"/>
    <w:rsid w:val="00255B04"/>
    <w:rsid w:val="0025632A"/>
    <w:rsid w:val="002563C2"/>
    <w:rsid w:val="002566C2"/>
    <w:rsid w:val="00256712"/>
    <w:rsid w:val="0025743A"/>
    <w:rsid w:val="00257617"/>
    <w:rsid w:val="00257959"/>
    <w:rsid w:val="0026018C"/>
    <w:rsid w:val="002606CC"/>
    <w:rsid w:val="00260F41"/>
    <w:rsid w:val="002613D9"/>
    <w:rsid w:val="0026188D"/>
    <w:rsid w:val="00261A4C"/>
    <w:rsid w:val="00261C17"/>
    <w:rsid w:val="00261D4F"/>
    <w:rsid w:val="00262735"/>
    <w:rsid w:val="00262DD3"/>
    <w:rsid w:val="002632AD"/>
    <w:rsid w:val="00263349"/>
    <w:rsid w:val="0026372B"/>
    <w:rsid w:val="00263E47"/>
    <w:rsid w:val="00265C43"/>
    <w:rsid w:val="00265C45"/>
    <w:rsid w:val="002669EC"/>
    <w:rsid w:val="00270087"/>
    <w:rsid w:val="002701D0"/>
    <w:rsid w:val="00270892"/>
    <w:rsid w:val="00270CEF"/>
    <w:rsid w:val="0027127E"/>
    <w:rsid w:val="00271857"/>
    <w:rsid w:val="00271908"/>
    <w:rsid w:val="00271D30"/>
    <w:rsid w:val="00271FBA"/>
    <w:rsid w:val="00272109"/>
    <w:rsid w:val="0027272A"/>
    <w:rsid w:val="00272A96"/>
    <w:rsid w:val="002739AC"/>
    <w:rsid w:val="00273CD9"/>
    <w:rsid w:val="00273E13"/>
    <w:rsid w:val="00274C29"/>
    <w:rsid w:val="00274D6D"/>
    <w:rsid w:val="00275A8B"/>
    <w:rsid w:val="00275AA3"/>
    <w:rsid w:val="00275B0F"/>
    <w:rsid w:val="00275E89"/>
    <w:rsid w:val="00276491"/>
    <w:rsid w:val="00276D77"/>
    <w:rsid w:val="0027758B"/>
    <w:rsid w:val="00277719"/>
    <w:rsid w:val="00277DAB"/>
    <w:rsid w:val="00280603"/>
    <w:rsid w:val="002815F5"/>
    <w:rsid w:val="0028266F"/>
    <w:rsid w:val="0028270B"/>
    <w:rsid w:val="002828CF"/>
    <w:rsid w:val="002836B1"/>
    <w:rsid w:val="002848BD"/>
    <w:rsid w:val="00284BAE"/>
    <w:rsid w:val="00284FE2"/>
    <w:rsid w:val="00285241"/>
    <w:rsid w:val="00285A02"/>
    <w:rsid w:val="00285D3E"/>
    <w:rsid w:val="00285E37"/>
    <w:rsid w:val="00286136"/>
    <w:rsid w:val="00286B78"/>
    <w:rsid w:val="00286DFF"/>
    <w:rsid w:val="00290187"/>
    <w:rsid w:val="002902AA"/>
    <w:rsid w:val="00290869"/>
    <w:rsid w:val="00290AB5"/>
    <w:rsid w:val="00290EF3"/>
    <w:rsid w:val="00291781"/>
    <w:rsid w:val="002918AE"/>
    <w:rsid w:val="002918BF"/>
    <w:rsid w:val="002921EF"/>
    <w:rsid w:val="00292207"/>
    <w:rsid w:val="00292654"/>
    <w:rsid w:val="00292DEF"/>
    <w:rsid w:val="002930B4"/>
    <w:rsid w:val="0029340F"/>
    <w:rsid w:val="00293F64"/>
    <w:rsid w:val="00295542"/>
    <w:rsid w:val="002968EC"/>
    <w:rsid w:val="00296A60"/>
    <w:rsid w:val="00297E8F"/>
    <w:rsid w:val="00297F0A"/>
    <w:rsid w:val="002A01E4"/>
    <w:rsid w:val="002A054D"/>
    <w:rsid w:val="002A0838"/>
    <w:rsid w:val="002A143A"/>
    <w:rsid w:val="002A17F8"/>
    <w:rsid w:val="002A1C52"/>
    <w:rsid w:val="002A2C07"/>
    <w:rsid w:val="002A345B"/>
    <w:rsid w:val="002A3B0B"/>
    <w:rsid w:val="002A3DD7"/>
    <w:rsid w:val="002A3F3D"/>
    <w:rsid w:val="002A456C"/>
    <w:rsid w:val="002A489D"/>
    <w:rsid w:val="002A5265"/>
    <w:rsid w:val="002A557C"/>
    <w:rsid w:val="002A594F"/>
    <w:rsid w:val="002A5BA3"/>
    <w:rsid w:val="002A6BBB"/>
    <w:rsid w:val="002A77FD"/>
    <w:rsid w:val="002B0410"/>
    <w:rsid w:val="002B0D31"/>
    <w:rsid w:val="002B0DB9"/>
    <w:rsid w:val="002B16FA"/>
    <w:rsid w:val="002B1CC1"/>
    <w:rsid w:val="002B1CF7"/>
    <w:rsid w:val="002B265C"/>
    <w:rsid w:val="002B2B2A"/>
    <w:rsid w:val="002B3D26"/>
    <w:rsid w:val="002B4561"/>
    <w:rsid w:val="002B4E77"/>
    <w:rsid w:val="002B5413"/>
    <w:rsid w:val="002B5910"/>
    <w:rsid w:val="002B5C9F"/>
    <w:rsid w:val="002B61A7"/>
    <w:rsid w:val="002B6B92"/>
    <w:rsid w:val="002B6DA4"/>
    <w:rsid w:val="002B77D7"/>
    <w:rsid w:val="002C0787"/>
    <w:rsid w:val="002C0955"/>
    <w:rsid w:val="002C0C8C"/>
    <w:rsid w:val="002C0DB9"/>
    <w:rsid w:val="002C0E97"/>
    <w:rsid w:val="002C1BF5"/>
    <w:rsid w:val="002C2683"/>
    <w:rsid w:val="002C2DDC"/>
    <w:rsid w:val="002C3B4B"/>
    <w:rsid w:val="002C3BCD"/>
    <w:rsid w:val="002C5F77"/>
    <w:rsid w:val="002C6966"/>
    <w:rsid w:val="002C6A22"/>
    <w:rsid w:val="002C739E"/>
    <w:rsid w:val="002C74D4"/>
    <w:rsid w:val="002C75BB"/>
    <w:rsid w:val="002D0111"/>
    <w:rsid w:val="002D08BF"/>
    <w:rsid w:val="002D206B"/>
    <w:rsid w:val="002D2806"/>
    <w:rsid w:val="002D2BAB"/>
    <w:rsid w:val="002D2F87"/>
    <w:rsid w:val="002D3408"/>
    <w:rsid w:val="002D39BD"/>
    <w:rsid w:val="002D3AED"/>
    <w:rsid w:val="002D3C41"/>
    <w:rsid w:val="002D3F53"/>
    <w:rsid w:val="002D405B"/>
    <w:rsid w:val="002D418D"/>
    <w:rsid w:val="002D48CD"/>
    <w:rsid w:val="002D4F05"/>
    <w:rsid w:val="002D5630"/>
    <w:rsid w:val="002D6665"/>
    <w:rsid w:val="002D67C5"/>
    <w:rsid w:val="002D6F43"/>
    <w:rsid w:val="002D70DC"/>
    <w:rsid w:val="002D71DB"/>
    <w:rsid w:val="002D7FBC"/>
    <w:rsid w:val="002E0B55"/>
    <w:rsid w:val="002E10E9"/>
    <w:rsid w:val="002E1884"/>
    <w:rsid w:val="002E2286"/>
    <w:rsid w:val="002E26E6"/>
    <w:rsid w:val="002E2BB0"/>
    <w:rsid w:val="002E2DB7"/>
    <w:rsid w:val="002E2E90"/>
    <w:rsid w:val="002E3655"/>
    <w:rsid w:val="002E36A6"/>
    <w:rsid w:val="002E3FEE"/>
    <w:rsid w:val="002E4835"/>
    <w:rsid w:val="002E489A"/>
    <w:rsid w:val="002E4AD7"/>
    <w:rsid w:val="002E4F28"/>
    <w:rsid w:val="002E5824"/>
    <w:rsid w:val="002E5B31"/>
    <w:rsid w:val="002E5BC2"/>
    <w:rsid w:val="002E6313"/>
    <w:rsid w:val="002F0562"/>
    <w:rsid w:val="002F060A"/>
    <w:rsid w:val="002F07BB"/>
    <w:rsid w:val="002F14D5"/>
    <w:rsid w:val="002F14D8"/>
    <w:rsid w:val="002F14FE"/>
    <w:rsid w:val="002F186F"/>
    <w:rsid w:val="002F1A03"/>
    <w:rsid w:val="002F1CD3"/>
    <w:rsid w:val="002F2C68"/>
    <w:rsid w:val="002F3A55"/>
    <w:rsid w:val="002F3D7A"/>
    <w:rsid w:val="002F432D"/>
    <w:rsid w:val="002F45B0"/>
    <w:rsid w:val="002F47EF"/>
    <w:rsid w:val="002F5319"/>
    <w:rsid w:val="002F5AB5"/>
    <w:rsid w:val="002F5D8C"/>
    <w:rsid w:val="002F6028"/>
    <w:rsid w:val="002F75D7"/>
    <w:rsid w:val="002F79F0"/>
    <w:rsid w:val="003001DC"/>
    <w:rsid w:val="003009E4"/>
    <w:rsid w:val="00300C2A"/>
    <w:rsid w:val="00301329"/>
    <w:rsid w:val="00301458"/>
    <w:rsid w:val="00302719"/>
    <w:rsid w:val="00303C1C"/>
    <w:rsid w:val="00304089"/>
    <w:rsid w:val="0030459F"/>
    <w:rsid w:val="00304A46"/>
    <w:rsid w:val="00304BAA"/>
    <w:rsid w:val="00304FAF"/>
    <w:rsid w:val="00304FDC"/>
    <w:rsid w:val="003056DB"/>
    <w:rsid w:val="00306370"/>
    <w:rsid w:val="003064C5"/>
    <w:rsid w:val="00306EB4"/>
    <w:rsid w:val="0030720A"/>
    <w:rsid w:val="00307806"/>
    <w:rsid w:val="00307CFC"/>
    <w:rsid w:val="00307E06"/>
    <w:rsid w:val="0031056E"/>
    <w:rsid w:val="00310A6F"/>
    <w:rsid w:val="00310B7A"/>
    <w:rsid w:val="00311082"/>
    <w:rsid w:val="00311392"/>
    <w:rsid w:val="00311AF5"/>
    <w:rsid w:val="003127B2"/>
    <w:rsid w:val="003128B8"/>
    <w:rsid w:val="00312B87"/>
    <w:rsid w:val="00313F84"/>
    <w:rsid w:val="00314B33"/>
    <w:rsid w:val="003151AF"/>
    <w:rsid w:val="003152AC"/>
    <w:rsid w:val="003152D6"/>
    <w:rsid w:val="00315E49"/>
    <w:rsid w:val="00316D6A"/>
    <w:rsid w:val="00317229"/>
    <w:rsid w:val="003174E8"/>
    <w:rsid w:val="0032011A"/>
    <w:rsid w:val="00320CFF"/>
    <w:rsid w:val="00320FEB"/>
    <w:rsid w:val="00321993"/>
    <w:rsid w:val="00321C33"/>
    <w:rsid w:val="00321D86"/>
    <w:rsid w:val="00321DEE"/>
    <w:rsid w:val="00321F5C"/>
    <w:rsid w:val="00321F6F"/>
    <w:rsid w:val="00321FA1"/>
    <w:rsid w:val="00322AD8"/>
    <w:rsid w:val="00322B7B"/>
    <w:rsid w:val="003230BD"/>
    <w:rsid w:val="00323D9F"/>
    <w:rsid w:val="00324374"/>
    <w:rsid w:val="0032639D"/>
    <w:rsid w:val="003266B2"/>
    <w:rsid w:val="00326AF9"/>
    <w:rsid w:val="003271C6"/>
    <w:rsid w:val="003272B6"/>
    <w:rsid w:val="00327D1E"/>
    <w:rsid w:val="00327FE2"/>
    <w:rsid w:val="0033042E"/>
    <w:rsid w:val="00330772"/>
    <w:rsid w:val="00331055"/>
    <w:rsid w:val="00331C1E"/>
    <w:rsid w:val="00331E7D"/>
    <w:rsid w:val="00331EBD"/>
    <w:rsid w:val="003329E7"/>
    <w:rsid w:val="00332AB5"/>
    <w:rsid w:val="00333755"/>
    <w:rsid w:val="00334236"/>
    <w:rsid w:val="00335301"/>
    <w:rsid w:val="00336AA5"/>
    <w:rsid w:val="00336DA7"/>
    <w:rsid w:val="00337576"/>
    <w:rsid w:val="00337CCC"/>
    <w:rsid w:val="00340B56"/>
    <w:rsid w:val="00341440"/>
    <w:rsid w:val="0034199E"/>
    <w:rsid w:val="00341CDE"/>
    <w:rsid w:val="00341D60"/>
    <w:rsid w:val="00341FBD"/>
    <w:rsid w:val="003423F4"/>
    <w:rsid w:val="003427E3"/>
    <w:rsid w:val="003427FF"/>
    <w:rsid w:val="00342F85"/>
    <w:rsid w:val="003446D4"/>
    <w:rsid w:val="003448B5"/>
    <w:rsid w:val="00344DCF"/>
    <w:rsid w:val="003454CA"/>
    <w:rsid w:val="00345784"/>
    <w:rsid w:val="00345831"/>
    <w:rsid w:val="00345B8C"/>
    <w:rsid w:val="00346D14"/>
    <w:rsid w:val="003472FC"/>
    <w:rsid w:val="003474A7"/>
    <w:rsid w:val="00347CC8"/>
    <w:rsid w:val="00350B18"/>
    <w:rsid w:val="00351775"/>
    <w:rsid w:val="00351787"/>
    <w:rsid w:val="00351955"/>
    <w:rsid w:val="0035224A"/>
    <w:rsid w:val="00352548"/>
    <w:rsid w:val="0035267F"/>
    <w:rsid w:val="00353327"/>
    <w:rsid w:val="00353CD6"/>
    <w:rsid w:val="003543DC"/>
    <w:rsid w:val="00355149"/>
    <w:rsid w:val="00355653"/>
    <w:rsid w:val="00355944"/>
    <w:rsid w:val="00355F53"/>
    <w:rsid w:val="00356EC5"/>
    <w:rsid w:val="00357082"/>
    <w:rsid w:val="003573D3"/>
    <w:rsid w:val="00357E04"/>
    <w:rsid w:val="003602BB"/>
    <w:rsid w:val="00360402"/>
    <w:rsid w:val="00360570"/>
    <w:rsid w:val="00360640"/>
    <w:rsid w:val="00360EEA"/>
    <w:rsid w:val="0036142B"/>
    <w:rsid w:val="003614C8"/>
    <w:rsid w:val="00361D66"/>
    <w:rsid w:val="00362058"/>
    <w:rsid w:val="00362D81"/>
    <w:rsid w:val="00362E1B"/>
    <w:rsid w:val="00363425"/>
    <w:rsid w:val="0036380C"/>
    <w:rsid w:val="00363929"/>
    <w:rsid w:val="00363D25"/>
    <w:rsid w:val="0036426A"/>
    <w:rsid w:val="0036431C"/>
    <w:rsid w:val="00364413"/>
    <w:rsid w:val="0036482C"/>
    <w:rsid w:val="003649D6"/>
    <w:rsid w:val="00364D11"/>
    <w:rsid w:val="00364E3E"/>
    <w:rsid w:val="003653BA"/>
    <w:rsid w:val="0036542D"/>
    <w:rsid w:val="00366FA6"/>
    <w:rsid w:val="003670AF"/>
    <w:rsid w:val="003701AF"/>
    <w:rsid w:val="0037118E"/>
    <w:rsid w:val="0037148E"/>
    <w:rsid w:val="00371F60"/>
    <w:rsid w:val="00372DD5"/>
    <w:rsid w:val="003734F7"/>
    <w:rsid w:val="00374488"/>
    <w:rsid w:val="00375689"/>
    <w:rsid w:val="0037572A"/>
    <w:rsid w:val="00375CB5"/>
    <w:rsid w:val="003762AC"/>
    <w:rsid w:val="00376505"/>
    <w:rsid w:val="003779D9"/>
    <w:rsid w:val="00380331"/>
    <w:rsid w:val="00380572"/>
    <w:rsid w:val="003807D7"/>
    <w:rsid w:val="00380C1B"/>
    <w:rsid w:val="0038104F"/>
    <w:rsid w:val="00381144"/>
    <w:rsid w:val="003813C7"/>
    <w:rsid w:val="003826CC"/>
    <w:rsid w:val="003826DE"/>
    <w:rsid w:val="00382DFA"/>
    <w:rsid w:val="00383F5B"/>
    <w:rsid w:val="003854B1"/>
    <w:rsid w:val="003855AB"/>
    <w:rsid w:val="0038598C"/>
    <w:rsid w:val="00386195"/>
    <w:rsid w:val="00386247"/>
    <w:rsid w:val="0038627A"/>
    <w:rsid w:val="003864EF"/>
    <w:rsid w:val="003866D1"/>
    <w:rsid w:val="00386706"/>
    <w:rsid w:val="00386AC5"/>
    <w:rsid w:val="003871CA"/>
    <w:rsid w:val="003875FC"/>
    <w:rsid w:val="00390209"/>
    <w:rsid w:val="003902C1"/>
    <w:rsid w:val="00390328"/>
    <w:rsid w:val="00390F4D"/>
    <w:rsid w:val="0039132A"/>
    <w:rsid w:val="0039158A"/>
    <w:rsid w:val="0039266C"/>
    <w:rsid w:val="00392C76"/>
    <w:rsid w:val="00392DB9"/>
    <w:rsid w:val="00394F48"/>
    <w:rsid w:val="003959AF"/>
    <w:rsid w:val="00395CAF"/>
    <w:rsid w:val="00396787"/>
    <w:rsid w:val="003975E8"/>
    <w:rsid w:val="00397E99"/>
    <w:rsid w:val="003A02C4"/>
    <w:rsid w:val="003A1375"/>
    <w:rsid w:val="003A16F5"/>
    <w:rsid w:val="003A1770"/>
    <w:rsid w:val="003A2349"/>
    <w:rsid w:val="003A2CF2"/>
    <w:rsid w:val="003A30A8"/>
    <w:rsid w:val="003A4648"/>
    <w:rsid w:val="003A4BCB"/>
    <w:rsid w:val="003A4F44"/>
    <w:rsid w:val="003A52E8"/>
    <w:rsid w:val="003A6DD4"/>
    <w:rsid w:val="003A6E4A"/>
    <w:rsid w:val="003A7149"/>
    <w:rsid w:val="003A7B23"/>
    <w:rsid w:val="003B15C0"/>
    <w:rsid w:val="003B16F9"/>
    <w:rsid w:val="003B174A"/>
    <w:rsid w:val="003B186B"/>
    <w:rsid w:val="003B18E6"/>
    <w:rsid w:val="003B35D9"/>
    <w:rsid w:val="003B3774"/>
    <w:rsid w:val="003B4275"/>
    <w:rsid w:val="003B47A7"/>
    <w:rsid w:val="003B4D0A"/>
    <w:rsid w:val="003B4F7F"/>
    <w:rsid w:val="003B6299"/>
    <w:rsid w:val="003B6538"/>
    <w:rsid w:val="003B6555"/>
    <w:rsid w:val="003B709A"/>
    <w:rsid w:val="003C03FA"/>
    <w:rsid w:val="003C0A9D"/>
    <w:rsid w:val="003C0F6B"/>
    <w:rsid w:val="003C2311"/>
    <w:rsid w:val="003C41EA"/>
    <w:rsid w:val="003C4305"/>
    <w:rsid w:val="003C460C"/>
    <w:rsid w:val="003C6606"/>
    <w:rsid w:val="003C6673"/>
    <w:rsid w:val="003C6BE7"/>
    <w:rsid w:val="003C76CA"/>
    <w:rsid w:val="003C7BF2"/>
    <w:rsid w:val="003D00DD"/>
    <w:rsid w:val="003D0CB3"/>
    <w:rsid w:val="003D13B9"/>
    <w:rsid w:val="003D142B"/>
    <w:rsid w:val="003D14C5"/>
    <w:rsid w:val="003D15D7"/>
    <w:rsid w:val="003D16C6"/>
    <w:rsid w:val="003D1ACD"/>
    <w:rsid w:val="003D1CE8"/>
    <w:rsid w:val="003D1DDB"/>
    <w:rsid w:val="003D29DD"/>
    <w:rsid w:val="003D2D3F"/>
    <w:rsid w:val="003D3679"/>
    <w:rsid w:val="003D3718"/>
    <w:rsid w:val="003D45AB"/>
    <w:rsid w:val="003D46CD"/>
    <w:rsid w:val="003D47D8"/>
    <w:rsid w:val="003D5AA3"/>
    <w:rsid w:val="003D66B9"/>
    <w:rsid w:val="003D69E7"/>
    <w:rsid w:val="003D6CB4"/>
    <w:rsid w:val="003E00BB"/>
    <w:rsid w:val="003E0386"/>
    <w:rsid w:val="003E0397"/>
    <w:rsid w:val="003E0859"/>
    <w:rsid w:val="003E1202"/>
    <w:rsid w:val="003E1B5D"/>
    <w:rsid w:val="003E1BEA"/>
    <w:rsid w:val="003E28CF"/>
    <w:rsid w:val="003E2A5E"/>
    <w:rsid w:val="003E2C87"/>
    <w:rsid w:val="003E2F27"/>
    <w:rsid w:val="003E2F88"/>
    <w:rsid w:val="003E352A"/>
    <w:rsid w:val="003E357B"/>
    <w:rsid w:val="003E3F03"/>
    <w:rsid w:val="003E437B"/>
    <w:rsid w:val="003E4B34"/>
    <w:rsid w:val="003E4B41"/>
    <w:rsid w:val="003E5AA8"/>
    <w:rsid w:val="003E5DE1"/>
    <w:rsid w:val="003E6213"/>
    <w:rsid w:val="003E64FC"/>
    <w:rsid w:val="003E6A27"/>
    <w:rsid w:val="003E6AAA"/>
    <w:rsid w:val="003E7245"/>
    <w:rsid w:val="003E78B0"/>
    <w:rsid w:val="003E7FB5"/>
    <w:rsid w:val="003F007B"/>
    <w:rsid w:val="003F00CA"/>
    <w:rsid w:val="003F0A53"/>
    <w:rsid w:val="003F0BF0"/>
    <w:rsid w:val="003F0C3C"/>
    <w:rsid w:val="003F0D7A"/>
    <w:rsid w:val="003F13F0"/>
    <w:rsid w:val="003F1ABD"/>
    <w:rsid w:val="003F1B39"/>
    <w:rsid w:val="003F22E1"/>
    <w:rsid w:val="003F2382"/>
    <w:rsid w:val="003F359B"/>
    <w:rsid w:val="003F3A7A"/>
    <w:rsid w:val="003F3F9F"/>
    <w:rsid w:val="003F407F"/>
    <w:rsid w:val="003F42D8"/>
    <w:rsid w:val="003F4634"/>
    <w:rsid w:val="003F4862"/>
    <w:rsid w:val="003F51C2"/>
    <w:rsid w:val="003F569C"/>
    <w:rsid w:val="003F6BAE"/>
    <w:rsid w:val="003F6C54"/>
    <w:rsid w:val="003F70B0"/>
    <w:rsid w:val="003F7B97"/>
    <w:rsid w:val="00400F89"/>
    <w:rsid w:val="00400FBC"/>
    <w:rsid w:val="004014A1"/>
    <w:rsid w:val="0040153F"/>
    <w:rsid w:val="00401AA7"/>
    <w:rsid w:val="00401FB4"/>
    <w:rsid w:val="004021A3"/>
    <w:rsid w:val="00402564"/>
    <w:rsid w:val="004029FF"/>
    <w:rsid w:val="004033C8"/>
    <w:rsid w:val="0040383A"/>
    <w:rsid w:val="00403879"/>
    <w:rsid w:val="00403FEB"/>
    <w:rsid w:val="0040424F"/>
    <w:rsid w:val="0040582B"/>
    <w:rsid w:val="00406BA5"/>
    <w:rsid w:val="00406C0E"/>
    <w:rsid w:val="00407618"/>
    <w:rsid w:val="00410132"/>
    <w:rsid w:val="00410381"/>
    <w:rsid w:val="0041038B"/>
    <w:rsid w:val="004105C5"/>
    <w:rsid w:val="00410FF9"/>
    <w:rsid w:val="00411AB0"/>
    <w:rsid w:val="0041279C"/>
    <w:rsid w:val="00412ACA"/>
    <w:rsid w:val="00412CAB"/>
    <w:rsid w:val="004144C5"/>
    <w:rsid w:val="00415C75"/>
    <w:rsid w:val="0041663F"/>
    <w:rsid w:val="0041689E"/>
    <w:rsid w:val="00417713"/>
    <w:rsid w:val="00417EED"/>
    <w:rsid w:val="0042000A"/>
    <w:rsid w:val="004209F6"/>
    <w:rsid w:val="00420AA0"/>
    <w:rsid w:val="00420E01"/>
    <w:rsid w:val="00421912"/>
    <w:rsid w:val="00421A0A"/>
    <w:rsid w:val="00421E3B"/>
    <w:rsid w:val="004221E7"/>
    <w:rsid w:val="00422F00"/>
    <w:rsid w:val="004230BA"/>
    <w:rsid w:val="00423826"/>
    <w:rsid w:val="00423997"/>
    <w:rsid w:val="00423CE2"/>
    <w:rsid w:val="0042582A"/>
    <w:rsid w:val="00426029"/>
    <w:rsid w:val="00426228"/>
    <w:rsid w:val="00426332"/>
    <w:rsid w:val="0042654E"/>
    <w:rsid w:val="00426C92"/>
    <w:rsid w:val="0042726C"/>
    <w:rsid w:val="004274CA"/>
    <w:rsid w:val="0042779F"/>
    <w:rsid w:val="004278FB"/>
    <w:rsid w:val="00430374"/>
    <w:rsid w:val="00430E26"/>
    <w:rsid w:val="004312D3"/>
    <w:rsid w:val="004317B2"/>
    <w:rsid w:val="00431838"/>
    <w:rsid w:val="004327A1"/>
    <w:rsid w:val="0043332F"/>
    <w:rsid w:val="0043364E"/>
    <w:rsid w:val="0043387C"/>
    <w:rsid w:val="00433FD0"/>
    <w:rsid w:val="0043474D"/>
    <w:rsid w:val="00435A0D"/>
    <w:rsid w:val="004363C3"/>
    <w:rsid w:val="004375E4"/>
    <w:rsid w:val="00437BFD"/>
    <w:rsid w:val="00437DD5"/>
    <w:rsid w:val="004404FD"/>
    <w:rsid w:val="00440E27"/>
    <w:rsid w:val="00440FAD"/>
    <w:rsid w:val="004414F1"/>
    <w:rsid w:val="00441650"/>
    <w:rsid w:val="00441D87"/>
    <w:rsid w:val="0044203F"/>
    <w:rsid w:val="0044255B"/>
    <w:rsid w:val="00442619"/>
    <w:rsid w:val="00442770"/>
    <w:rsid w:val="00442997"/>
    <w:rsid w:val="00442A08"/>
    <w:rsid w:val="0044452E"/>
    <w:rsid w:val="00445056"/>
    <w:rsid w:val="004458CA"/>
    <w:rsid w:val="00445B2C"/>
    <w:rsid w:val="004462FE"/>
    <w:rsid w:val="004469B4"/>
    <w:rsid w:val="00447187"/>
    <w:rsid w:val="00447E3D"/>
    <w:rsid w:val="00447EB6"/>
    <w:rsid w:val="004506A3"/>
    <w:rsid w:val="00450A5D"/>
    <w:rsid w:val="00450A6C"/>
    <w:rsid w:val="00450C9A"/>
    <w:rsid w:val="0045140F"/>
    <w:rsid w:val="00451590"/>
    <w:rsid w:val="004519CE"/>
    <w:rsid w:val="00451D88"/>
    <w:rsid w:val="00452FF1"/>
    <w:rsid w:val="00453353"/>
    <w:rsid w:val="00453793"/>
    <w:rsid w:val="00453E30"/>
    <w:rsid w:val="00454D11"/>
    <w:rsid w:val="00455654"/>
    <w:rsid w:val="0045576E"/>
    <w:rsid w:val="00455827"/>
    <w:rsid w:val="00456BBC"/>
    <w:rsid w:val="00456E38"/>
    <w:rsid w:val="00457A6D"/>
    <w:rsid w:val="00457C26"/>
    <w:rsid w:val="00460205"/>
    <w:rsid w:val="00461D6F"/>
    <w:rsid w:val="00462202"/>
    <w:rsid w:val="00462ECC"/>
    <w:rsid w:val="00462F40"/>
    <w:rsid w:val="00463F4E"/>
    <w:rsid w:val="004643C4"/>
    <w:rsid w:val="00464603"/>
    <w:rsid w:val="004648D8"/>
    <w:rsid w:val="00464CF3"/>
    <w:rsid w:val="0046572D"/>
    <w:rsid w:val="00465A97"/>
    <w:rsid w:val="004665F9"/>
    <w:rsid w:val="00466EC6"/>
    <w:rsid w:val="0046746F"/>
    <w:rsid w:val="004701CD"/>
    <w:rsid w:val="00470233"/>
    <w:rsid w:val="00470C1E"/>
    <w:rsid w:val="0047111A"/>
    <w:rsid w:val="00471267"/>
    <w:rsid w:val="00471C84"/>
    <w:rsid w:val="0047258B"/>
    <w:rsid w:val="00472602"/>
    <w:rsid w:val="00472982"/>
    <w:rsid w:val="0047324B"/>
    <w:rsid w:val="0047346A"/>
    <w:rsid w:val="00473601"/>
    <w:rsid w:val="00473B9F"/>
    <w:rsid w:val="00473C99"/>
    <w:rsid w:val="0047414D"/>
    <w:rsid w:val="004745A0"/>
    <w:rsid w:val="0047539F"/>
    <w:rsid w:val="00475E0F"/>
    <w:rsid w:val="00475F4D"/>
    <w:rsid w:val="00476C8D"/>
    <w:rsid w:val="00477053"/>
    <w:rsid w:val="0047717A"/>
    <w:rsid w:val="00477588"/>
    <w:rsid w:val="00477729"/>
    <w:rsid w:val="00477993"/>
    <w:rsid w:val="00480A08"/>
    <w:rsid w:val="0048138E"/>
    <w:rsid w:val="00481C17"/>
    <w:rsid w:val="0048223C"/>
    <w:rsid w:val="00482977"/>
    <w:rsid w:val="00482B7B"/>
    <w:rsid w:val="00482E26"/>
    <w:rsid w:val="00482EF4"/>
    <w:rsid w:val="00483628"/>
    <w:rsid w:val="004842B4"/>
    <w:rsid w:val="004850D4"/>
    <w:rsid w:val="00485ACB"/>
    <w:rsid w:val="00485BB8"/>
    <w:rsid w:val="004864C4"/>
    <w:rsid w:val="004867B3"/>
    <w:rsid w:val="00487039"/>
    <w:rsid w:val="0048727B"/>
    <w:rsid w:val="00487372"/>
    <w:rsid w:val="0048795B"/>
    <w:rsid w:val="004902FE"/>
    <w:rsid w:val="004907A4"/>
    <w:rsid w:val="00490A9F"/>
    <w:rsid w:val="00491054"/>
    <w:rsid w:val="004911FB"/>
    <w:rsid w:val="00491710"/>
    <w:rsid w:val="00492EA0"/>
    <w:rsid w:val="00493C98"/>
    <w:rsid w:val="00494586"/>
    <w:rsid w:val="00494EBD"/>
    <w:rsid w:val="00495AE6"/>
    <w:rsid w:val="0049680C"/>
    <w:rsid w:val="00496DD2"/>
    <w:rsid w:val="004972FD"/>
    <w:rsid w:val="00497357"/>
    <w:rsid w:val="0049765C"/>
    <w:rsid w:val="00497DB1"/>
    <w:rsid w:val="00497F20"/>
    <w:rsid w:val="004A07CC"/>
    <w:rsid w:val="004A09FE"/>
    <w:rsid w:val="004A2398"/>
    <w:rsid w:val="004A2A77"/>
    <w:rsid w:val="004A3009"/>
    <w:rsid w:val="004A3023"/>
    <w:rsid w:val="004A3360"/>
    <w:rsid w:val="004A34E0"/>
    <w:rsid w:val="004A3A92"/>
    <w:rsid w:val="004A4008"/>
    <w:rsid w:val="004A4158"/>
    <w:rsid w:val="004A5C8E"/>
    <w:rsid w:val="004A7839"/>
    <w:rsid w:val="004A7D6D"/>
    <w:rsid w:val="004A7ED8"/>
    <w:rsid w:val="004A7F67"/>
    <w:rsid w:val="004B041A"/>
    <w:rsid w:val="004B08F8"/>
    <w:rsid w:val="004B0F09"/>
    <w:rsid w:val="004B1126"/>
    <w:rsid w:val="004B1453"/>
    <w:rsid w:val="004B15DD"/>
    <w:rsid w:val="004B1B12"/>
    <w:rsid w:val="004B284E"/>
    <w:rsid w:val="004B2E86"/>
    <w:rsid w:val="004B34EB"/>
    <w:rsid w:val="004B3787"/>
    <w:rsid w:val="004B3C23"/>
    <w:rsid w:val="004B4E0F"/>
    <w:rsid w:val="004B5A2B"/>
    <w:rsid w:val="004B5C74"/>
    <w:rsid w:val="004B5CDB"/>
    <w:rsid w:val="004B5FD2"/>
    <w:rsid w:val="004B606B"/>
    <w:rsid w:val="004B6724"/>
    <w:rsid w:val="004B6777"/>
    <w:rsid w:val="004C008B"/>
    <w:rsid w:val="004C0CD7"/>
    <w:rsid w:val="004C1612"/>
    <w:rsid w:val="004C3483"/>
    <w:rsid w:val="004C382C"/>
    <w:rsid w:val="004C41A5"/>
    <w:rsid w:val="004C50F6"/>
    <w:rsid w:val="004C52C7"/>
    <w:rsid w:val="004C5502"/>
    <w:rsid w:val="004C6191"/>
    <w:rsid w:val="004C6651"/>
    <w:rsid w:val="004C6AAE"/>
    <w:rsid w:val="004C70BE"/>
    <w:rsid w:val="004C73AC"/>
    <w:rsid w:val="004C75B3"/>
    <w:rsid w:val="004C776B"/>
    <w:rsid w:val="004D1128"/>
    <w:rsid w:val="004D1154"/>
    <w:rsid w:val="004D205F"/>
    <w:rsid w:val="004D2C17"/>
    <w:rsid w:val="004D2E0A"/>
    <w:rsid w:val="004D3FB4"/>
    <w:rsid w:val="004D3FC5"/>
    <w:rsid w:val="004D43D6"/>
    <w:rsid w:val="004D55CD"/>
    <w:rsid w:val="004D6C3E"/>
    <w:rsid w:val="004D6E1F"/>
    <w:rsid w:val="004D7E17"/>
    <w:rsid w:val="004E0272"/>
    <w:rsid w:val="004E055A"/>
    <w:rsid w:val="004E1084"/>
    <w:rsid w:val="004E1192"/>
    <w:rsid w:val="004E11D7"/>
    <w:rsid w:val="004E3156"/>
    <w:rsid w:val="004E32C5"/>
    <w:rsid w:val="004E45E1"/>
    <w:rsid w:val="004E60C8"/>
    <w:rsid w:val="004E650E"/>
    <w:rsid w:val="004E6DB0"/>
    <w:rsid w:val="004E74F6"/>
    <w:rsid w:val="004F02A4"/>
    <w:rsid w:val="004F0A12"/>
    <w:rsid w:val="004F1810"/>
    <w:rsid w:val="004F1825"/>
    <w:rsid w:val="004F1D62"/>
    <w:rsid w:val="004F2AE9"/>
    <w:rsid w:val="004F2DCA"/>
    <w:rsid w:val="004F3E77"/>
    <w:rsid w:val="004F4AF4"/>
    <w:rsid w:val="004F4F1E"/>
    <w:rsid w:val="004F5791"/>
    <w:rsid w:val="004F5F22"/>
    <w:rsid w:val="004F66A9"/>
    <w:rsid w:val="004F7B50"/>
    <w:rsid w:val="00500775"/>
    <w:rsid w:val="0050160A"/>
    <w:rsid w:val="00501DED"/>
    <w:rsid w:val="005021CD"/>
    <w:rsid w:val="005029E7"/>
    <w:rsid w:val="00504324"/>
    <w:rsid w:val="00504339"/>
    <w:rsid w:val="00504618"/>
    <w:rsid w:val="0050530C"/>
    <w:rsid w:val="0050661F"/>
    <w:rsid w:val="00506C69"/>
    <w:rsid w:val="005078F4"/>
    <w:rsid w:val="00510E1E"/>
    <w:rsid w:val="00511390"/>
    <w:rsid w:val="00511F27"/>
    <w:rsid w:val="0051215F"/>
    <w:rsid w:val="00512C0C"/>
    <w:rsid w:val="00513212"/>
    <w:rsid w:val="00514BBE"/>
    <w:rsid w:val="00515290"/>
    <w:rsid w:val="00516525"/>
    <w:rsid w:val="0051679C"/>
    <w:rsid w:val="0051702F"/>
    <w:rsid w:val="00517B41"/>
    <w:rsid w:val="00517E14"/>
    <w:rsid w:val="0052006A"/>
    <w:rsid w:val="00520287"/>
    <w:rsid w:val="00520638"/>
    <w:rsid w:val="00520BCE"/>
    <w:rsid w:val="0052151A"/>
    <w:rsid w:val="005216D4"/>
    <w:rsid w:val="005219DE"/>
    <w:rsid w:val="00521CF5"/>
    <w:rsid w:val="00521EAE"/>
    <w:rsid w:val="005220DA"/>
    <w:rsid w:val="00522CA0"/>
    <w:rsid w:val="00524434"/>
    <w:rsid w:val="00524BC1"/>
    <w:rsid w:val="005250D2"/>
    <w:rsid w:val="00525213"/>
    <w:rsid w:val="005255DF"/>
    <w:rsid w:val="0052635D"/>
    <w:rsid w:val="0052637F"/>
    <w:rsid w:val="005273FD"/>
    <w:rsid w:val="00530166"/>
    <w:rsid w:val="00530F84"/>
    <w:rsid w:val="00531D28"/>
    <w:rsid w:val="00531D94"/>
    <w:rsid w:val="005323CE"/>
    <w:rsid w:val="00532681"/>
    <w:rsid w:val="00532CE0"/>
    <w:rsid w:val="00533848"/>
    <w:rsid w:val="005338A1"/>
    <w:rsid w:val="00533C6E"/>
    <w:rsid w:val="005343A1"/>
    <w:rsid w:val="00534425"/>
    <w:rsid w:val="00534832"/>
    <w:rsid w:val="00535398"/>
    <w:rsid w:val="0053585E"/>
    <w:rsid w:val="00536279"/>
    <w:rsid w:val="005362D2"/>
    <w:rsid w:val="005370CC"/>
    <w:rsid w:val="00537113"/>
    <w:rsid w:val="00537888"/>
    <w:rsid w:val="005378C8"/>
    <w:rsid w:val="00537CA0"/>
    <w:rsid w:val="00537D2B"/>
    <w:rsid w:val="005400E8"/>
    <w:rsid w:val="00540F03"/>
    <w:rsid w:val="00541C77"/>
    <w:rsid w:val="00541F1F"/>
    <w:rsid w:val="005424E4"/>
    <w:rsid w:val="00542619"/>
    <w:rsid w:val="005426BD"/>
    <w:rsid w:val="005432A4"/>
    <w:rsid w:val="00543566"/>
    <w:rsid w:val="00543C77"/>
    <w:rsid w:val="00543E7E"/>
    <w:rsid w:val="005441FC"/>
    <w:rsid w:val="00544F28"/>
    <w:rsid w:val="00546706"/>
    <w:rsid w:val="00546F3E"/>
    <w:rsid w:val="00547290"/>
    <w:rsid w:val="0054766F"/>
    <w:rsid w:val="00547880"/>
    <w:rsid w:val="00547975"/>
    <w:rsid w:val="00547A24"/>
    <w:rsid w:val="00550154"/>
    <w:rsid w:val="00550B7E"/>
    <w:rsid w:val="0055170E"/>
    <w:rsid w:val="00551A4F"/>
    <w:rsid w:val="00552919"/>
    <w:rsid w:val="005529D3"/>
    <w:rsid w:val="00552BBD"/>
    <w:rsid w:val="00553226"/>
    <w:rsid w:val="00553227"/>
    <w:rsid w:val="0055351D"/>
    <w:rsid w:val="00553617"/>
    <w:rsid w:val="00553C51"/>
    <w:rsid w:val="00553FA8"/>
    <w:rsid w:val="00554850"/>
    <w:rsid w:val="00555A8A"/>
    <w:rsid w:val="00555B47"/>
    <w:rsid w:val="00555EBA"/>
    <w:rsid w:val="00556401"/>
    <w:rsid w:val="00556C22"/>
    <w:rsid w:val="00556F68"/>
    <w:rsid w:val="00557767"/>
    <w:rsid w:val="00560398"/>
    <w:rsid w:val="005608D2"/>
    <w:rsid w:val="005609EF"/>
    <w:rsid w:val="00560F09"/>
    <w:rsid w:val="00561645"/>
    <w:rsid w:val="00561A25"/>
    <w:rsid w:val="005625A4"/>
    <w:rsid w:val="005625C1"/>
    <w:rsid w:val="00563387"/>
    <w:rsid w:val="005633D1"/>
    <w:rsid w:val="00563C23"/>
    <w:rsid w:val="00563E43"/>
    <w:rsid w:val="0056459F"/>
    <w:rsid w:val="005648A2"/>
    <w:rsid w:val="00564B71"/>
    <w:rsid w:val="00564D4C"/>
    <w:rsid w:val="00565153"/>
    <w:rsid w:val="005662B3"/>
    <w:rsid w:val="00567C12"/>
    <w:rsid w:val="00570345"/>
    <w:rsid w:val="00571697"/>
    <w:rsid w:val="005716E8"/>
    <w:rsid w:val="00571A84"/>
    <w:rsid w:val="00572F30"/>
    <w:rsid w:val="005730FF"/>
    <w:rsid w:val="005739DF"/>
    <w:rsid w:val="00573E63"/>
    <w:rsid w:val="00573E64"/>
    <w:rsid w:val="005747D6"/>
    <w:rsid w:val="005748A3"/>
    <w:rsid w:val="00574F55"/>
    <w:rsid w:val="00574F9C"/>
    <w:rsid w:val="00574FFC"/>
    <w:rsid w:val="005775DD"/>
    <w:rsid w:val="00577AF9"/>
    <w:rsid w:val="00577C0D"/>
    <w:rsid w:val="00577EFC"/>
    <w:rsid w:val="00580636"/>
    <w:rsid w:val="0058132D"/>
    <w:rsid w:val="005813D4"/>
    <w:rsid w:val="00581E62"/>
    <w:rsid w:val="005821EF"/>
    <w:rsid w:val="00582394"/>
    <w:rsid w:val="00582AEE"/>
    <w:rsid w:val="00583933"/>
    <w:rsid w:val="00583B77"/>
    <w:rsid w:val="00584065"/>
    <w:rsid w:val="005845EB"/>
    <w:rsid w:val="005854EA"/>
    <w:rsid w:val="0058561A"/>
    <w:rsid w:val="00585E8C"/>
    <w:rsid w:val="00585EBD"/>
    <w:rsid w:val="005865A7"/>
    <w:rsid w:val="00586B0B"/>
    <w:rsid w:val="00586DD5"/>
    <w:rsid w:val="00586DF3"/>
    <w:rsid w:val="00586F5C"/>
    <w:rsid w:val="00587004"/>
    <w:rsid w:val="005870CB"/>
    <w:rsid w:val="00587FF3"/>
    <w:rsid w:val="00590220"/>
    <w:rsid w:val="0059035C"/>
    <w:rsid w:val="00590808"/>
    <w:rsid w:val="00590A10"/>
    <w:rsid w:val="00590A27"/>
    <w:rsid w:val="005911E5"/>
    <w:rsid w:val="00592096"/>
    <w:rsid w:val="0059234A"/>
    <w:rsid w:val="005926B2"/>
    <w:rsid w:val="00592E36"/>
    <w:rsid w:val="005933B4"/>
    <w:rsid w:val="00593D01"/>
    <w:rsid w:val="00594353"/>
    <w:rsid w:val="0059445D"/>
    <w:rsid w:val="005946D4"/>
    <w:rsid w:val="0059473D"/>
    <w:rsid w:val="0059494F"/>
    <w:rsid w:val="00594AFE"/>
    <w:rsid w:val="00595244"/>
    <w:rsid w:val="00595BC7"/>
    <w:rsid w:val="00595BCC"/>
    <w:rsid w:val="005960B3"/>
    <w:rsid w:val="00596423"/>
    <w:rsid w:val="00596614"/>
    <w:rsid w:val="005969E6"/>
    <w:rsid w:val="005970F6"/>
    <w:rsid w:val="00597303"/>
    <w:rsid w:val="00597988"/>
    <w:rsid w:val="005A0170"/>
    <w:rsid w:val="005A132A"/>
    <w:rsid w:val="005A14BA"/>
    <w:rsid w:val="005A17B1"/>
    <w:rsid w:val="005A17E6"/>
    <w:rsid w:val="005A1F7F"/>
    <w:rsid w:val="005A22C4"/>
    <w:rsid w:val="005A2F8E"/>
    <w:rsid w:val="005A38D2"/>
    <w:rsid w:val="005A409A"/>
    <w:rsid w:val="005A4975"/>
    <w:rsid w:val="005A4C71"/>
    <w:rsid w:val="005A5927"/>
    <w:rsid w:val="005A6C34"/>
    <w:rsid w:val="005A70CE"/>
    <w:rsid w:val="005A7B44"/>
    <w:rsid w:val="005A7D6D"/>
    <w:rsid w:val="005B0CA8"/>
    <w:rsid w:val="005B1857"/>
    <w:rsid w:val="005B2807"/>
    <w:rsid w:val="005B2A56"/>
    <w:rsid w:val="005B2C11"/>
    <w:rsid w:val="005B3A7B"/>
    <w:rsid w:val="005B498D"/>
    <w:rsid w:val="005B5046"/>
    <w:rsid w:val="005B5BCD"/>
    <w:rsid w:val="005B64EC"/>
    <w:rsid w:val="005C094F"/>
    <w:rsid w:val="005C0A8D"/>
    <w:rsid w:val="005C1276"/>
    <w:rsid w:val="005C1B4A"/>
    <w:rsid w:val="005C2528"/>
    <w:rsid w:val="005C2B01"/>
    <w:rsid w:val="005C2D93"/>
    <w:rsid w:val="005C3D2B"/>
    <w:rsid w:val="005C58C3"/>
    <w:rsid w:val="005C591E"/>
    <w:rsid w:val="005C6148"/>
    <w:rsid w:val="005C6243"/>
    <w:rsid w:val="005C66A3"/>
    <w:rsid w:val="005C6AD2"/>
    <w:rsid w:val="005C70A6"/>
    <w:rsid w:val="005C71CC"/>
    <w:rsid w:val="005C72B8"/>
    <w:rsid w:val="005C75E7"/>
    <w:rsid w:val="005C7D6D"/>
    <w:rsid w:val="005D05AF"/>
    <w:rsid w:val="005D0640"/>
    <w:rsid w:val="005D068E"/>
    <w:rsid w:val="005D0EB5"/>
    <w:rsid w:val="005D1217"/>
    <w:rsid w:val="005D13D5"/>
    <w:rsid w:val="005D144E"/>
    <w:rsid w:val="005D2675"/>
    <w:rsid w:val="005D2D56"/>
    <w:rsid w:val="005D3912"/>
    <w:rsid w:val="005D3B9E"/>
    <w:rsid w:val="005D4B1C"/>
    <w:rsid w:val="005D4ECD"/>
    <w:rsid w:val="005D64EB"/>
    <w:rsid w:val="005D6730"/>
    <w:rsid w:val="005D69B1"/>
    <w:rsid w:val="005D6B54"/>
    <w:rsid w:val="005D7627"/>
    <w:rsid w:val="005D7792"/>
    <w:rsid w:val="005D795C"/>
    <w:rsid w:val="005E0B9A"/>
    <w:rsid w:val="005E1014"/>
    <w:rsid w:val="005E21D6"/>
    <w:rsid w:val="005E281E"/>
    <w:rsid w:val="005E29D7"/>
    <w:rsid w:val="005E39C5"/>
    <w:rsid w:val="005E3AC1"/>
    <w:rsid w:val="005E3B49"/>
    <w:rsid w:val="005E4087"/>
    <w:rsid w:val="005E536C"/>
    <w:rsid w:val="005E680C"/>
    <w:rsid w:val="005E68A7"/>
    <w:rsid w:val="005E6C7D"/>
    <w:rsid w:val="005E6CD9"/>
    <w:rsid w:val="005E6FFD"/>
    <w:rsid w:val="005E71B8"/>
    <w:rsid w:val="005E796E"/>
    <w:rsid w:val="005E79E0"/>
    <w:rsid w:val="005E7AD2"/>
    <w:rsid w:val="005F0FE5"/>
    <w:rsid w:val="005F14BB"/>
    <w:rsid w:val="005F1ECF"/>
    <w:rsid w:val="005F23A0"/>
    <w:rsid w:val="005F45AF"/>
    <w:rsid w:val="005F5B7F"/>
    <w:rsid w:val="005F5BCA"/>
    <w:rsid w:val="005F6035"/>
    <w:rsid w:val="005F648E"/>
    <w:rsid w:val="005F66AA"/>
    <w:rsid w:val="005F6FA9"/>
    <w:rsid w:val="005F72F3"/>
    <w:rsid w:val="005F73F0"/>
    <w:rsid w:val="005F74CB"/>
    <w:rsid w:val="006004A6"/>
    <w:rsid w:val="00600DFF"/>
    <w:rsid w:val="00601480"/>
    <w:rsid w:val="006020F4"/>
    <w:rsid w:val="00602282"/>
    <w:rsid w:val="00602DD4"/>
    <w:rsid w:val="006031B4"/>
    <w:rsid w:val="0060324F"/>
    <w:rsid w:val="006033C4"/>
    <w:rsid w:val="00603B0B"/>
    <w:rsid w:val="00603D4C"/>
    <w:rsid w:val="00603E74"/>
    <w:rsid w:val="0060412B"/>
    <w:rsid w:val="00604378"/>
    <w:rsid w:val="006045F7"/>
    <w:rsid w:val="0060559F"/>
    <w:rsid w:val="006063A6"/>
    <w:rsid w:val="006067F2"/>
    <w:rsid w:val="006068E5"/>
    <w:rsid w:val="00606C38"/>
    <w:rsid w:val="00607099"/>
    <w:rsid w:val="0060718C"/>
    <w:rsid w:val="006073D5"/>
    <w:rsid w:val="00607913"/>
    <w:rsid w:val="00610224"/>
    <w:rsid w:val="00610711"/>
    <w:rsid w:val="00610ACB"/>
    <w:rsid w:val="00610EB4"/>
    <w:rsid w:val="00611528"/>
    <w:rsid w:val="00611667"/>
    <w:rsid w:val="00611AE2"/>
    <w:rsid w:val="00611F8B"/>
    <w:rsid w:val="00612292"/>
    <w:rsid w:val="006122BB"/>
    <w:rsid w:val="00612582"/>
    <w:rsid w:val="0061264F"/>
    <w:rsid w:val="00613260"/>
    <w:rsid w:val="006145C5"/>
    <w:rsid w:val="00614726"/>
    <w:rsid w:val="00614763"/>
    <w:rsid w:val="00614BF7"/>
    <w:rsid w:val="00614EC6"/>
    <w:rsid w:val="00615474"/>
    <w:rsid w:val="00615DF2"/>
    <w:rsid w:val="006164CF"/>
    <w:rsid w:val="0061656B"/>
    <w:rsid w:val="00617854"/>
    <w:rsid w:val="006204AC"/>
    <w:rsid w:val="00620737"/>
    <w:rsid w:val="006216D3"/>
    <w:rsid w:val="006229C8"/>
    <w:rsid w:val="00622AFE"/>
    <w:rsid w:val="00622CCC"/>
    <w:rsid w:val="0062371B"/>
    <w:rsid w:val="00623890"/>
    <w:rsid w:val="006238D6"/>
    <w:rsid w:val="00624251"/>
    <w:rsid w:val="00624DB0"/>
    <w:rsid w:val="0062546A"/>
    <w:rsid w:val="006255FF"/>
    <w:rsid w:val="00625D0F"/>
    <w:rsid w:val="00625D4E"/>
    <w:rsid w:val="006264B8"/>
    <w:rsid w:val="00626740"/>
    <w:rsid w:val="00627039"/>
    <w:rsid w:val="00627145"/>
    <w:rsid w:val="006301D3"/>
    <w:rsid w:val="00630E98"/>
    <w:rsid w:val="00631301"/>
    <w:rsid w:val="006314BF"/>
    <w:rsid w:val="00631694"/>
    <w:rsid w:val="006322A5"/>
    <w:rsid w:val="00634072"/>
    <w:rsid w:val="00634151"/>
    <w:rsid w:val="006347E4"/>
    <w:rsid w:val="006348FF"/>
    <w:rsid w:val="0063493D"/>
    <w:rsid w:val="00634CBD"/>
    <w:rsid w:val="00634FA3"/>
    <w:rsid w:val="006357C9"/>
    <w:rsid w:val="00635D12"/>
    <w:rsid w:val="0063687E"/>
    <w:rsid w:val="00640023"/>
    <w:rsid w:val="006409ED"/>
    <w:rsid w:val="00640DEC"/>
    <w:rsid w:val="00641743"/>
    <w:rsid w:val="00641E94"/>
    <w:rsid w:val="00641F68"/>
    <w:rsid w:val="0064209D"/>
    <w:rsid w:val="00642F8B"/>
    <w:rsid w:val="0064409B"/>
    <w:rsid w:val="006444B7"/>
    <w:rsid w:val="006450B0"/>
    <w:rsid w:val="00645954"/>
    <w:rsid w:val="00645D6D"/>
    <w:rsid w:val="00646D74"/>
    <w:rsid w:val="00646DCD"/>
    <w:rsid w:val="00647AD4"/>
    <w:rsid w:val="00650209"/>
    <w:rsid w:val="00650411"/>
    <w:rsid w:val="00650BB2"/>
    <w:rsid w:val="00650DF5"/>
    <w:rsid w:val="006519D3"/>
    <w:rsid w:val="00651E87"/>
    <w:rsid w:val="00652050"/>
    <w:rsid w:val="00653D26"/>
    <w:rsid w:val="00654060"/>
    <w:rsid w:val="00654A14"/>
    <w:rsid w:val="00654BD7"/>
    <w:rsid w:val="00655259"/>
    <w:rsid w:val="00655E6A"/>
    <w:rsid w:val="00656368"/>
    <w:rsid w:val="006568C2"/>
    <w:rsid w:val="00657274"/>
    <w:rsid w:val="00657304"/>
    <w:rsid w:val="006577E1"/>
    <w:rsid w:val="00657B9F"/>
    <w:rsid w:val="006603FA"/>
    <w:rsid w:val="0066052D"/>
    <w:rsid w:val="00660B53"/>
    <w:rsid w:val="0066120B"/>
    <w:rsid w:val="00661E33"/>
    <w:rsid w:val="006620C1"/>
    <w:rsid w:val="00662D93"/>
    <w:rsid w:val="006635B3"/>
    <w:rsid w:val="00663851"/>
    <w:rsid w:val="00663A2D"/>
    <w:rsid w:val="006641D9"/>
    <w:rsid w:val="006647ED"/>
    <w:rsid w:val="00664854"/>
    <w:rsid w:val="006649F9"/>
    <w:rsid w:val="00664CEC"/>
    <w:rsid w:val="00664E31"/>
    <w:rsid w:val="00664ED8"/>
    <w:rsid w:val="00665176"/>
    <w:rsid w:val="00665857"/>
    <w:rsid w:val="00665934"/>
    <w:rsid w:val="00666926"/>
    <w:rsid w:val="00667A34"/>
    <w:rsid w:val="00667A9F"/>
    <w:rsid w:val="0067031E"/>
    <w:rsid w:val="00670A7E"/>
    <w:rsid w:val="006715D1"/>
    <w:rsid w:val="00671C7D"/>
    <w:rsid w:val="006720C9"/>
    <w:rsid w:val="006720CF"/>
    <w:rsid w:val="006721D9"/>
    <w:rsid w:val="00672684"/>
    <w:rsid w:val="006729EB"/>
    <w:rsid w:val="00672B53"/>
    <w:rsid w:val="006733CE"/>
    <w:rsid w:val="006736CA"/>
    <w:rsid w:val="00673D9C"/>
    <w:rsid w:val="006743A8"/>
    <w:rsid w:val="0067454F"/>
    <w:rsid w:val="006753B0"/>
    <w:rsid w:val="00675940"/>
    <w:rsid w:val="0067638B"/>
    <w:rsid w:val="0067657C"/>
    <w:rsid w:val="00677C3E"/>
    <w:rsid w:val="00677E8B"/>
    <w:rsid w:val="00680135"/>
    <w:rsid w:val="0068098F"/>
    <w:rsid w:val="00681803"/>
    <w:rsid w:val="0068200B"/>
    <w:rsid w:val="006824D1"/>
    <w:rsid w:val="0068261E"/>
    <w:rsid w:val="00682ADF"/>
    <w:rsid w:val="00682E60"/>
    <w:rsid w:val="00683447"/>
    <w:rsid w:val="00683504"/>
    <w:rsid w:val="00683625"/>
    <w:rsid w:val="00683723"/>
    <w:rsid w:val="00685A92"/>
    <w:rsid w:val="00686A8F"/>
    <w:rsid w:val="00686C5C"/>
    <w:rsid w:val="00686FF5"/>
    <w:rsid w:val="0068752A"/>
    <w:rsid w:val="00687ABF"/>
    <w:rsid w:val="00687B1B"/>
    <w:rsid w:val="00687D66"/>
    <w:rsid w:val="00690143"/>
    <w:rsid w:val="0069018C"/>
    <w:rsid w:val="00690536"/>
    <w:rsid w:val="00690BBB"/>
    <w:rsid w:val="00691921"/>
    <w:rsid w:val="00691DC2"/>
    <w:rsid w:val="00692886"/>
    <w:rsid w:val="00692A7D"/>
    <w:rsid w:val="00692E84"/>
    <w:rsid w:val="006934B3"/>
    <w:rsid w:val="00693D2C"/>
    <w:rsid w:val="00693E57"/>
    <w:rsid w:val="00693F47"/>
    <w:rsid w:val="0069407B"/>
    <w:rsid w:val="00694167"/>
    <w:rsid w:val="00694347"/>
    <w:rsid w:val="00694515"/>
    <w:rsid w:val="00694CBA"/>
    <w:rsid w:val="006951C0"/>
    <w:rsid w:val="00695339"/>
    <w:rsid w:val="00695845"/>
    <w:rsid w:val="00695E0D"/>
    <w:rsid w:val="00696CF6"/>
    <w:rsid w:val="006973D7"/>
    <w:rsid w:val="00697FDD"/>
    <w:rsid w:val="006A2066"/>
    <w:rsid w:val="006A22C8"/>
    <w:rsid w:val="006A2E5C"/>
    <w:rsid w:val="006A35D9"/>
    <w:rsid w:val="006A3709"/>
    <w:rsid w:val="006A40CB"/>
    <w:rsid w:val="006A48A1"/>
    <w:rsid w:val="006A4922"/>
    <w:rsid w:val="006A5078"/>
    <w:rsid w:val="006A5138"/>
    <w:rsid w:val="006A5A69"/>
    <w:rsid w:val="006A74A0"/>
    <w:rsid w:val="006A75CE"/>
    <w:rsid w:val="006A7B61"/>
    <w:rsid w:val="006A7C40"/>
    <w:rsid w:val="006B0D16"/>
    <w:rsid w:val="006B1415"/>
    <w:rsid w:val="006B2439"/>
    <w:rsid w:val="006B2D19"/>
    <w:rsid w:val="006B3716"/>
    <w:rsid w:val="006B3975"/>
    <w:rsid w:val="006B3ECE"/>
    <w:rsid w:val="006B4020"/>
    <w:rsid w:val="006B5675"/>
    <w:rsid w:val="006B5A14"/>
    <w:rsid w:val="006B5D63"/>
    <w:rsid w:val="006B61C2"/>
    <w:rsid w:val="006B6593"/>
    <w:rsid w:val="006B6665"/>
    <w:rsid w:val="006B6B7A"/>
    <w:rsid w:val="006B72C3"/>
    <w:rsid w:val="006B764D"/>
    <w:rsid w:val="006B7A23"/>
    <w:rsid w:val="006B7DF0"/>
    <w:rsid w:val="006C0025"/>
    <w:rsid w:val="006C1012"/>
    <w:rsid w:val="006C1BA3"/>
    <w:rsid w:val="006C2CA7"/>
    <w:rsid w:val="006C3083"/>
    <w:rsid w:val="006C32CD"/>
    <w:rsid w:val="006C3D75"/>
    <w:rsid w:val="006C4A03"/>
    <w:rsid w:val="006C4DA5"/>
    <w:rsid w:val="006C5625"/>
    <w:rsid w:val="006C5DD7"/>
    <w:rsid w:val="006C693A"/>
    <w:rsid w:val="006C6C56"/>
    <w:rsid w:val="006C6E97"/>
    <w:rsid w:val="006D0A70"/>
    <w:rsid w:val="006D146F"/>
    <w:rsid w:val="006D14F3"/>
    <w:rsid w:val="006D1684"/>
    <w:rsid w:val="006D1D02"/>
    <w:rsid w:val="006D21B5"/>
    <w:rsid w:val="006D23BA"/>
    <w:rsid w:val="006D3171"/>
    <w:rsid w:val="006D3C2F"/>
    <w:rsid w:val="006D3F29"/>
    <w:rsid w:val="006D4433"/>
    <w:rsid w:val="006D46E7"/>
    <w:rsid w:val="006D4724"/>
    <w:rsid w:val="006D4E19"/>
    <w:rsid w:val="006D50C2"/>
    <w:rsid w:val="006D5105"/>
    <w:rsid w:val="006D519D"/>
    <w:rsid w:val="006D566E"/>
    <w:rsid w:val="006D5713"/>
    <w:rsid w:val="006D5AFC"/>
    <w:rsid w:val="006D5B33"/>
    <w:rsid w:val="006D662C"/>
    <w:rsid w:val="006D6DDA"/>
    <w:rsid w:val="006D71F1"/>
    <w:rsid w:val="006D7BA7"/>
    <w:rsid w:val="006D7BFB"/>
    <w:rsid w:val="006D7CD2"/>
    <w:rsid w:val="006E0753"/>
    <w:rsid w:val="006E0E89"/>
    <w:rsid w:val="006E2166"/>
    <w:rsid w:val="006E28AB"/>
    <w:rsid w:val="006E3178"/>
    <w:rsid w:val="006E3569"/>
    <w:rsid w:val="006E3C83"/>
    <w:rsid w:val="006E43C4"/>
    <w:rsid w:val="006E4997"/>
    <w:rsid w:val="006E4AC0"/>
    <w:rsid w:val="006E4D0B"/>
    <w:rsid w:val="006E58A7"/>
    <w:rsid w:val="006E6264"/>
    <w:rsid w:val="006E6491"/>
    <w:rsid w:val="006E6ECE"/>
    <w:rsid w:val="006E7054"/>
    <w:rsid w:val="006E7B0E"/>
    <w:rsid w:val="006E7FE2"/>
    <w:rsid w:val="006F0FB6"/>
    <w:rsid w:val="006F100D"/>
    <w:rsid w:val="006F12F3"/>
    <w:rsid w:val="006F1E0E"/>
    <w:rsid w:val="006F20DB"/>
    <w:rsid w:val="006F2478"/>
    <w:rsid w:val="006F2500"/>
    <w:rsid w:val="006F2DA6"/>
    <w:rsid w:val="006F350D"/>
    <w:rsid w:val="006F3955"/>
    <w:rsid w:val="006F3A29"/>
    <w:rsid w:val="006F44D1"/>
    <w:rsid w:val="006F4710"/>
    <w:rsid w:val="006F4DE6"/>
    <w:rsid w:val="006F54DF"/>
    <w:rsid w:val="006F6C0E"/>
    <w:rsid w:val="006F6E27"/>
    <w:rsid w:val="006F6E5E"/>
    <w:rsid w:val="006F789B"/>
    <w:rsid w:val="006F7BD7"/>
    <w:rsid w:val="006F7C14"/>
    <w:rsid w:val="0070046A"/>
    <w:rsid w:val="00700E77"/>
    <w:rsid w:val="00700F14"/>
    <w:rsid w:val="007011B7"/>
    <w:rsid w:val="007016F9"/>
    <w:rsid w:val="00701A31"/>
    <w:rsid w:val="00702D7B"/>
    <w:rsid w:val="00702E31"/>
    <w:rsid w:val="00703254"/>
    <w:rsid w:val="007035B7"/>
    <w:rsid w:val="00703CE0"/>
    <w:rsid w:val="00705CE9"/>
    <w:rsid w:val="00706417"/>
    <w:rsid w:val="00706EB4"/>
    <w:rsid w:val="00706F7D"/>
    <w:rsid w:val="0071019B"/>
    <w:rsid w:val="00710573"/>
    <w:rsid w:val="00711F44"/>
    <w:rsid w:val="00712DDF"/>
    <w:rsid w:val="0071327B"/>
    <w:rsid w:val="007132DE"/>
    <w:rsid w:val="00713C87"/>
    <w:rsid w:val="00713D83"/>
    <w:rsid w:val="00713FDB"/>
    <w:rsid w:val="00715FE4"/>
    <w:rsid w:val="0071657A"/>
    <w:rsid w:val="00716916"/>
    <w:rsid w:val="007169DF"/>
    <w:rsid w:val="00716B43"/>
    <w:rsid w:val="00717578"/>
    <w:rsid w:val="007177AA"/>
    <w:rsid w:val="00717D71"/>
    <w:rsid w:val="00720106"/>
    <w:rsid w:val="007202D5"/>
    <w:rsid w:val="0072030B"/>
    <w:rsid w:val="00721077"/>
    <w:rsid w:val="0072126C"/>
    <w:rsid w:val="00721553"/>
    <w:rsid w:val="00722298"/>
    <w:rsid w:val="00722882"/>
    <w:rsid w:val="00723772"/>
    <w:rsid w:val="00723AA0"/>
    <w:rsid w:val="00723FB5"/>
    <w:rsid w:val="00724BD4"/>
    <w:rsid w:val="00724CE8"/>
    <w:rsid w:val="00724FBE"/>
    <w:rsid w:val="0072572F"/>
    <w:rsid w:val="00725AF8"/>
    <w:rsid w:val="00725FAF"/>
    <w:rsid w:val="007260A7"/>
    <w:rsid w:val="00726A8A"/>
    <w:rsid w:val="007272E6"/>
    <w:rsid w:val="00730243"/>
    <w:rsid w:val="007306BD"/>
    <w:rsid w:val="00731068"/>
    <w:rsid w:val="00731100"/>
    <w:rsid w:val="00731CD9"/>
    <w:rsid w:val="00731E43"/>
    <w:rsid w:val="007323EA"/>
    <w:rsid w:val="007325E3"/>
    <w:rsid w:val="00732C36"/>
    <w:rsid w:val="00733851"/>
    <w:rsid w:val="00733A71"/>
    <w:rsid w:val="00733FC4"/>
    <w:rsid w:val="00734006"/>
    <w:rsid w:val="00734929"/>
    <w:rsid w:val="00734B74"/>
    <w:rsid w:val="00735BD1"/>
    <w:rsid w:val="00735CD1"/>
    <w:rsid w:val="00736F1C"/>
    <w:rsid w:val="0073744B"/>
    <w:rsid w:val="007374DA"/>
    <w:rsid w:val="007376CE"/>
    <w:rsid w:val="007400D3"/>
    <w:rsid w:val="007408B5"/>
    <w:rsid w:val="00740A02"/>
    <w:rsid w:val="00740D6F"/>
    <w:rsid w:val="007417D1"/>
    <w:rsid w:val="007432C8"/>
    <w:rsid w:val="00744059"/>
    <w:rsid w:val="00744098"/>
    <w:rsid w:val="007442D5"/>
    <w:rsid w:val="00744A4E"/>
    <w:rsid w:val="00745832"/>
    <w:rsid w:val="007459B2"/>
    <w:rsid w:val="00745A91"/>
    <w:rsid w:val="00745AEA"/>
    <w:rsid w:val="007466DE"/>
    <w:rsid w:val="0074679B"/>
    <w:rsid w:val="00746BFC"/>
    <w:rsid w:val="00747B8E"/>
    <w:rsid w:val="00747FE5"/>
    <w:rsid w:val="00750160"/>
    <w:rsid w:val="007502D9"/>
    <w:rsid w:val="00750A58"/>
    <w:rsid w:val="00750F89"/>
    <w:rsid w:val="00751FAD"/>
    <w:rsid w:val="00752B39"/>
    <w:rsid w:val="00752DA4"/>
    <w:rsid w:val="0075303A"/>
    <w:rsid w:val="00753490"/>
    <w:rsid w:val="00753D41"/>
    <w:rsid w:val="00755687"/>
    <w:rsid w:val="00756084"/>
    <w:rsid w:val="00756AD1"/>
    <w:rsid w:val="0075726C"/>
    <w:rsid w:val="00757336"/>
    <w:rsid w:val="00757E87"/>
    <w:rsid w:val="007610C1"/>
    <w:rsid w:val="0076186F"/>
    <w:rsid w:val="00761D31"/>
    <w:rsid w:val="00762174"/>
    <w:rsid w:val="007630D5"/>
    <w:rsid w:val="00764276"/>
    <w:rsid w:val="00764614"/>
    <w:rsid w:val="00764E3A"/>
    <w:rsid w:val="0076558B"/>
    <w:rsid w:val="007657E8"/>
    <w:rsid w:val="00766408"/>
    <w:rsid w:val="007671E7"/>
    <w:rsid w:val="007672A7"/>
    <w:rsid w:val="0076730E"/>
    <w:rsid w:val="00767FAF"/>
    <w:rsid w:val="00771745"/>
    <w:rsid w:val="00771AC9"/>
    <w:rsid w:val="00771C5F"/>
    <w:rsid w:val="0077240C"/>
    <w:rsid w:val="00772842"/>
    <w:rsid w:val="00772CC8"/>
    <w:rsid w:val="00772F6F"/>
    <w:rsid w:val="00773082"/>
    <w:rsid w:val="00773B45"/>
    <w:rsid w:val="00775CFC"/>
    <w:rsid w:val="00775E46"/>
    <w:rsid w:val="0077759D"/>
    <w:rsid w:val="00777C29"/>
    <w:rsid w:val="007802F9"/>
    <w:rsid w:val="0078080F"/>
    <w:rsid w:val="00780CAC"/>
    <w:rsid w:val="00781423"/>
    <w:rsid w:val="00781D8B"/>
    <w:rsid w:val="00782029"/>
    <w:rsid w:val="007823B0"/>
    <w:rsid w:val="00782643"/>
    <w:rsid w:val="007826CE"/>
    <w:rsid w:val="00782F23"/>
    <w:rsid w:val="007838A4"/>
    <w:rsid w:val="00783F88"/>
    <w:rsid w:val="007849D1"/>
    <w:rsid w:val="00785237"/>
    <w:rsid w:val="00786ADB"/>
    <w:rsid w:val="007879EC"/>
    <w:rsid w:val="00790705"/>
    <w:rsid w:val="00790872"/>
    <w:rsid w:val="00790C64"/>
    <w:rsid w:val="00790CA0"/>
    <w:rsid w:val="00790D27"/>
    <w:rsid w:val="00790DBF"/>
    <w:rsid w:val="00792BCA"/>
    <w:rsid w:val="007939ED"/>
    <w:rsid w:val="0079416D"/>
    <w:rsid w:val="007944E9"/>
    <w:rsid w:val="0079453B"/>
    <w:rsid w:val="00794782"/>
    <w:rsid w:val="00794C3A"/>
    <w:rsid w:val="00794CC5"/>
    <w:rsid w:val="00795598"/>
    <w:rsid w:val="00795695"/>
    <w:rsid w:val="00796058"/>
    <w:rsid w:val="00796548"/>
    <w:rsid w:val="00796983"/>
    <w:rsid w:val="007969AA"/>
    <w:rsid w:val="00796B22"/>
    <w:rsid w:val="00796B4E"/>
    <w:rsid w:val="007A0D84"/>
    <w:rsid w:val="007A1BA2"/>
    <w:rsid w:val="007A21D6"/>
    <w:rsid w:val="007A235D"/>
    <w:rsid w:val="007A258F"/>
    <w:rsid w:val="007A2D0F"/>
    <w:rsid w:val="007A4396"/>
    <w:rsid w:val="007A485B"/>
    <w:rsid w:val="007A4B67"/>
    <w:rsid w:val="007A4D60"/>
    <w:rsid w:val="007A52C6"/>
    <w:rsid w:val="007A548E"/>
    <w:rsid w:val="007A5CFB"/>
    <w:rsid w:val="007A611B"/>
    <w:rsid w:val="007A7CEA"/>
    <w:rsid w:val="007B0860"/>
    <w:rsid w:val="007B153D"/>
    <w:rsid w:val="007B1799"/>
    <w:rsid w:val="007B1E42"/>
    <w:rsid w:val="007B1EF2"/>
    <w:rsid w:val="007B25A9"/>
    <w:rsid w:val="007B25D2"/>
    <w:rsid w:val="007B3000"/>
    <w:rsid w:val="007B33EC"/>
    <w:rsid w:val="007B38FC"/>
    <w:rsid w:val="007B3CC7"/>
    <w:rsid w:val="007B4F65"/>
    <w:rsid w:val="007B5442"/>
    <w:rsid w:val="007B5491"/>
    <w:rsid w:val="007B5777"/>
    <w:rsid w:val="007B5A96"/>
    <w:rsid w:val="007B5BA1"/>
    <w:rsid w:val="007B68C3"/>
    <w:rsid w:val="007B69F7"/>
    <w:rsid w:val="007B6BFE"/>
    <w:rsid w:val="007B7A0E"/>
    <w:rsid w:val="007C03B5"/>
    <w:rsid w:val="007C0CDD"/>
    <w:rsid w:val="007C15D3"/>
    <w:rsid w:val="007C1DDF"/>
    <w:rsid w:val="007C1E59"/>
    <w:rsid w:val="007C225B"/>
    <w:rsid w:val="007C2CB9"/>
    <w:rsid w:val="007C3F50"/>
    <w:rsid w:val="007C4029"/>
    <w:rsid w:val="007C42F6"/>
    <w:rsid w:val="007C49B7"/>
    <w:rsid w:val="007C5AFA"/>
    <w:rsid w:val="007C64C8"/>
    <w:rsid w:val="007C77C6"/>
    <w:rsid w:val="007C79A4"/>
    <w:rsid w:val="007C7E09"/>
    <w:rsid w:val="007D02E3"/>
    <w:rsid w:val="007D10E1"/>
    <w:rsid w:val="007D188C"/>
    <w:rsid w:val="007D27AF"/>
    <w:rsid w:val="007D3329"/>
    <w:rsid w:val="007D3584"/>
    <w:rsid w:val="007D35B0"/>
    <w:rsid w:val="007D3B68"/>
    <w:rsid w:val="007D3CD0"/>
    <w:rsid w:val="007D3CDB"/>
    <w:rsid w:val="007D4A7D"/>
    <w:rsid w:val="007D5450"/>
    <w:rsid w:val="007D5B5B"/>
    <w:rsid w:val="007D653C"/>
    <w:rsid w:val="007D6696"/>
    <w:rsid w:val="007D6943"/>
    <w:rsid w:val="007D6E19"/>
    <w:rsid w:val="007D7125"/>
    <w:rsid w:val="007D7B78"/>
    <w:rsid w:val="007E034A"/>
    <w:rsid w:val="007E0533"/>
    <w:rsid w:val="007E08E0"/>
    <w:rsid w:val="007E159C"/>
    <w:rsid w:val="007E1F09"/>
    <w:rsid w:val="007E261A"/>
    <w:rsid w:val="007E2654"/>
    <w:rsid w:val="007E27CF"/>
    <w:rsid w:val="007E30C7"/>
    <w:rsid w:val="007E352D"/>
    <w:rsid w:val="007E377E"/>
    <w:rsid w:val="007E497E"/>
    <w:rsid w:val="007E5B2E"/>
    <w:rsid w:val="007E5D1A"/>
    <w:rsid w:val="007E62FA"/>
    <w:rsid w:val="007E658B"/>
    <w:rsid w:val="007E6981"/>
    <w:rsid w:val="007F0365"/>
    <w:rsid w:val="007F0769"/>
    <w:rsid w:val="007F094A"/>
    <w:rsid w:val="007F1143"/>
    <w:rsid w:val="007F21B4"/>
    <w:rsid w:val="007F2513"/>
    <w:rsid w:val="007F28FF"/>
    <w:rsid w:val="007F2B34"/>
    <w:rsid w:val="007F2D4E"/>
    <w:rsid w:val="007F372D"/>
    <w:rsid w:val="007F4009"/>
    <w:rsid w:val="007F56F0"/>
    <w:rsid w:val="007F5977"/>
    <w:rsid w:val="007F6058"/>
    <w:rsid w:val="007F6166"/>
    <w:rsid w:val="007F6DED"/>
    <w:rsid w:val="007F71F0"/>
    <w:rsid w:val="00800B51"/>
    <w:rsid w:val="0080101B"/>
    <w:rsid w:val="0080144A"/>
    <w:rsid w:val="0080147C"/>
    <w:rsid w:val="00801712"/>
    <w:rsid w:val="00801B8A"/>
    <w:rsid w:val="00801F2E"/>
    <w:rsid w:val="0080208F"/>
    <w:rsid w:val="008025D2"/>
    <w:rsid w:val="00802AD3"/>
    <w:rsid w:val="00802B7C"/>
    <w:rsid w:val="00802E07"/>
    <w:rsid w:val="008037A9"/>
    <w:rsid w:val="00803D54"/>
    <w:rsid w:val="0080414C"/>
    <w:rsid w:val="00804E9B"/>
    <w:rsid w:val="00804F23"/>
    <w:rsid w:val="00805105"/>
    <w:rsid w:val="00806048"/>
    <w:rsid w:val="0080633A"/>
    <w:rsid w:val="008065CF"/>
    <w:rsid w:val="00806DAD"/>
    <w:rsid w:val="0080736C"/>
    <w:rsid w:val="00807887"/>
    <w:rsid w:val="0081049C"/>
    <w:rsid w:val="00810913"/>
    <w:rsid w:val="00810BE9"/>
    <w:rsid w:val="00810CEA"/>
    <w:rsid w:val="00810E8D"/>
    <w:rsid w:val="008112C7"/>
    <w:rsid w:val="008116E1"/>
    <w:rsid w:val="0081193F"/>
    <w:rsid w:val="00811E86"/>
    <w:rsid w:val="008124B8"/>
    <w:rsid w:val="00812C52"/>
    <w:rsid w:val="0081303E"/>
    <w:rsid w:val="00813A9B"/>
    <w:rsid w:val="00813D0E"/>
    <w:rsid w:val="00814296"/>
    <w:rsid w:val="00814726"/>
    <w:rsid w:val="0081577F"/>
    <w:rsid w:val="00815795"/>
    <w:rsid w:val="00815998"/>
    <w:rsid w:val="00815D9C"/>
    <w:rsid w:val="00816002"/>
    <w:rsid w:val="0081607F"/>
    <w:rsid w:val="00817306"/>
    <w:rsid w:val="00817F6B"/>
    <w:rsid w:val="008200B3"/>
    <w:rsid w:val="0082055F"/>
    <w:rsid w:val="00820895"/>
    <w:rsid w:val="00821132"/>
    <w:rsid w:val="00821532"/>
    <w:rsid w:val="00822248"/>
    <w:rsid w:val="008235B0"/>
    <w:rsid w:val="0082420F"/>
    <w:rsid w:val="00824B40"/>
    <w:rsid w:val="00825BCA"/>
    <w:rsid w:val="008261DE"/>
    <w:rsid w:val="00826321"/>
    <w:rsid w:val="008263BD"/>
    <w:rsid w:val="00826416"/>
    <w:rsid w:val="00826430"/>
    <w:rsid w:val="00826665"/>
    <w:rsid w:val="00826F6F"/>
    <w:rsid w:val="008270EE"/>
    <w:rsid w:val="0082797A"/>
    <w:rsid w:val="00827992"/>
    <w:rsid w:val="008279AC"/>
    <w:rsid w:val="00827E12"/>
    <w:rsid w:val="00830C12"/>
    <w:rsid w:val="00830EB8"/>
    <w:rsid w:val="00831357"/>
    <w:rsid w:val="00832473"/>
    <w:rsid w:val="00832A0D"/>
    <w:rsid w:val="00833F2E"/>
    <w:rsid w:val="00834031"/>
    <w:rsid w:val="00835216"/>
    <w:rsid w:val="00835604"/>
    <w:rsid w:val="0083581A"/>
    <w:rsid w:val="00835B93"/>
    <w:rsid w:val="0083692C"/>
    <w:rsid w:val="00836A6C"/>
    <w:rsid w:val="00836CA5"/>
    <w:rsid w:val="008371DB"/>
    <w:rsid w:val="00837373"/>
    <w:rsid w:val="00837B4D"/>
    <w:rsid w:val="00837B8B"/>
    <w:rsid w:val="0084002B"/>
    <w:rsid w:val="008402DA"/>
    <w:rsid w:val="008402EB"/>
    <w:rsid w:val="008407AC"/>
    <w:rsid w:val="008408EC"/>
    <w:rsid w:val="00840A48"/>
    <w:rsid w:val="00840C39"/>
    <w:rsid w:val="00840C97"/>
    <w:rsid w:val="00840D4E"/>
    <w:rsid w:val="0084137D"/>
    <w:rsid w:val="008417C8"/>
    <w:rsid w:val="0084196B"/>
    <w:rsid w:val="0084246D"/>
    <w:rsid w:val="0084289B"/>
    <w:rsid w:val="00842AF5"/>
    <w:rsid w:val="00843015"/>
    <w:rsid w:val="00843392"/>
    <w:rsid w:val="00843A13"/>
    <w:rsid w:val="00843DAB"/>
    <w:rsid w:val="00843FF6"/>
    <w:rsid w:val="00844118"/>
    <w:rsid w:val="00844171"/>
    <w:rsid w:val="008442CF"/>
    <w:rsid w:val="00844374"/>
    <w:rsid w:val="0084441A"/>
    <w:rsid w:val="0084449D"/>
    <w:rsid w:val="008444E9"/>
    <w:rsid w:val="00844C0F"/>
    <w:rsid w:val="008455EE"/>
    <w:rsid w:val="008458C3"/>
    <w:rsid w:val="00845A61"/>
    <w:rsid w:val="00845F30"/>
    <w:rsid w:val="00846DE2"/>
    <w:rsid w:val="0084738A"/>
    <w:rsid w:val="00847D7D"/>
    <w:rsid w:val="00850A1D"/>
    <w:rsid w:val="00850FAF"/>
    <w:rsid w:val="00850FBD"/>
    <w:rsid w:val="0085149F"/>
    <w:rsid w:val="008515DE"/>
    <w:rsid w:val="00851AD1"/>
    <w:rsid w:val="00851C96"/>
    <w:rsid w:val="0085337B"/>
    <w:rsid w:val="008533DD"/>
    <w:rsid w:val="008537E8"/>
    <w:rsid w:val="00853BAB"/>
    <w:rsid w:val="0085445B"/>
    <w:rsid w:val="00854B5B"/>
    <w:rsid w:val="00855B33"/>
    <w:rsid w:val="00855C14"/>
    <w:rsid w:val="00855F33"/>
    <w:rsid w:val="00856601"/>
    <w:rsid w:val="00857157"/>
    <w:rsid w:val="008571E3"/>
    <w:rsid w:val="008575C4"/>
    <w:rsid w:val="00860B47"/>
    <w:rsid w:val="008613DF"/>
    <w:rsid w:val="0086234A"/>
    <w:rsid w:val="008629AF"/>
    <w:rsid w:val="00863314"/>
    <w:rsid w:val="00863BEA"/>
    <w:rsid w:val="00863D34"/>
    <w:rsid w:val="00863D35"/>
    <w:rsid w:val="008642B0"/>
    <w:rsid w:val="00864D8C"/>
    <w:rsid w:val="00864FB2"/>
    <w:rsid w:val="00865139"/>
    <w:rsid w:val="00865DA9"/>
    <w:rsid w:val="00865F82"/>
    <w:rsid w:val="0086637D"/>
    <w:rsid w:val="008665E0"/>
    <w:rsid w:val="00866613"/>
    <w:rsid w:val="008666C3"/>
    <w:rsid w:val="00866C52"/>
    <w:rsid w:val="0086750C"/>
    <w:rsid w:val="00867958"/>
    <w:rsid w:val="00867A83"/>
    <w:rsid w:val="00867A84"/>
    <w:rsid w:val="00867DDF"/>
    <w:rsid w:val="00870528"/>
    <w:rsid w:val="00871025"/>
    <w:rsid w:val="00871197"/>
    <w:rsid w:val="008711BF"/>
    <w:rsid w:val="00871352"/>
    <w:rsid w:val="0087256D"/>
    <w:rsid w:val="008729E0"/>
    <w:rsid w:val="00873080"/>
    <w:rsid w:val="00874778"/>
    <w:rsid w:val="008754BE"/>
    <w:rsid w:val="00875BED"/>
    <w:rsid w:val="0087603B"/>
    <w:rsid w:val="00876544"/>
    <w:rsid w:val="00876945"/>
    <w:rsid w:val="00876A3C"/>
    <w:rsid w:val="00877768"/>
    <w:rsid w:val="00877E4E"/>
    <w:rsid w:val="00877F63"/>
    <w:rsid w:val="00881CB3"/>
    <w:rsid w:val="00881CC8"/>
    <w:rsid w:val="00881FEB"/>
    <w:rsid w:val="00883297"/>
    <w:rsid w:val="008832C2"/>
    <w:rsid w:val="00883374"/>
    <w:rsid w:val="00883417"/>
    <w:rsid w:val="008837A3"/>
    <w:rsid w:val="00883DD0"/>
    <w:rsid w:val="0088467B"/>
    <w:rsid w:val="00884715"/>
    <w:rsid w:val="00884B8F"/>
    <w:rsid w:val="0088562E"/>
    <w:rsid w:val="0088587D"/>
    <w:rsid w:val="00885E3B"/>
    <w:rsid w:val="008867BC"/>
    <w:rsid w:val="00886B59"/>
    <w:rsid w:val="00886BC6"/>
    <w:rsid w:val="00886DE1"/>
    <w:rsid w:val="00886EB8"/>
    <w:rsid w:val="00887631"/>
    <w:rsid w:val="00887719"/>
    <w:rsid w:val="00887885"/>
    <w:rsid w:val="00887E41"/>
    <w:rsid w:val="008903FB"/>
    <w:rsid w:val="008907F5"/>
    <w:rsid w:val="00890C55"/>
    <w:rsid w:val="00890ED4"/>
    <w:rsid w:val="00892829"/>
    <w:rsid w:val="008938F6"/>
    <w:rsid w:val="008940B0"/>
    <w:rsid w:val="008946A9"/>
    <w:rsid w:val="0089518F"/>
    <w:rsid w:val="00895CDD"/>
    <w:rsid w:val="00896108"/>
    <w:rsid w:val="00896284"/>
    <w:rsid w:val="0089690D"/>
    <w:rsid w:val="008971FF"/>
    <w:rsid w:val="008978DB"/>
    <w:rsid w:val="00897D9E"/>
    <w:rsid w:val="00897FC4"/>
    <w:rsid w:val="008A0B2C"/>
    <w:rsid w:val="008A1221"/>
    <w:rsid w:val="008A1635"/>
    <w:rsid w:val="008A1D2E"/>
    <w:rsid w:val="008A3DF3"/>
    <w:rsid w:val="008A5962"/>
    <w:rsid w:val="008A59A2"/>
    <w:rsid w:val="008A628B"/>
    <w:rsid w:val="008A655D"/>
    <w:rsid w:val="008A6603"/>
    <w:rsid w:val="008A7344"/>
    <w:rsid w:val="008A7396"/>
    <w:rsid w:val="008A73A1"/>
    <w:rsid w:val="008A7DFB"/>
    <w:rsid w:val="008B10C9"/>
    <w:rsid w:val="008B278F"/>
    <w:rsid w:val="008B2D48"/>
    <w:rsid w:val="008B2FF1"/>
    <w:rsid w:val="008B31B2"/>
    <w:rsid w:val="008B3C5E"/>
    <w:rsid w:val="008B3DDB"/>
    <w:rsid w:val="008B58AF"/>
    <w:rsid w:val="008B6CFA"/>
    <w:rsid w:val="008B6EBA"/>
    <w:rsid w:val="008C128E"/>
    <w:rsid w:val="008C1BFD"/>
    <w:rsid w:val="008C1EB5"/>
    <w:rsid w:val="008C2E9B"/>
    <w:rsid w:val="008C3165"/>
    <w:rsid w:val="008C34AF"/>
    <w:rsid w:val="008C3CCB"/>
    <w:rsid w:val="008C413B"/>
    <w:rsid w:val="008C44F7"/>
    <w:rsid w:val="008C4CC5"/>
    <w:rsid w:val="008C4CFC"/>
    <w:rsid w:val="008C5C0F"/>
    <w:rsid w:val="008C63CD"/>
    <w:rsid w:val="008C6736"/>
    <w:rsid w:val="008C71C7"/>
    <w:rsid w:val="008C7350"/>
    <w:rsid w:val="008C7DA5"/>
    <w:rsid w:val="008C7E2E"/>
    <w:rsid w:val="008D0FD4"/>
    <w:rsid w:val="008D172E"/>
    <w:rsid w:val="008D1902"/>
    <w:rsid w:val="008D1AFB"/>
    <w:rsid w:val="008D2141"/>
    <w:rsid w:val="008D2420"/>
    <w:rsid w:val="008D2B36"/>
    <w:rsid w:val="008D3C5C"/>
    <w:rsid w:val="008D45DA"/>
    <w:rsid w:val="008D477A"/>
    <w:rsid w:val="008D4D02"/>
    <w:rsid w:val="008D4E10"/>
    <w:rsid w:val="008D51FA"/>
    <w:rsid w:val="008D575F"/>
    <w:rsid w:val="008D593B"/>
    <w:rsid w:val="008D5986"/>
    <w:rsid w:val="008D5F39"/>
    <w:rsid w:val="008D63D9"/>
    <w:rsid w:val="008D6924"/>
    <w:rsid w:val="008D72C1"/>
    <w:rsid w:val="008D7811"/>
    <w:rsid w:val="008E0AE7"/>
    <w:rsid w:val="008E10CA"/>
    <w:rsid w:val="008E16D9"/>
    <w:rsid w:val="008E1985"/>
    <w:rsid w:val="008E24A6"/>
    <w:rsid w:val="008E3006"/>
    <w:rsid w:val="008E34BE"/>
    <w:rsid w:val="008E3BDB"/>
    <w:rsid w:val="008E3D2F"/>
    <w:rsid w:val="008E4175"/>
    <w:rsid w:val="008E4281"/>
    <w:rsid w:val="008E4673"/>
    <w:rsid w:val="008E4DD2"/>
    <w:rsid w:val="008E505D"/>
    <w:rsid w:val="008E56ED"/>
    <w:rsid w:val="008E5B42"/>
    <w:rsid w:val="008E5D1F"/>
    <w:rsid w:val="008E6CD8"/>
    <w:rsid w:val="008E6F83"/>
    <w:rsid w:val="008E70EB"/>
    <w:rsid w:val="008E743E"/>
    <w:rsid w:val="008E78EA"/>
    <w:rsid w:val="008E7F45"/>
    <w:rsid w:val="008F0A8A"/>
    <w:rsid w:val="008F1234"/>
    <w:rsid w:val="008F1332"/>
    <w:rsid w:val="008F2829"/>
    <w:rsid w:val="008F2B53"/>
    <w:rsid w:val="008F3840"/>
    <w:rsid w:val="008F5154"/>
    <w:rsid w:val="008F542A"/>
    <w:rsid w:val="008F569A"/>
    <w:rsid w:val="008F5817"/>
    <w:rsid w:val="008F612D"/>
    <w:rsid w:val="008F658F"/>
    <w:rsid w:val="008F6B07"/>
    <w:rsid w:val="008F6B30"/>
    <w:rsid w:val="008F6B6D"/>
    <w:rsid w:val="008F6D2B"/>
    <w:rsid w:val="008F75E4"/>
    <w:rsid w:val="008F7AB5"/>
    <w:rsid w:val="008F7FD5"/>
    <w:rsid w:val="00900C5B"/>
    <w:rsid w:val="009013E5"/>
    <w:rsid w:val="00901869"/>
    <w:rsid w:val="009018E9"/>
    <w:rsid w:val="00901CEE"/>
    <w:rsid w:val="00901DAB"/>
    <w:rsid w:val="00902410"/>
    <w:rsid w:val="00902562"/>
    <w:rsid w:val="00902AD7"/>
    <w:rsid w:val="009031C0"/>
    <w:rsid w:val="009033D2"/>
    <w:rsid w:val="00903590"/>
    <w:rsid w:val="00903AE2"/>
    <w:rsid w:val="00904288"/>
    <w:rsid w:val="009049EB"/>
    <w:rsid w:val="00904A36"/>
    <w:rsid w:val="00904CBB"/>
    <w:rsid w:val="00904E0A"/>
    <w:rsid w:val="00904EEF"/>
    <w:rsid w:val="009059C3"/>
    <w:rsid w:val="0090628E"/>
    <w:rsid w:val="009066C7"/>
    <w:rsid w:val="0090743F"/>
    <w:rsid w:val="00907BAB"/>
    <w:rsid w:val="00910F1B"/>
    <w:rsid w:val="00913A42"/>
    <w:rsid w:val="0091443A"/>
    <w:rsid w:val="0091455D"/>
    <w:rsid w:val="009145E6"/>
    <w:rsid w:val="00914E37"/>
    <w:rsid w:val="00915D37"/>
    <w:rsid w:val="00915EFF"/>
    <w:rsid w:val="00916AFB"/>
    <w:rsid w:val="00916BD1"/>
    <w:rsid w:val="00917012"/>
    <w:rsid w:val="009171A1"/>
    <w:rsid w:val="0091720A"/>
    <w:rsid w:val="009175A4"/>
    <w:rsid w:val="00917940"/>
    <w:rsid w:val="00917BED"/>
    <w:rsid w:val="0092038C"/>
    <w:rsid w:val="00921748"/>
    <w:rsid w:val="009217D3"/>
    <w:rsid w:val="00921924"/>
    <w:rsid w:val="00921B59"/>
    <w:rsid w:val="00921D6D"/>
    <w:rsid w:val="00921F68"/>
    <w:rsid w:val="00922AC2"/>
    <w:rsid w:val="00922ADF"/>
    <w:rsid w:val="009236F8"/>
    <w:rsid w:val="00923799"/>
    <w:rsid w:val="00923AEC"/>
    <w:rsid w:val="009241E4"/>
    <w:rsid w:val="0092423B"/>
    <w:rsid w:val="00924318"/>
    <w:rsid w:val="009258BC"/>
    <w:rsid w:val="00925EE0"/>
    <w:rsid w:val="009262CF"/>
    <w:rsid w:val="009266F3"/>
    <w:rsid w:val="009269B7"/>
    <w:rsid w:val="00930B2A"/>
    <w:rsid w:val="00930BA8"/>
    <w:rsid w:val="00931845"/>
    <w:rsid w:val="009318D2"/>
    <w:rsid w:val="00931C5C"/>
    <w:rsid w:val="00932121"/>
    <w:rsid w:val="009326C4"/>
    <w:rsid w:val="00932833"/>
    <w:rsid w:val="00932A13"/>
    <w:rsid w:val="00932AD9"/>
    <w:rsid w:val="00932B51"/>
    <w:rsid w:val="00933F5F"/>
    <w:rsid w:val="00934D22"/>
    <w:rsid w:val="00934D42"/>
    <w:rsid w:val="009367D6"/>
    <w:rsid w:val="00937394"/>
    <w:rsid w:val="009379F2"/>
    <w:rsid w:val="00940763"/>
    <w:rsid w:val="00940839"/>
    <w:rsid w:val="00941B52"/>
    <w:rsid w:val="00941F12"/>
    <w:rsid w:val="0094242D"/>
    <w:rsid w:val="00942ADE"/>
    <w:rsid w:val="00944E58"/>
    <w:rsid w:val="009463DE"/>
    <w:rsid w:val="009465A9"/>
    <w:rsid w:val="0094680C"/>
    <w:rsid w:val="00947B05"/>
    <w:rsid w:val="00947D47"/>
    <w:rsid w:val="00947EE2"/>
    <w:rsid w:val="00950430"/>
    <w:rsid w:val="0095178F"/>
    <w:rsid w:val="00951A53"/>
    <w:rsid w:val="00952CFB"/>
    <w:rsid w:val="00953441"/>
    <w:rsid w:val="009537B6"/>
    <w:rsid w:val="00953860"/>
    <w:rsid w:val="00953932"/>
    <w:rsid w:val="00954BE6"/>
    <w:rsid w:val="00954DFF"/>
    <w:rsid w:val="00955043"/>
    <w:rsid w:val="00955BC3"/>
    <w:rsid w:val="0095605A"/>
    <w:rsid w:val="009569BE"/>
    <w:rsid w:val="00956EB3"/>
    <w:rsid w:val="00957FC9"/>
    <w:rsid w:val="00960301"/>
    <w:rsid w:val="00960576"/>
    <w:rsid w:val="00960667"/>
    <w:rsid w:val="009615E9"/>
    <w:rsid w:val="00962DCF"/>
    <w:rsid w:val="00962F48"/>
    <w:rsid w:val="009630BF"/>
    <w:rsid w:val="0096416B"/>
    <w:rsid w:val="009649B3"/>
    <w:rsid w:val="00966023"/>
    <w:rsid w:val="00966220"/>
    <w:rsid w:val="00966391"/>
    <w:rsid w:val="00966554"/>
    <w:rsid w:val="00966848"/>
    <w:rsid w:val="00966AB5"/>
    <w:rsid w:val="009678D7"/>
    <w:rsid w:val="009705E7"/>
    <w:rsid w:val="00970F6B"/>
    <w:rsid w:val="00970FEC"/>
    <w:rsid w:val="00971069"/>
    <w:rsid w:val="009711B1"/>
    <w:rsid w:val="009714A9"/>
    <w:rsid w:val="00971501"/>
    <w:rsid w:val="00971751"/>
    <w:rsid w:val="00971A5E"/>
    <w:rsid w:val="00971F11"/>
    <w:rsid w:val="00972446"/>
    <w:rsid w:val="0097256B"/>
    <w:rsid w:val="00972667"/>
    <w:rsid w:val="009726E2"/>
    <w:rsid w:val="00972871"/>
    <w:rsid w:val="009730FF"/>
    <w:rsid w:val="00973253"/>
    <w:rsid w:val="009734E5"/>
    <w:rsid w:val="00973E26"/>
    <w:rsid w:val="00975F14"/>
    <w:rsid w:val="009767A9"/>
    <w:rsid w:val="00976AF8"/>
    <w:rsid w:val="00976C43"/>
    <w:rsid w:val="00976CE7"/>
    <w:rsid w:val="0098013F"/>
    <w:rsid w:val="00980CF7"/>
    <w:rsid w:val="00981144"/>
    <w:rsid w:val="009818B6"/>
    <w:rsid w:val="009820F6"/>
    <w:rsid w:val="00982451"/>
    <w:rsid w:val="00982E0C"/>
    <w:rsid w:val="00982E6B"/>
    <w:rsid w:val="009846F4"/>
    <w:rsid w:val="00984BD9"/>
    <w:rsid w:val="00984C66"/>
    <w:rsid w:val="00984F91"/>
    <w:rsid w:val="0098567E"/>
    <w:rsid w:val="0098578E"/>
    <w:rsid w:val="00986E5D"/>
    <w:rsid w:val="00987117"/>
    <w:rsid w:val="0098720D"/>
    <w:rsid w:val="0098728E"/>
    <w:rsid w:val="0098793F"/>
    <w:rsid w:val="00990855"/>
    <w:rsid w:val="00991129"/>
    <w:rsid w:val="0099129E"/>
    <w:rsid w:val="00991D46"/>
    <w:rsid w:val="00991DF7"/>
    <w:rsid w:val="009922EC"/>
    <w:rsid w:val="009923FA"/>
    <w:rsid w:val="0099263D"/>
    <w:rsid w:val="00992E3A"/>
    <w:rsid w:val="00994B68"/>
    <w:rsid w:val="00994ECE"/>
    <w:rsid w:val="00994FE6"/>
    <w:rsid w:val="009950AE"/>
    <w:rsid w:val="00995B41"/>
    <w:rsid w:val="0099798F"/>
    <w:rsid w:val="009A1378"/>
    <w:rsid w:val="009A1686"/>
    <w:rsid w:val="009A1E44"/>
    <w:rsid w:val="009A1F33"/>
    <w:rsid w:val="009A1F7F"/>
    <w:rsid w:val="009A2433"/>
    <w:rsid w:val="009A2E1A"/>
    <w:rsid w:val="009A305E"/>
    <w:rsid w:val="009A34D4"/>
    <w:rsid w:val="009A486B"/>
    <w:rsid w:val="009A4BFC"/>
    <w:rsid w:val="009A5D43"/>
    <w:rsid w:val="009A5DEF"/>
    <w:rsid w:val="009A684E"/>
    <w:rsid w:val="009A6BCA"/>
    <w:rsid w:val="009A7A0D"/>
    <w:rsid w:val="009A7E69"/>
    <w:rsid w:val="009B024D"/>
    <w:rsid w:val="009B0635"/>
    <w:rsid w:val="009B079D"/>
    <w:rsid w:val="009B14FF"/>
    <w:rsid w:val="009B186A"/>
    <w:rsid w:val="009B1EA8"/>
    <w:rsid w:val="009B24E0"/>
    <w:rsid w:val="009B2FCB"/>
    <w:rsid w:val="009B4617"/>
    <w:rsid w:val="009B64A1"/>
    <w:rsid w:val="009B6DCF"/>
    <w:rsid w:val="009B7634"/>
    <w:rsid w:val="009C03EC"/>
    <w:rsid w:val="009C0C81"/>
    <w:rsid w:val="009C10CC"/>
    <w:rsid w:val="009C19DB"/>
    <w:rsid w:val="009C1ABC"/>
    <w:rsid w:val="009C1C50"/>
    <w:rsid w:val="009C21EC"/>
    <w:rsid w:val="009C284C"/>
    <w:rsid w:val="009C3840"/>
    <w:rsid w:val="009C38AC"/>
    <w:rsid w:val="009C4EB0"/>
    <w:rsid w:val="009C5A70"/>
    <w:rsid w:val="009C5CFC"/>
    <w:rsid w:val="009C6751"/>
    <w:rsid w:val="009C6DF0"/>
    <w:rsid w:val="009C6FF3"/>
    <w:rsid w:val="009C7A02"/>
    <w:rsid w:val="009C7A12"/>
    <w:rsid w:val="009D0092"/>
    <w:rsid w:val="009D024A"/>
    <w:rsid w:val="009D034C"/>
    <w:rsid w:val="009D0C17"/>
    <w:rsid w:val="009D14EF"/>
    <w:rsid w:val="009D2163"/>
    <w:rsid w:val="009D3256"/>
    <w:rsid w:val="009D42A0"/>
    <w:rsid w:val="009D48CA"/>
    <w:rsid w:val="009D5007"/>
    <w:rsid w:val="009D545B"/>
    <w:rsid w:val="009D733A"/>
    <w:rsid w:val="009D7BA0"/>
    <w:rsid w:val="009E073D"/>
    <w:rsid w:val="009E0BC7"/>
    <w:rsid w:val="009E0C4C"/>
    <w:rsid w:val="009E0D52"/>
    <w:rsid w:val="009E0F13"/>
    <w:rsid w:val="009E108A"/>
    <w:rsid w:val="009E118A"/>
    <w:rsid w:val="009E11FF"/>
    <w:rsid w:val="009E1452"/>
    <w:rsid w:val="009E2201"/>
    <w:rsid w:val="009E22E3"/>
    <w:rsid w:val="009E231F"/>
    <w:rsid w:val="009E26A8"/>
    <w:rsid w:val="009E292B"/>
    <w:rsid w:val="009E2D18"/>
    <w:rsid w:val="009E2EBF"/>
    <w:rsid w:val="009E3016"/>
    <w:rsid w:val="009E3253"/>
    <w:rsid w:val="009E350F"/>
    <w:rsid w:val="009E351F"/>
    <w:rsid w:val="009E3C3F"/>
    <w:rsid w:val="009E3F3F"/>
    <w:rsid w:val="009E4B00"/>
    <w:rsid w:val="009E5B89"/>
    <w:rsid w:val="009E67CE"/>
    <w:rsid w:val="009E6A4B"/>
    <w:rsid w:val="009E7958"/>
    <w:rsid w:val="009F003F"/>
    <w:rsid w:val="009F07FB"/>
    <w:rsid w:val="009F0906"/>
    <w:rsid w:val="009F0F83"/>
    <w:rsid w:val="009F2658"/>
    <w:rsid w:val="009F37E5"/>
    <w:rsid w:val="009F3D88"/>
    <w:rsid w:val="009F3F36"/>
    <w:rsid w:val="009F435B"/>
    <w:rsid w:val="009F4370"/>
    <w:rsid w:val="009F4528"/>
    <w:rsid w:val="009F46C9"/>
    <w:rsid w:val="009F4F3E"/>
    <w:rsid w:val="009F513E"/>
    <w:rsid w:val="009F568F"/>
    <w:rsid w:val="009F5967"/>
    <w:rsid w:val="009F5A56"/>
    <w:rsid w:val="009F5BEE"/>
    <w:rsid w:val="009F5C72"/>
    <w:rsid w:val="009F5CD9"/>
    <w:rsid w:val="009F712A"/>
    <w:rsid w:val="009F7ABF"/>
    <w:rsid w:val="009F7B14"/>
    <w:rsid w:val="00A0050E"/>
    <w:rsid w:val="00A00705"/>
    <w:rsid w:val="00A0070B"/>
    <w:rsid w:val="00A00F79"/>
    <w:rsid w:val="00A01128"/>
    <w:rsid w:val="00A019ED"/>
    <w:rsid w:val="00A029DF"/>
    <w:rsid w:val="00A02C75"/>
    <w:rsid w:val="00A02FC2"/>
    <w:rsid w:val="00A030BA"/>
    <w:rsid w:val="00A0369B"/>
    <w:rsid w:val="00A03CC0"/>
    <w:rsid w:val="00A03E6F"/>
    <w:rsid w:val="00A0408E"/>
    <w:rsid w:val="00A0428F"/>
    <w:rsid w:val="00A05802"/>
    <w:rsid w:val="00A06F87"/>
    <w:rsid w:val="00A0730A"/>
    <w:rsid w:val="00A07799"/>
    <w:rsid w:val="00A07DF4"/>
    <w:rsid w:val="00A07F16"/>
    <w:rsid w:val="00A1007F"/>
    <w:rsid w:val="00A10631"/>
    <w:rsid w:val="00A12340"/>
    <w:rsid w:val="00A12756"/>
    <w:rsid w:val="00A12CF8"/>
    <w:rsid w:val="00A12F01"/>
    <w:rsid w:val="00A131E3"/>
    <w:rsid w:val="00A1624C"/>
    <w:rsid w:val="00A16289"/>
    <w:rsid w:val="00A177F8"/>
    <w:rsid w:val="00A20BD4"/>
    <w:rsid w:val="00A214E2"/>
    <w:rsid w:val="00A215A3"/>
    <w:rsid w:val="00A21B86"/>
    <w:rsid w:val="00A22AC4"/>
    <w:rsid w:val="00A237B7"/>
    <w:rsid w:val="00A23831"/>
    <w:rsid w:val="00A2490F"/>
    <w:rsid w:val="00A251D8"/>
    <w:rsid w:val="00A25C3E"/>
    <w:rsid w:val="00A2618E"/>
    <w:rsid w:val="00A270D2"/>
    <w:rsid w:val="00A270D5"/>
    <w:rsid w:val="00A27146"/>
    <w:rsid w:val="00A271A7"/>
    <w:rsid w:val="00A272D8"/>
    <w:rsid w:val="00A27987"/>
    <w:rsid w:val="00A3031F"/>
    <w:rsid w:val="00A306F6"/>
    <w:rsid w:val="00A30816"/>
    <w:rsid w:val="00A30941"/>
    <w:rsid w:val="00A30B0A"/>
    <w:rsid w:val="00A31470"/>
    <w:rsid w:val="00A31730"/>
    <w:rsid w:val="00A319B1"/>
    <w:rsid w:val="00A320C7"/>
    <w:rsid w:val="00A320FF"/>
    <w:rsid w:val="00A32710"/>
    <w:rsid w:val="00A32849"/>
    <w:rsid w:val="00A331EA"/>
    <w:rsid w:val="00A334A1"/>
    <w:rsid w:val="00A33958"/>
    <w:rsid w:val="00A34DCE"/>
    <w:rsid w:val="00A351C7"/>
    <w:rsid w:val="00A356DB"/>
    <w:rsid w:val="00A358EE"/>
    <w:rsid w:val="00A36AF4"/>
    <w:rsid w:val="00A371A5"/>
    <w:rsid w:val="00A3747E"/>
    <w:rsid w:val="00A375F7"/>
    <w:rsid w:val="00A3775C"/>
    <w:rsid w:val="00A3779F"/>
    <w:rsid w:val="00A378AE"/>
    <w:rsid w:val="00A37CAE"/>
    <w:rsid w:val="00A4147D"/>
    <w:rsid w:val="00A41955"/>
    <w:rsid w:val="00A4239B"/>
    <w:rsid w:val="00A42D90"/>
    <w:rsid w:val="00A43301"/>
    <w:rsid w:val="00A4343C"/>
    <w:rsid w:val="00A43582"/>
    <w:rsid w:val="00A43C29"/>
    <w:rsid w:val="00A4537E"/>
    <w:rsid w:val="00A45B93"/>
    <w:rsid w:val="00A46493"/>
    <w:rsid w:val="00A47464"/>
    <w:rsid w:val="00A47AF9"/>
    <w:rsid w:val="00A47B0E"/>
    <w:rsid w:val="00A50727"/>
    <w:rsid w:val="00A51DF7"/>
    <w:rsid w:val="00A51EB8"/>
    <w:rsid w:val="00A5249A"/>
    <w:rsid w:val="00A52576"/>
    <w:rsid w:val="00A52E4F"/>
    <w:rsid w:val="00A52F37"/>
    <w:rsid w:val="00A53836"/>
    <w:rsid w:val="00A53B69"/>
    <w:rsid w:val="00A5421B"/>
    <w:rsid w:val="00A5458E"/>
    <w:rsid w:val="00A552D5"/>
    <w:rsid w:val="00A55554"/>
    <w:rsid w:val="00A55CD8"/>
    <w:rsid w:val="00A56A47"/>
    <w:rsid w:val="00A5723A"/>
    <w:rsid w:val="00A57AC1"/>
    <w:rsid w:val="00A57F1E"/>
    <w:rsid w:val="00A60802"/>
    <w:rsid w:val="00A60F70"/>
    <w:rsid w:val="00A6146B"/>
    <w:rsid w:val="00A61550"/>
    <w:rsid w:val="00A61969"/>
    <w:rsid w:val="00A622AD"/>
    <w:rsid w:val="00A62C9F"/>
    <w:rsid w:val="00A62D22"/>
    <w:rsid w:val="00A633BE"/>
    <w:rsid w:val="00A633F2"/>
    <w:rsid w:val="00A64122"/>
    <w:rsid w:val="00A64962"/>
    <w:rsid w:val="00A64A80"/>
    <w:rsid w:val="00A65CD5"/>
    <w:rsid w:val="00A65EDE"/>
    <w:rsid w:val="00A661DF"/>
    <w:rsid w:val="00A661FC"/>
    <w:rsid w:val="00A669A2"/>
    <w:rsid w:val="00A66B28"/>
    <w:rsid w:val="00A66E5A"/>
    <w:rsid w:val="00A66F44"/>
    <w:rsid w:val="00A677A9"/>
    <w:rsid w:val="00A70C54"/>
    <w:rsid w:val="00A71276"/>
    <w:rsid w:val="00A737E4"/>
    <w:rsid w:val="00A7396F"/>
    <w:rsid w:val="00A740F5"/>
    <w:rsid w:val="00A742CB"/>
    <w:rsid w:val="00A747F6"/>
    <w:rsid w:val="00A74B87"/>
    <w:rsid w:val="00A76628"/>
    <w:rsid w:val="00A76755"/>
    <w:rsid w:val="00A76BA0"/>
    <w:rsid w:val="00A76DCB"/>
    <w:rsid w:val="00A77B74"/>
    <w:rsid w:val="00A80DEA"/>
    <w:rsid w:val="00A81321"/>
    <w:rsid w:val="00A816EE"/>
    <w:rsid w:val="00A81E4F"/>
    <w:rsid w:val="00A8252E"/>
    <w:rsid w:val="00A83668"/>
    <w:rsid w:val="00A83A3F"/>
    <w:rsid w:val="00A83C22"/>
    <w:rsid w:val="00A84703"/>
    <w:rsid w:val="00A8474E"/>
    <w:rsid w:val="00A84AA4"/>
    <w:rsid w:val="00A84F5E"/>
    <w:rsid w:val="00A850BF"/>
    <w:rsid w:val="00A86452"/>
    <w:rsid w:val="00A8645C"/>
    <w:rsid w:val="00A86E06"/>
    <w:rsid w:val="00A86E94"/>
    <w:rsid w:val="00A87216"/>
    <w:rsid w:val="00A905C5"/>
    <w:rsid w:val="00A90C3E"/>
    <w:rsid w:val="00A91749"/>
    <w:rsid w:val="00A92677"/>
    <w:rsid w:val="00A9364D"/>
    <w:rsid w:val="00A93A0C"/>
    <w:rsid w:val="00A94557"/>
    <w:rsid w:val="00A94E60"/>
    <w:rsid w:val="00A95AD8"/>
    <w:rsid w:val="00A95CFE"/>
    <w:rsid w:val="00A96265"/>
    <w:rsid w:val="00A96544"/>
    <w:rsid w:val="00A9689D"/>
    <w:rsid w:val="00A96E1D"/>
    <w:rsid w:val="00A97F57"/>
    <w:rsid w:val="00AA044E"/>
    <w:rsid w:val="00AA0959"/>
    <w:rsid w:val="00AA0F6F"/>
    <w:rsid w:val="00AA1D72"/>
    <w:rsid w:val="00AA2D1F"/>
    <w:rsid w:val="00AA3565"/>
    <w:rsid w:val="00AA3AA9"/>
    <w:rsid w:val="00AA3AC2"/>
    <w:rsid w:val="00AA3ACF"/>
    <w:rsid w:val="00AA4076"/>
    <w:rsid w:val="00AA4446"/>
    <w:rsid w:val="00AA52C9"/>
    <w:rsid w:val="00AA53A9"/>
    <w:rsid w:val="00AA53D2"/>
    <w:rsid w:val="00AA6868"/>
    <w:rsid w:val="00AA6912"/>
    <w:rsid w:val="00AA6DF0"/>
    <w:rsid w:val="00AA762B"/>
    <w:rsid w:val="00AA76AE"/>
    <w:rsid w:val="00AA7986"/>
    <w:rsid w:val="00AA7E6E"/>
    <w:rsid w:val="00AB00CA"/>
    <w:rsid w:val="00AB0127"/>
    <w:rsid w:val="00AB1CA7"/>
    <w:rsid w:val="00AB210C"/>
    <w:rsid w:val="00AB22AA"/>
    <w:rsid w:val="00AB2E03"/>
    <w:rsid w:val="00AB3457"/>
    <w:rsid w:val="00AB36F0"/>
    <w:rsid w:val="00AB4181"/>
    <w:rsid w:val="00AB4A31"/>
    <w:rsid w:val="00AB551B"/>
    <w:rsid w:val="00AB5932"/>
    <w:rsid w:val="00AB6076"/>
    <w:rsid w:val="00AB6189"/>
    <w:rsid w:val="00AB64A2"/>
    <w:rsid w:val="00AB7120"/>
    <w:rsid w:val="00AB7A75"/>
    <w:rsid w:val="00AC353A"/>
    <w:rsid w:val="00AC3AEE"/>
    <w:rsid w:val="00AC457C"/>
    <w:rsid w:val="00AC4AFB"/>
    <w:rsid w:val="00AC5042"/>
    <w:rsid w:val="00AC6AD1"/>
    <w:rsid w:val="00AC6B06"/>
    <w:rsid w:val="00AC6BBB"/>
    <w:rsid w:val="00AD0377"/>
    <w:rsid w:val="00AD0730"/>
    <w:rsid w:val="00AD0FE4"/>
    <w:rsid w:val="00AD1076"/>
    <w:rsid w:val="00AD1A79"/>
    <w:rsid w:val="00AD2591"/>
    <w:rsid w:val="00AD269F"/>
    <w:rsid w:val="00AD2DF2"/>
    <w:rsid w:val="00AD2FA5"/>
    <w:rsid w:val="00AD3D9D"/>
    <w:rsid w:val="00AD443C"/>
    <w:rsid w:val="00AD4AFC"/>
    <w:rsid w:val="00AD4B35"/>
    <w:rsid w:val="00AD4E6F"/>
    <w:rsid w:val="00AD514A"/>
    <w:rsid w:val="00AD6E1F"/>
    <w:rsid w:val="00AD6F7B"/>
    <w:rsid w:val="00AD72C6"/>
    <w:rsid w:val="00AD7F89"/>
    <w:rsid w:val="00AE014E"/>
    <w:rsid w:val="00AE19C1"/>
    <w:rsid w:val="00AE1C71"/>
    <w:rsid w:val="00AE1DF4"/>
    <w:rsid w:val="00AE24A1"/>
    <w:rsid w:val="00AE2826"/>
    <w:rsid w:val="00AE2B6F"/>
    <w:rsid w:val="00AE2C1A"/>
    <w:rsid w:val="00AE30A8"/>
    <w:rsid w:val="00AE4483"/>
    <w:rsid w:val="00AE47EA"/>
    <w:rsid w:val="00AE48EF"/>
    <w:rsid w:val="00AE4D1A"/>
    <w:rsid w:val="00AE4D1C"/>
    <w:rsid w:val="00AE4FE1"/>
    <w:rsid w:val="00AE52B4"/>
    <w:rsid w:val="00AE55BD"/>
    <w:rsid w:val="00AE61CC"/>
    <w:rsid w:val="00AE6770"/>
    <w:rsid w:val="00AE7A3E"/>
    <w:rsid w:val="00AF0A16"/>
    <w:rsid w:val="00AF0B49"/>
    <w:rsid w:val="00AF2977"/>
    <w:rsid w:val="00AF2A29"/>
    <w:rsid w:val="00AF2C09"/>
    <w:rsid w:val="00AF3B1E"/>
    <w:rsid w:val="00AF4058"/>
    <w:rsid w:val="00AF4750"/>
    <w:rsid w:val="00AF4DD3"/>
    <w:rsid w:val="00AF57ED"/>
    <w:rsid w:val="00AF5B91"/>
    <w:rsid w:val="00AF6322"/>
    <w:rsid w:val="00AF659B"/>
    <w:rsid w:val="00AF7181"/>
    <w:rsid w:val="00B00269"/>
    <w:rsid w:val="00B0040D"/>
    <w:rsid w:val="00B00926"/>
    <w:rsid w:val="00B01F7D"/>
    <w:rsid w:val="00B0264A"/>
    <w:rsid w:val="00B0305B"/>
    <w:rsid w:val="00B03375"/>
    <w:rsid w:val="00B03827"/>
    <w:rsid w:val="00B04184"/>
    <w:rsid w:val="00B0457F"/>
    <w:rsid w:val="00B04C57"/>
    <w:rsid w:val="00B053AF"/>
    <w:rsid w:val="00B05733"/>
    <w:rsid w:val="00B05859"/>
    <w:rsid w:val="00B05B7E"/>
    <w:rsid w:val="00B05C4A"/>
    <w:rsid w:val="00B05F84"/>
    <w:rsid w:val="00B0662E"/>
    <w:rsid w:val="00B0690B"/>
    <w:rsid w:val="00B069D6"/>
    <w:rsid w:val="00B069F4"/>
    <w:rsid w:val="00B06EF2"/>
    <w:rsid w:val="00B076E3"/>
    <w:rsid w:val="00B0786C"/>
    <w:rsid w:val="00B07DEA"/>
    <w:rsid w:val="00B10152"/>
    <w:rsid w:val="00B104B2"/>
    <w:rsid w:val="00B1079F"/>
    <w:rsid w:val="00B10960"/>
    <w:rsid w:val="00B12339"/>
    <w:rsid w:val="00B137D2"/>
    <w:rsid w:val="00B137ED"/>
    <w:rsid w:val="00B1429A"/>
    <w:rsid w:val="00B14663"/>
    <w:rsid w:val="00B14753"/>
    <w:rsid w:val="00B153F6"/>
    <w:rsid w:val="00B15D44"/>
    <w:rsid w:val="00B16104"/>
    <w:rsid w:val="00B16CC5"/>
    <w:rsid w:val="00B1701E"/>
    <w:rsid w:val="00B17120"/>
    <w:rsid w:val="00B17133"/>
    <w:rsid w:val="00B17537"/>
    <w:rsid w:val="00B17623"/>
    <w:rsid w:val="00B17981"/>
    <w:rsid w:val="00B2036B"/>
    <w:rsid w:val="00B20373"/>
    <w:rsid w:val="00B2178E"/>
    <w:rsid w:val="00B21EBB"/>
    <w:rsid w:val="00B22373"/>
    <w:rsid w:val="00B24C21"/>
    <w:rsid w:val="00B2569A"/>
    <w:rsid w:val="00B25DFB"/>
    <w:rsid w:val="00B26EAF"/>
    <w:rsid w:val="00B273E4"/>
    <w:rsid w:val="00B30688"/>
    <w:rsid w:val="00B30957"/>
    <w:rsid w:val="00B310B0"/>
    <w:rsid w:val="00B31B6F"/>
    <w:rsid w:val="00B333A3"/>
    <w:rsid w:val="00B33B19"/>
    <w:rsid w:val="00B34573"/>
    <w:rsid w:val="00B34938"/>
    <w:rsid w:val="00B35514"/>
    <w:rsid w:val="00B35937"/>
    <w:rsid w:val="00B3623A"/>
    <w:rsid w:val="00B368D3"/>
    <w:rsid w:val="00B36C49"/>
    <w:rsid w:val="00B36C62"/>
    <w:rsid w:val="00B36D7A"/>
    <w:rsid w:val="00B37EBF"/>
    <w:rsid w:val="00B40819"/>
    <w:rsid w:val="00B40D8C"/>
    <w:rsid w:val="00B40DAA"/>
    <w:rsid w:val="00B41727"/>
    <w:rsid w:val="00B41F6C"/>
    <w:rsid w:val="00B42497"/>
    <w:rsid w:val="00B426F3"/>
    <w:rsid w:val="00B440D9"/>
    <w:rsid w:val="00B449EF"/>
    <w:rsid w:val="00B44EB7"/>
    <w:rsid w:val="00B4663C"/>
    <w:rsid w:val="00B470FC"/>
    <w:rsid w:val="00B4720D"/>
    <w:rsid w:val="00B47762"/>
    <w:rsid w:val="00B47A04"/>
    <w:rsid w:val="00B47EF8"/>
    <w:rsid w:val="00B501F2"/>
    <w:rsid w:val="00B509F1"/>
    <w:rsid w:val="00B5164B"/>
    <w:rsid w:val="00B51741"/>
    <w:rsid w:val="00B51DC8"/>
    <w:rsid w:val="00B524A4"/>
    <w:rsid w:val="00B52903"/>
    <w:rsid w:val="00B52ACD"/>
    <w:rsid w:val="00B530B7"/>
    <w:rsid w:val="00B53313"/>
    <w:rsid w:val="00B533E2"/>
    <w:rsid w:val="00B54DEF"/>
    <w:rsid w:val="00B561A9"/>
    <w:rsid w:val="00B56D53"/>
    <w:rsid w:val="00B5701D"/>
    <w:rsid w:val="00B57472"/>
    <w:rsid w:val="00B5767E"/>
    <w:rsid w:val="00B57DB1"/>
    <w:rsid w:val="00B6070E"/>
    <w:rsid w:val="00B6089A"/>
    <w:rsid w:val="00B60CCD"/>
    <w:rsid w:val="00B620B0"/>
    <w:rsid w:val="00B6210A"/>
    <w:rsid w:val="00B62324"/>
    <w:rsid w:val="00B63296"/>
    <w:rsid w:val="00B63AA5"/>
    <w:rsid w:val="00B63C4A"/>
    <w:rsid w:val="00B63F7A"/>
    <w:rsid w:val="00B640D9"/>
    <w:rsid w:val="00B640FA"/>
    <w:rsid w:val="00B64461"/>
    <w:rsid w:val="00B65066"/>
    <w:rsid w:val="00B656FF"/>
    <w:rsid w:val="00B6592B"/>
    <w:rsid w:val="00B705E5"/>
    <w:rsid w:val="00B707D4"/>
    <w:rsid w:val="00B70A44"/>
    <w:rsid w:val="00B70BB7"/>
    <w:rsid w:val="00B712A5"/>
    <w:rsid w:val="00B7170E"/>
    <w:rsid w:val="00B718DE"/>
    <w:rsid w:val="00B71BA1"/>
    <w:rsid w:val="00B725BB"/>
    <w:rsid w:val="00B727EB"/>
    <w:rsid w:val="00B73202"/>
    <w:rsid w:val="00B7332D"/>
    <w:rsid w:val="00B7398A"/>
    <w:rsid w:val="00B73C23"/>
    <w:rsid w:val="00B73EE5"/>
    <w:rsid w:val="00B746AF"/>
    <w:rsid w:val="00B74871"/>
    <w:rsid w:val="00B74BD5"/>
    <w:rsid w:val="00B74C24"/>
    <w:rsid w:val="00B74E69"/>
    <w:rsid w:val="00B7527E"/>
    <w:rsid w:val="00B755DA"/>
    <w:rsid w:val="00B75F42"/>
    <w:rsid w:val="00B7656E"/>
    <w:rsid w:val="00B7700F"/>
    <w:rsid w:val="00B77C06"/>
    <w:rsid w:val="00B8135D"/>
    <w:rsid w:val="00B8150C"/>
    <w:rsid w:val="00B81539"/>
    <w:rsid w:val="00B81866"/>
    <w:rsid w:val="00B81A6A"/>
    <w:rsid w:val="00B81BEC"/>
    <w:rsid w:val="00B82E0F"/>
    <w:rsid w:val="00B82ED2"/>
    <w:rsid w:val="00B83F62"/>
    <w:rsid w:val="00B8528D"/>
    <w:rsid w:val="00B85A66"/>
    <w:rsid w:val="00B8685B"/>
    <w:rsid w:val="00B902FA"/>
    <w:rsid w:val="00B9034F"/>
    <w:rsid w:val="00B9067C"/>
    <w:rsid w:val="00B906AE"/>
    <w:rsid w:val="00B906B1"/>
    <w:rsid w:val="00B90A2D"/>
    <w:rsid w:val="00B91BEB"/>
    <w:rsid w:val="00B92702"/>
    <w:rsid w:val="00B92ED3"/>
    <w:rsid w:val="00B934C3"/>
    <w:rsid w:val="00B93626"/>
    <w:rsid w:val="00B936FB"/>
    <w:rsid w:val="00B93C28"/>
    <w:rsid w:val="00B93F28"/>
    <w:rsid w:val="00B93F56"/>
    <w:rsid w:val="00B943B1"/>
    <w:rsid w:val="00B943C3"/>
    <w:rsid w:val="00B94474"/>
    <w:rsid w:val="00B946A7"/>
    <w:rsid w:val="00B9479C"/>
    <w:rsid w:val="00B94EC2"/>
    <w:rsid w:val="00B9569F"/>
    <w:rsid w:val="00B96473"/>
    <w:rsid w:val="00B97002"/>
    <w:rsid w:val="00B970A3"/>
    <w:rsid w:val="00B97152"/>
    <w:rsid w:val="00B97244"/>
    <w:rsid w:val="00B978D8"/>
    <w:rsid w:val="00B97BDF"/>
    <w:rsid w:val="00B97ED7"/>
    <w:rsid w:val="00BA020E"/>
    <w:rsid w:val="00BA0C50"/>
    <w:rsid w:val="00BA0D7A"/>
    <w:rsid w:val="00BA1B3E"/>
    <w:rsid w:val="00BA1B6A"/>
    <w:rsid w:val="00BA21B5"/>
    <w:rsid w:val="00BA2E7B"/>
    <w:rsid w:val="00BA3E0E"/>
    <w:rsid w:val="00BA4156"/>
    <w:rsid w:val="00BA4FAC"/>
    <w:rsid w:val="00BA519E"/>
    <w:rsid w:val="00BA6C6E"/>
    <w:rsid w:val="00BA6D9B"/>
    <w:rsid w:val="00BA6E9B"/>
    <w:rsid w:val="00BB0694"/>
    <w:rsid w:val="00BB0B9E"/>
    <w:rsid w:val="00BB1229"/>
    <w:rsid w:val="00BB136C"/>
    <w:rsid w:val="00BB13C2"/>
    <w:rsid w:val="00BB13FD"/>
    <w:rsid w:val="00BB16D4"/>
    <w:rsid w:val="00BB2127"/>
    <w:rsid w:val="00BB2807"/>
    <w:rsid w:val="00BB2DC9"/>
    <w:rsid w:val="00BB377C"/>
    <w:rsid w:val="00BB3C0A"/>
    <w:rsid w:val="00BB44DF"/>
    <w:rsid w:val="00BB51AD"/>
    <w:rsid w:val="00BB5649"/>
    <w:rsid w:val="00BB5C86"/>
    <w:rsid w:val="00BB633A"/>
    <w:rsid w:val="00BB6800"/>
    <w:rsid w:val="00BB7764"/>
    <w:rsid w:val="00BB788D"/>
    <w:rsid w:val="00BB7A2D"/>
    <w:rsid w:val="00BB7BF8"/>
    <w:rsid w:val="00BC03C3"/>
    <w:rsid w:val="00BC05B9"/>
    <w:rsid w:val="00BC061F"/>
    <w:rsid w:val="00BC0932"/>
    <w:rsid w:val="00BC0CFA"/>
    <w:rsid w:val="00BC2A32"/>
    <w:rsid w:val="00BC2A7A"/>
    <w:rsid w:val="00BC2B50"/>
    <w:rsid w:val="00BC2FE7"/>
    <w:rsid w:val="00BC3037"/>
    <w:rsid w:val="00BC312D"/>
    <w:rsid w:val="00BC3C7A"/>
    <w:rsid w:val="00BC4C18"/>
    <w:rsid w:val="00BC51A8"/>
    <w:rsid w:val="00BC65B0"/>
    <w:rsid w:val="00BC74ED"/>
    <w:rsid w:val="00BC75BE"/>
    <w:rsid w:val="00BC77F5"/>
    <w:rsid w:val="00BC78B3"/>
    <w:rsid w:val="00BC7CD3"/>
    <w:rsid w:val="00BD03D2"/>
    <w:rsid w:val="00BD0A8F"/>
    <w:rsid w:val="00BD0D31"/>
    <w:rsid w:val="00BD0D68"/>
    <w:rsid w:val="00BD1237"/>
    <w:rsid w:val="00BD1924"/>
    <w:rsid w:val="00BD1C77"/>
    <w:rsid w:val="00BD42C2"/>
    <w:rsid w:val="00BD50E1"/>
    <w:rsid w:val="00BD620D"/>
    <w:rsid w:val="00BD6694"/>
    <w:rsid w:val="00BD6EBC"/>
    <w:rsid w:val="00BD7136"/>
    <w:rsid w:val="00BE053E"/>
    <w:rsid w:val="00BE08A0"/>
    <w:rsid w:val="00BE0CAC"/>
    <w:rsid w:val="00BE11C3"/>
    <w:rsid w:val="00BE1C13"/>
    <w:rsid w:val="00BE22BD"/>
    <w:rsid w:val="00BE2554"/>
    <w:rsid w:val="00BE2D74"/>
    <w:rsid w:val="00BE3A71"/>
    <w:rsid w:val="00BE4065"/>
    <w:rsid w:val="00BE44B2"/>
    <w:rsid w:val="00BE478B"/>
    <w:rsid w:val="00BE4F51"/>
    <w:rsid w:val="00BE5C69"/>
    <w:rsid w:val="00BE5F35"/>
    <w:rsid w:val="00BE6093"/>
    <w:rsid w:val="00BF04A6"/>
    <w:rsid w:val="00BF09FD"/>
    <w:rsid w:val="00BF0B0C"/>
    <w:rsid w:val="00BF1576"/>
    <w:rsid w:val="00BF1C6E"/>
    <w:rsid w:val="00BF1E5D"/>
    <w:rsid w:val="00BF21A2"/>
    <w:rsid w:val="00BF2947"/>
    <w:rsid w:val="00BF333E"/>
    <w:rsid w:val="00BF47FD"/>
    <w:rsid w:val="00BF4E20"/>
    <w:rsid w:val="00BF4E7A"/>
    <w:rsid w:val="00BF55DE"/>
    <w:rsid w:val="00BF5981"/>
    <w:rsid w:val="00BF5B71"/>
    <w:rsid w:val="00BF5BB7"/>
    <w:rsid w:val="00BF67B3"/>
    <w:rsid w:val="00BF6851"/>
    <w:rsid w:val="00BF6C1D"/>
    <w:rsid w:val="00BF6F51"/>
    <w:rsid w:val="00BF756C"/>
    <w:rsid w:val="00BF75B2"/>
    <w:rsid w:val="00C0005E"/>
    <w:rsid w:val="00C003F0"/>
    <w:rsid w:val="00C0070B"/>
    <w:rsid w:val="00C00737"/>
    <w:rsid w:val="00C00A4E"/>
    <w:rsid w:val="00C00BAB"/>
    <w:rsid w:val="00C00CAB"/>
    <w:rsid w:val="00C00DCF"/>
    <w:rsid w:val="00C01558"/>
    <w:rsid w:val="00C01A4B"/>
    <w:rsid w:val="00C021AC"/>
    <w:rsid w:val="00C0361C"/>
    <w:rsid w:val="00C03DC4"/>
    <w:rsid w:val="00C04209"/>
    <w:rsid w:val="00C04599"/>
    <w:rsid w:val="00C04BB4"/>
    <w:rsid w:val="00C0513C"/>
    <w:rsid w:val="00C053B3"/>
    <w:rsid w:val="00C056E6"/>
    <w:rsid w:val="00C059A1"/>
    <w:rsid w:val="00C05DE7"/>
    <w:rsid w:val="00C062E6"/>
    <w:rsid w:val="00C06EF8"/>
    <w:rsid w:val="00C06F47"/>
    <w:rsid w:val="00C07AF5"/>
    <w:rsid w:val="00C07CD7"/>
    <w:rsid w:val="00C07E74"/>
    <w:rsid w:val="00C10244"/>
    <w:rsid w:val="00C10419"/>
    <w:rsid w:val="00C106DE"/>
    <w:rsid w:val="00C1077E"/>
    <w:rsid w:val="00C10F6A"/>
    <w:rsid w:val="00C11616"/>
    <w:rsid w:val="00C11D3A"/>
    <w:rsid w:val="00C12A6D"/>
    <w:rsid w:val="00C1366E"/>
    <w:rsid w:val="00C14844"/>
    <w:rsid w:val="00C149DC"/>
    <w:rsid w:val="00C15102"/>
    <w:rsid w:val="00C16091"/>
    <w:rsid w:val="00C16129"/>
    <w:rsid w:val="00C16E12"/>
    <w:rsid w:val="00C17362"/>
    <w:rsid w:val="00C20583"/>
    <w:rsid w:val="00C20DA1"/>
    <w:rsid w:val="00C214C6"/>
    <w:rsid w:val="00C21A59"/>
    <w:rsid w:val="00C2221B"/>
    <w:rsid w:val="00C229F3"/>
    <w:rsid w:val="00C22E16"/>
    <w:rsid w:val="00C2360D"/>
    <w:rsid w:val="00C23C4B"/>
    <w:rsid w:val="00C23E8C"/>
    <w:rsid w:val="00C241E5"/>
    <w:rsid w:val="00C26418"/>
    <w:rsid w:val="00C276EA"/>
    <w:rsid w:val="00C2788B"/>
    <w:rsid w:val="00C2795E"/>
    <w:rsid w:val="00C30BB2"/>
    <w:rsid w:val="00C313AC"/>
    <w:rsid w:val="00C31B21"/>
    <w:rsid w:val="00C31CF4"/>
    <w:rsid w:val="00C31D93"/>
    <w:rsid w:val="00C32118"/>
    <w:rsid w:val="00C32E5D"/>
    <w:rsid w:val="00C333BA"/>
    <w:rsid w:val="00C33708"/>
    <w:rsid w:val="00C337CA"/>
    <w:rsid w:val="00C34DF0"/>
    <w:rsid w:val="00C35366"/>
    <w:rsid w:val="00C353F9"/>
    <w:rsid w:val="00C3618F"/>
    <w:rsid w:val="00C364B9"/>
    <w:rsid w:val="00C3747C"/>
    <w:rsid w:val="00C4002C"/>
    <w:rsid w:val="00C40502"/>
    <w:rsid w:val="00C406D1"/>
    <w:rsid w:val="00C42505"/>
    <w:rsid w:val="00C459F4"/>
    <w:rsid w:val="00C463E2"/>
    <w:rsid w:val="00C469E2"/>
    <w:rsid w:val="00C47201"/>
    <w:rsid w:val="00C50324"/>
    <w:rsid w:val="00C50A7C"/>
    <w:rsid w:val="00C51FF1"/>
    <w:rsid w:val="00C5204B"/>
    <w:rsid w:val="00C52A08"/>
    <w:rsid w:val="00C52C76"/>
    <w:rsid w:val="00C52E06"/>
    <w:rsid w:val="00C5383C"/>
    <w:rsid w:val="00C54894"/>
    <w:rsid w:val="00C54B30"/>
    <w:rsid w:val="00C55193"/>
    <w:rsid w:val="00C55496"/>
    <w:rsid w:val="00C56A2C"/>
    <w:rsid w:val="00C56D2A"/>
    <w:rsid w:val="00C56EDA"/>
    <w:rsid w:val="00C57BFD"/>
    <w:rsid w:val="00C602C4"/>
    <w:rsid w:val="00C6055B"/>
    <w:rsid w:val="00C60D43"/>
    <w:rsid w:val="00C6112A"/>
    <w:rsid w:val="00C62E22"/>
    <w:rsid w:val="00C63C74"/>
    <w:rsid w:val="00C63DD3"/>
    <w:rsid w:val="00C6492D"/>
    <w:rsid w:val="00C6498D"/>
    <w:rsid w:val="00C657CC"/>
    <w:rsid w:val="00C65FFD"/>
    <w:rsid w:val="00C668CF"/>
    <w:rsid w:val="00C670BD"/>
    <w:rsid w:val="00C67126"/>
    <w:rsid w:val="00C7049A"/>
    <w:rsid w:val="00C70A34"/>
    <w:rsid w:val="00C70E9C"/>
    <w:rsid w:val="00C718E8"/>
    <w:rsid w:val="00C71A9B"/>
    <w:rsid w:val="00C72D9B"/>
    <w:rsid w:val="00C73CAC"/>
    <w:rsid w:val="00C73D5A"/>
    <w:rsid w:val="00C74376"/>
    <w:rsid w:val="00C74766"/>
    <w:rsid w:val="00C74A46"/>
    <w:rsid w:val="00C76791"/>
    <w:rsid w:val="00C7691A"/>
    <w:rsid w:val="00C771A8"/>
    <w:rsid w:val="00C771D8"/>
    <w:rsid w:val="00C8051D"/>
    <w:rsid w:val="00C8059D"/>
    <w:rsid w:val="00C80B5E"/>
    <w:rsid w:val="00C80EF2"/>
    <w:rsid w:val="00C81313"/>
    <w:rsid w:val="00C813A8"/>
    <w:rsid w:val="00C8219B"/>
    <w:rsid w:val="00C823D4"/>
    <w:rsid w:val="00C824F8"/>
    <w:rsid w:val="00C82DC6"/>
    <w:rsid w:val="00C83538"/>
    <w:rsid w:val="00C83E45"/>
    <w:rsid w:val="00C85E94"/>
    <w:rsid w:val="00C85EDF"/>
    <w:rsid w:val="00C86E5B"/>
    <w:rsid w:val="00C875E6"/>
    <w:rsid w:val="00C87CA4"/>
    <w:rsid w:val="00C87E33"/>
    <w:rsid w:val="00C908C3"/>
    <w:rsid w:val="00C90E33"/>
    <w:rsid w:val="00C91054"/>
    <w:rsid w:val="00C910EB"/>
    <w:rsid w:val="00C91FD3"/>
    <w:rsid w:val="00C928F6"/>
    <w:rsid w:val="00C9465F"/>
    <w:rsid w:val="00C94E50"/>
    <w:rsid w:val="00C9537B"/>
    <w:rsid w:val="00C95749"/>
    <w:rsid w:val="00C95D4E"/>
    <w:rsid w:val="00C96BCD"/>
    <w:rsid w:val="00C9715C"/>
    <w:rsid w:val="00C97B22"/>
    <w:rsid w:val="00CA036A"/>
    <w:rsid w:val="00CA0F76"/>
    <w:rsid w:val="00CA1D47"/>
    <w:rsid w:val="00CA1D68"/>
    <w:rsid w:val="00CA256B"/>
    <w:rsid w:val="00CA2D86"/>
    <w:rsid w:val="00CA35FE"/>
    <w:rsid w:val="00CA3DB2"/>
    <w:rsid w:val="00CA41DE"/>
    <w:rsid w:val="00CA4561"/>
    <w:rsid w:val="00CA46DC"/>
    <w:rsid w:val="00CA4716"/>
    <w:rsid w:val="00CA49A6"/>
    <w:rsid w:val="00CA531C"/>
    <w:rsid w:val="00CA5F45"/>
    <w:rsid w:val="00CA6996"/>
    <w:rsid w:val="00CA6F57"/>
    <w:rsid w:val="00CA71D9"/>
    <w:rsid w:val="00CA72AD"/>
    <w:rsid w:val="00CA75E6"/>
    <w:rsid w:val="00CA7D73"/>
    <w:rsid w:val="00CB0E6D"/>
    <w:rsid w:val="00CB0F7F"/>
    <w:rsid w:val="00CB1219"/>
    <w:rsid w:val="00CB132F"/>
    <w:rsid w:val="00CB217E"/>
    <w:rsid w:val="00CB2F70"/>
    <w:rsid w:val="00CB381B"/>
    <w:rsid w:val="00CB3F65"/>
    <w:rsid w:val="00CB438D"/>
    <w:rsid w:val="00CB45D5"/>
    <w:rsid w:val="00CB47A0"/>
    <w:rsid w:val="00CB4A26"/>
    <w:rsid w:val="00CB50DC"/>
    <w:rsid w:val="00CB5478"/>
    <w:rsid w:val="00CB6176"/>
    <w:rsid w:val="00CB6927"/>
    <w:rsid w:val="00CB69DD"/>
    <w:rsid w:val="00CB6A8C"/>
    <w:rsid w:val="00CB7331"/>
    <w:rsid w:val="00CB78CC"/>
    <w:rsid w:val="00CB7C0D"/>
    <w:rsid w:val="00CC16AB"/>
    <w:rsid w:val="00CC191E"/>
    <w:rsid w:val="00CC1BF9"/>
    <w:rsid w:val="00CC21AD"/>
    <w:rsid w:val="00CC2465"/>
    <w:rsid w:val="00CC355F"/>
    <w:rsid w:val="00CC377F"/>
    <w:rsid w:val="00CC3CCA"/>
    <w:rsid w:val="00CC4305"/>
    <w:rsid w:val="00CC4970"/>
    <w:rsid w:val="00CC55FF"/>
    <w:rsid w:val="00CC590C"/>
    <w:rsid w:val="00CC5974"/>
    <w:rsid w:val="00CC5C61"/>
    <w:rsid w:val="00CC68B6"/>
    <w:rsid w:val="00CC68E4"/>
    <w:rsid w:val="00CD0FFA"/>
    <w:rsid w:val="00CD17B4"/>
    <w:rsid w:val="00CD1866"/>
    <w:rsid w:val="00CD26B7"/>
    <w:rsid w:val="00CD306D"/>
    <w:rsid w:val="00CD3452"/>
    <w:rsid w:val="00CD3FFA"/>
    <w:rsid w:val="00CD3FFC"/>
    <w:rsid w:val="00CD4830"/>
    <w:rsid w:val="00CD6279"/>
    <w:rsid w:val="00CD6994"/>
    <w:rsid w:val="00CD7417"/>
    <w:rsid w:val="00CD7B6F"/>
    <w:rsid w:val="00CD7E2F"/>
    <w:rsid w:val="00CD7EBF"/>
    <w:rsid w:val="00CD7F8F"/>
    <w:rsid w:val="00CE00BA"/>
    <w:rsid w:val="00CE00E9"/>
    <w:rsid w:val="00CE052C"/>
    <w:rsid w:val="00CE1768"/>
    <w:rsid w:val="00CE29B2"/>
    <w:rsid w:val="00CE33FC"/>
    <w:rsid w:val="00CE3D74"/>
    <w:rsid w:val="00CE44AB"/>
    <w:rsid w:val="00CE4918"/>
    <w:rsid w:val="00CE4A65"/>
    <w:rsid w:val="00CE53DD"/>
    <w:rsid w:val="00CE550D"/>
    <w:rsid w:val="00CE5542"/>
    <w:rsid w:val="00CE5DCC"/>
    <w:rsid w:val="00CE5FED"/>
    <w:rsid w:val="00CE6E62"/>
    <w:rsid w:val="00CE7660"/>
    <w:rsid w:val="00CF07DB"/>
    <w:rsid w:val="00CF145D"/>
    <w:rsid w:val="00CF2304"/>
    <w:rsid w:val="00CF27E4"/>
    <w:rsid w:val="00CF366F"/>
    <w:rsid w:val="00CF36FB"/>
    <w:rsid w:val="00CF3E6C"/>
    <w:rsid w:val="00CF3F74"/>
    <w:rsid w:val="00CF4075"/>
    <w:rsid w:val="00CF4624"/>
    <w:rsid w:val="00CF537C"/>
    <w:rsid w:val="00CF544F"/>
    <w:rsid w:val="00CF5542"/>
    <w:rsid w:val="00CF55F7"/>
    <w:rsid w:val="00CF578C"/>
    <w:rsid w:val="00CF5837"/>
    <w:rsid w:val="00CF5B3E"/>
    <w:rsid w:val="00CF6252"/>
    <w:rsid w:val="00CF63AA"/>
    <w:rsid w:val="00CF68B9"/>
    <w:rsid w:val="00CF7193"/>
    <w:rsid w:val="00CF7AC5"/>
    <w:rsid w:val="00CF7D1C"/>
    <w:rsid w:val="00D000CD"/>
    <w:rsid w:val="00D004BF"/>
    <w:rsid w:val="00D01286"/>
    <w:rsid w:val="00D0163B"/>
    <w:rsid w:val="00D019AF"/>
    <w:rsid w:val="00D01CE2"/>
    <w:rsid w:val="00D0213B"/>
    <w:rsid w:val="00D0248C"/>
    <w:rsid w:val="00D02813"/>
    <w:rsid w:val="00D02903"/>
    <w:rsid w:val="00D03E24"/>
    <w:rsid w:val="00D042A8"/>
    <w:rsid w:val="00D0452A"/>
    <w:rsid w:val="00D0521A"/>
    <w:rsid w:val="00D052CE"/>
    <w:rsid w:val="00D0672C"/>
    <w:rsid w:val="00D06867"/>
    <w:rsid w:val="00D0691C"/>
    <w:rsid w:val="00D06CF7"/>
    <w:rsid w:val="00D078D0"/>
    <w:rsid w:val="00D079A6"/>
    <w:rsid w:val="00D07A9E"/>
    <w:rsid w:val="00D07FDE"/>
    <w:rsid w:val="00D1035E"/>
    <w:rsid w:val="00D10B6A"/>
    <w:rsid w:val="00D146CB"/>
    <w:rsid w:val="00D14D9B"/>
    <w:rsid w:val="00D16375"/>
    <w:rsid w:val="00D21138"/>
    <w:rsid w:val="00D2113F"/>
    <w:rsid w:val="00D21764"/>
    <w:rsid w:val="00D21970"/>
    <w:rsid w:val="00D222A1"/>
    <w:rsid w:val="00D23068"/>
    <w:rsid w:val="00D23341"/>
    <w:rsid w:val="00D23516"/>
    <w:rsid w:val="00D24456"/>
    <w:rsid w:val="00D26587"/>
    <w:rsid w:val="00D271B1"/>
    <w:rsid w:val="00D2744F"/>
    <w:rsid w:val="00D27B32"/>
    <w:rsid w:val="00D27CA9"/>
    <w:rsid w:val="00D27E49"/>
    <w:rsid w:val="00D302CD"/>
    <w:rsid w:val="00D30685"/>
    <w:rsid w:val="00D307B0"/>
    <w:rsid w:val="00D308D6"/>
    <w:rsid w:val="00D31CB0"/>
    <w:rsid w:val="00D31DB1"/>
    <w:rsid w:val="00D31FE2"/>
    <w:rsid w:val="00D321E3"/>
    <w:rsid w:val="00D33588"/>
    <w:rsid w:val="00D33A3B"/>
    <w:rsid w:val="00D33A88"/>
    <w:rsid w:val="00D33B67"/>
    <w:rsid w:val="00D3411F"/>
    <w:rsid w:val="00D341F0"/>
    <w:rsid w:val="00D34B4A"/>
    <w:rsid w:val="00D36A83"/>
    <w:rsid w:val="00D36B10"/>
    <w:rsid w:val="00D3716D"/>
    <w:rsid w:val="00D4070E"/>
    <w:rsid w:val="00D40DA6"/>
    <w:rsid w:val="00D41849"/>
    <w:rsid w:val="00D42F34"/>
    <w:rsid w:val="00D43401"/>
    <w:rsid w:val="00D43B98"/>
    <w:rsid w:val="00D43D83"/>
    <w:rsid w:val="00D449C3"/>
    <w:rsid w:val="00D44AE4"/>
    <w:rsid w:val="00D44E1E"/>
    <w:rsid w:val="00D45DF1"/>
    <w:rsid w:val="00D460E9"/>
    <w:rsid w:val="00D4675A"/>
    <w:rsid w:val="00D5110D"/>
    <w:rsid w:val="00D5232C"/>
    <w:rsid w:val="00D525BF"/>
    <w:rsid w:val="00D5321C"/>
    <w:rsid w:val="00D533BD"/>
    <w:rsid w:val="00D53462"/>
    <w:rsid w:val="00D5444D"/>
    <w:rsid w:val="00D546F5"/>
    <w:rsid w:val="00D54B2F"/>
    <w:rsid w:val="00D54B39"/>
    <w:rsid w:val="00D54F78"/>
    <w:rsid w:val="00D5548D"/>
    <w:rsid w:val="00D557D1"/>
    <w:rsid w:val="00D55C84"/>
    <w:rsid w:val="00D56274"/>
    <w:rsid w:val="00D569C8"/>
    <w:rsid w:val="00D56ED4"/>
    <w:rsid w:val="00D57D6B"/>
    <w:rsid w:val="00D57DF5"/>
    <w:rsid w:val="00D604FE"/>
    <w:rsid w:val="00D62AA9"/>
    <w:rsid w:val="00D62F1C"/>
    <w:rsid w:val="00D639D4"/>
    <w:rsid w:val="00D643EB"/>
    <w:rsid w:val="00D65B74"/>
    <w:rsid w:val="00D65BB3"/>
    <w:rsid w:val="00D65E87"/>
    <w:rsid w:val="00D662B5"/>
    <w:rsid w:val="00D66538"/>
    <w:rsid w:val="00D665AC"/>
    <w:rsid w:val="00D679B0"/>
    <w:rsid w:val="00D67A78"/>
    <w:rsid w:val="00D70BCE"/>
    <w:rsid w:val="00D70BDF"/>
    <w:rsid w:val="00D71019"/>
    <w:rsid w:val="00D710D2"/>
    <w:rsid w:val="00D7116B"/>
    <w:rsid w:val="00D717F3"/>
    <w:rsid w:val="00D71D71"/>
    <w:rsid w:val="00D71D83"/>
    <w:rsid w:val="00D71DF9"/>
    <w:rsid w:val="00D730AF"/>
    <w:rsid w:val="00D73146"/>
    <w:rsid w:val="00D73C78"/>
    <w:rsid w:val="00D73F32"/>
    <w:rsid w:val="00D7432D"/>
    <w:rsid w:val="00D75A1A"/>
    <w:rsid w:val="00D80782"/>
    <w:rsid w:val="00D812BA"/>
    <w:rsid w:val="00D81622"/>
    <w:rsid w:val="00D82481"/>
    <w:rsid w:val="00D832A9"/>
    <w:rsid w:val="00D83EF2"/>
    <w:rsid w:val="00D84122"/>
    <w:rsid w:val="00D84199"/>
    <w:rsid w:val="00D84363"/>
    <w:rsid w:val="00D848BF"/>
    <w:rsid w:val="00D85189"/>
    <w:rsid w:val="00D85252"/>
    <w:rsid w:val="00D852C5"/>
    <w:rsid w:val="00D85571"/>
    <w:rsid w:val="00D85891"/>
    <w:rsid w:val="00D86731"/>
    <w:rsid w:val="00D86892"/>
    <w:rsid w:val="00D8756A"/>
    <w:rsid w:val="00D87896"/>
    <w:rsid w:val="00D90226"/>
    <w:rsid w:val="00D90656"/>
    <w:rsid w:val="00D90E21"/>
    <w:rsid w:val="00D9128F"/>
    <w:rsid w:val="00D91686"/>
    <w:rsid w:val="00D92B35"/>
    <w:rsid w:val="00D932AB"/>
    <w:rsid w:val="00D93850"/>
    <w:rsid w:val="00D93E8C"/>
    <w:rsid w:val="00D945F4"/>
    <w:rsid w:val="00D948FB"/>
    <w:rsid w:val="00D949D9"/>
    <w:rsid w:val="00D94A42"/>
    <w:rsid w:val="00D94DBA"/>
    <w:rsid w:val="00D95394"/>
    <w:rsid w:val="00D96412"/>
    <w:rsid w:val="00D96764"/>
    <w:rsid w:val="00D96A63"/>
    <w:rsid w:val="00D96C8F"/>
    <w:rsid w:val="00D97600"/>
    <w:rsid w:val="00D9776B"/>
    <w:rsid w:val="00DA0446"/>
    <w:rsid w:val="00DA0A09"/>
    <w:rsid w:val="00DA0ADB"/>
    <w:rsid w:val="00DA0FF2"/>
    <w:rsid w:val="00DA103E"/>
    <w:rsid w:val="00DA12B2"/>
    <w:rsid w:val="00DA13C6"/>
    <w:rsid w:val="00DA1638"/>
    <w:rsid w:val="00DA1656"/>
    <w:rsid w:val="00DA1789"/>
    <w:rsid w:val="00DA1A20"/>
    <w:rsid w:val="00DA1BA1"/>
    <w:rsid w:val="00DA1FBA"/>
    <w:rsid w:val="00DA2517"/>
    <w:rsid w:val="00DA2C73"/>
    <w:rsid w:val="00DA375D"/>
    <w:rsid w:val="00DA3796"/>
    <w:rsid w:val="00DA3ABF"/>
    <w:rsid w:val="00DA3AF8"/>
    <w:rsid w:val="00DA3C2C"/>
    <w:rsid w:val="00DA3CAD"/>
    <w:rsid w:val="00DA3D34"/>
    <w:rsid w:val="00DA400A"/>
    <w:rsid w:val="00DA47D7"/>
    <w:rsid w:val="00DA58F0"/>
    <w:rsid w:val="00DA5959"/>
    <w:rsid w:val="00DA6803"/>
    <w:rsid w:val="00DA7078"/>
    <w:rsid w:val="00DA7387"/>
    <w:rsid w:val="00DA73FC"/>
    <w:rsid w:val="00DA7516"/>
    <w:rsid w:val="00DA761A"/>
    <w:rsid w:val="00DA7CDF"/>
    <w:rsid w:val="00DA7F27"/>
    <w:rsid w:val="00DB0181"/>
    <w:rsid w:val="00DB0709"/>
    <w:rsid w:val="00DB0C6D"/>
    <w:rsid w:val="00DB1179"/>
    <w:rsid w:val="00DB23E5"/>
    <w:rsid w:val="00DB29F2"/>
    <w:rsid w:val="00DB2D51"/>
    <w:rsid w:val="00DB2F14"/>
    <w:rsid w:val="00DB334D"/>
    <w:rsid w:val="00DB36C6"/>
    <w:rsid w:val="00DB517D"/>
    <w:rsid w:val="00DB5381"/>
    <w:rsid w:val="00DB5988"/>
    <w:rsid w:val="00DB5A44"/>
    <w:rsid w:val="00DB5FAB"/>
    <w:rsid w:val="00DB6385"/>
    <w:rsid w:val="00DB6F70"/>
    <w:rsid w:val="00DB7036"/>
    <w:rsid w:val="00DB7CCA"/>
    <w:rsid w:val="00DB7D48"/>
    <w:rsid w:val="00DC0727"/>
    <w:rsid w:val="00DC0B65"/>
    <w:rsid w:val="00DC1667"/>
    <w:rsid w:val="00DC2244"/>
    <w:rsid w:val="00DC2442"/>
    <w:rsid w:val="00DC2513"/>
    <w:rsid w:val="00DC2A36"/>
    <w:rsid w:val="00DC40CF"/>
    <w:rsid w:val="00DC4923"/>
    <w:rsid w:val="00DC544C"/>
    <w:rsid w:val="00DC588E"/>
    <w:rsid w:val="00DC5C43"/>
    <w:rsid w:val="00DC5EC3"/>
    <w:rsid w:val="00DC61B0"/>
    <w:rsid w:val="00DC64DE"/>
    <w:rsid w:val="00DD0126"/>
    <w:rsid w:val="00DD0233"/>
    <w:rsid w:val="00DD02A2"/>
    <w:rsid w:val="00DD03FF"/>
    <w:rsid w:val="00DD0528"/>
    <w:rsid w:val="00DD0B0F"/>
    <w:rsid w:val="00DD111B"/>
    <w:rsid w:val="00DD12C5"/>
    <w:rsid w:val="00DD1572"/>
    <w:rsid w:val="00DD1826"/>
    <w:rsid w:val="00DD1AE1"/>
    <w:rsid w:val="00DD2148"/>
    <w:rsid w:val="00DD30AD"/>
    <w:rsid w:val="00DD36A6"/>
    <w:rsid w:val="00DD3AD4"/>
    <w:rsid w:val="00DD4483"/>
    <w:rsid w:val="00DD47D0"/>
    <w:rsid w:val="00DD4A4E"/>
    <w:rsid w:val="00DD50DD"/>
    <w:rsid w:val="00DD5240"/>
    <w:rsid w:val="00DD5AA7"/>
    <w:rsid w:val="00DD5AB7"/>
    <w:rsid w:val="00DD5BCE"/>
    <w:rsid w:val="00DD5E8A"/>
    <w:rsid w:val="00DD6FE5"/>
    <w:rsid w:val="00DD733E"/>
    <w:rsid w:val="00DD7B02"/>
    <w:rsid w:val="00DE0055"/>
    <w:rsid w:val="00DE0188"/>
    <w:rsid w:val="00DE24BD"/>
    <w:rsid w:val="00DE2515"/>
    <w:rsid w:val="00DE366B"/>
    <w:rsid w:val="00DE3950"/>
    <w:rsid w:val="00DE42B3"/>
    <w:rsid w:val="00DE44EE"/>
    <w:rsid w:val="00DE47C6"/>
    <w:rsid w:val="00DE5068"/>
    <w:rsid w:val="00DE6392"/>
    <w:rsid w:val="00DE751D"/>
    <w:rsid w:val="00DF0A28"/>
    <w:rsid w:val="00DF0A5E"/>
    <w:rsid w:val="00DF1E22"/>
    <w:rsid w:val="00DF208D"/>
    <w:rsid w:val="00DF28DD"/>
    <w:rsid w:val="00DF2968"/>
    <w:rsid w:val="00DF2EAA"/>
    <w:rsid w:val="00DF32CE"/>
    <w:rsid w:val="00DF3817"/>
    <w:rsid w:val="00DF3A5A"/>
    <w:rsid w:val="00DF3EAE"/>
    <w:rsid w:val="00DF4232"/>
    <w:rsid w:val="00DF4A40"/>
    <w:rsid w:val="00DF512C"/>
    <w:rsid w:val="00DF5152"/>
    <w:rsid w:val="00DF5752"/>
    <w:rsid w:val="00DF5B24"/>
    <w:rsid w:val="00DF61F8"/>
    <w:rsid w:val="00DF6ED8"/>
    <w:rsid w:val="00DF778C"/>
    <w:rsid w:val="00DF7EEB"/>
    <w:rsid w:val="00E0062C"/>
    <w:rsid w:val="00E00AD3"/>
    <w:rsid w:val="00E021B8"/>
    <w:rsid w:val="00E022EE"/>
    <w:rsid w:val="00E0275A"/>
    <w:rsid w:val="00E054CD"/>
    <w:rsid w:val="00E05A14"/>
    <w:rsid w:val="00E05A50"/>
    <w:rsid w:val="00E05DEE"/>
    <w:rsid w:val="00E0615C"/>
    <w:rsid w:val="00E07628"/>
    <w:rsid w:val="00E07A9E"/>
    <w:rsid w:val="00E10643"/>
    <w:rsid w:val="00E109BE"/>
    <w:rsid w:val="00E10DC4"/>
    <w:rsid w:val="00E10F2E"/>
    <w:rsid w:val="00E11310"/>
    <w:rsid w:val="00E11598"/>
    <w:rsid w:val="00E118D3"/>
    <w:rsid w:val="00E12365"/>
    <w:rsid w:val="00E12496"/>
    <w:rsid w:val="00E13DD0"/>
    <w:rsid w:val="00E13E1B"/>
    <w:rsid w:val="00E14A20"/>
    <w:rsid w:val="00E14F85"/>
    <w:rsid w:val="00E15255"/>
    <w:rsid w:val="00E15A67"/>
    <w:rsid w:val="00E1611B"/>
    <w:rsid w:val="00E167BE"/>
    <w:rsid w:val="00E16E3C"/>
    <w:rsid w:val="00E176A9"/>
    <w:rsid w:val="00E17A3B"/>
    <w:rsid w:val="00E2028A"/>
    <w:rsid w:val="00E20B8E"/>
    <w:rsid w:val="00E20C81"/>
    <w:rsid w:val="00E2105C"/>
    <w:rsid w:val="00E21356"/>
    <w:rsid w:val="00E219FD"/>
    <w:rsid w:val="00E2206F"/>
    <w:rsid w:val="00E2257B"/>
    <w:rsid w:val="00E22DC5"/>
    <w:rsid w:val="00E23952"/>
    <w:rsid w:val="00E23B4E"/>
    <w:rsid w:val="00E23EA7"/>
    <w:rsid w:val="00E241C3"/>
    <w:rsid w:val="00E242E9"/>
    <w:rsid w:val="00E246BA"/>
    <w:rsid w:val="00E24A0C"/>
    <w:rsid w:val="00E25EDC"/>
    <w:rsid w:val="00E262B3"/>
    <w:rsid w:val="00E262BB"/>
    <w:rsid w:val="00E26457"/>
    <w:rsid w:val="00E26D78"/>
    <w:rsid w:val="00E270D8"/>
    <w:rsid w:val="00E279AC"/>
    <w:rsid w:val="00E30342"/>
    <w:rsid w:val="00E3183E"/>
    <w:rsid w:val="00E31AB1"/>
    <w:rsid w:val="00E31C0E"/>
    <w:rsid w:val="00E32E48"/>
    <w:rsid w:val="00E33782"/>
    <w:rsid w:val="00E33AD5"/>
    <w:rsid w:val="00E33BE4"/>
    <w:rsid w:val="00E34389"/>
    <w:rsid w:val="00E34928"/>
    <w:rsid w:val="00E35953"/>
    <w:rsid w:val="00E3643C"/>
    <w:rsid w:val="00E367B6"/>
    <w:rsid w:val="00E37024"/>
    <w:rsid w:val="00E3745F"/>
    <w:rsid w:val="00E40044"/>
    <w:rsid w:val="00E4047D"/>
    <w:rsid w:val="00E40A8A"/>
    <w:rsid w:val="00E41CBB"/>
    <w:rsid w:val="00E41FF6"/>
    <w:rsid w:val="00E421E6"/>
    <w:rsid w:val="00E42331"/>
    <w:rsid w:val="00E43462"/>
    <w:rsid w:val="00E437E3"/>
    <w:rsid w:val="00E43DBE"/>
    <w:rsid w:val="00E4436D"/>
    <w:rsid w:val="00E4592F"/>
    <w:rsid w:val="00E45BAD"/>
    <w:rsid w:val="00E45DAA"/>
    <w:rsid w:val="00E47450"/>
    <w:rsid w:val="00E47594"/>
    <w:rsid w:val="00E50898"/>
    <w:rsid w:val="00E5256D"/>
    <w:rsid w:val="00E531E9"/>
    <w:rsid w:val="00E53C20"/>
    <w:rsid w:val="00E53E5A"/>
    <w:rsid w:val="00E53FB3"/>
    <w:rsid w:val="00E54613"/>
    <w:rsid w:val="00E5497E"/>
    <w:rsid w:val="00E54A3B"/>
    <w:rsid w:val="00E5531E"/>
    <w:rsid w:val="00E55A9F"/>
    <w:rsid w:val="00E55B28"/>
    <w:rsid w:val="00E55F0F"/>
    <w:rsid w:val="00E56AE8"/>
    <w:rsid w:val="00E57C70"/>
    <w:rsid w:val="00E57F92"/>
    <w:rsid w:val="00E6002D"/>
    <w:rsid w:val="00E60810"/>
    <w:rsid w:val="00E60B3B"/>
    <w:rsid w:val="00E61D15"/>
    <w:rsid w:val="00E624CB"/>
    <w:rsid w:val="00E627A2"/>
    <w:rsid w:val="00E632EC"/>
    <w:rsid w:val="00E635E8"/>
    <w:rsid w:val="00E64BFC"/>
    <w:rsid w:val="00E650F9"/>
    <w:rsid w:val="00E65276"/>
    <w:rsid w:val="00E659D3"/>
    <w:rsid w:val="00E65A7D"/>
    <w:rsid w:val="00E65BAA"/>
    <w:rsid w:val="00E65C4C"/>
    <w:rsid w:val="00E660F3"/>
    <w:rsid w:val="00E6652F"/>
    <w:rsid w:val="00E6719E"/>
    <w:rsid w:val="00E67EB1"/>
    <w:rsid w:val="00E70468"/>
    <w:rsid w:val="00E707D7"/>
    <w:rsid w:val="00E7100C"/>
    <w:rsid w:val="00E71E15"/>
    <w:rsid w:val="00E7220F"/>
    <w:rsid w:val="00E729CD"/>
    <w:rsid w:val="00E72DF8"/>
    <w:rsid w:val="00E72FC8"/>
    <w:rsid w:val="00E73114"/>
    <w:rsid w:val="00E73847"/>
    <w:rsid w:val="00E74208"/>
    <w:rsid w:val="00E7440E"/>
    <w:rsid w:val="00E750ED"/>
    <w:rsid w:val="00E75179"/>
    <w:rsid w:val="00E75D32"/>
    <w:rsid w:val="00E7766E"/>
    <w:rsid w:val="00E77E89"/>
    <w:rsid w:val="00E805C8"/>
    <w:rsid w:val="00E80FEA"/>
    <w:rsid w:val="00E81141"/>
    <w:rsid w:val="00E8164D"/>
    <w:rsid w:val="00E81B66"/>
    <w:rsid w:val="00E82257"/>
    <w:rsid w:val="00E8252C"/>
    <w:rsid w:val="00E832FC"/>
    <w:rsid w:val="00E8349C"/>
    <w:rsid w:val="00E84063"/>
    <w:rsid w:val="00E8433B"/>
    <w:rsid w:val="00E84731"/>
    <w:rsid w:val="00E84D63"/>
    <w:rsid w:val="00E85A5A"/>
    <w:rsid w:val="00E86353"/>
    <w:rsid w:val="00E865F9"/>
    <w:rsid w:val="00E86891"/>
    <w:rsid w:val="00E8760D"/>
    <w:rsid w:val="00E87CAE"/>
    <w:rsid w:val="00E87CFC"/>
    <w:rsid w:val="00E905B0"/>
    <w:rsid w:val="00E90A3D"/>
    <w:rsid w:val="00E90C7E"/>
    <w:rsid w:val="00E91240"/>
    <w:rsid w:val="00E913A8"/>
    <w:rsid w:val="00E91D49"/>
    <w:rsid w:val="00E928FD"/>
    <w:rsid w:val="00E92B44"/>
    <w:rsid w:val="00E933E8"/>
    <w:rsid w:val="00E93864"/>
    <w:rsid w:val="00E93A48"/>
    <w:rsid w:val="00E94218"/>
    <w:rsid w:val="00E9430A"/>
    <w:rsid w:val="00E9431B"/>
    <w:rsid w:val="00E94331"/>
    <w:rsid w:val="00E94398"/>
    <w:rsid w:val="00E94737"/>
    <w:rsid w:val="00E94A8E"/>
    <w:rsid w:val="00E94D19"/>
    <w:rsid w:val="00E950D0"/>
    <w:rsid w:val="00E958B4"/>
    <w:rsid w:val="00E9603E"/>
    <w:rsid w:val="00E9615B"/>
    <w:rsid w:val="00E961DE"/>
    <w:rsid w:val="00E9642A"/>
    <w:rsid w:val="00E974FE"/>
    <w:rsid w:val="00E976DD"/>
    <w:rsid w:val="00E97979"/>
    <w:rsid w:val="00EA2009"/>
    <w:rsid w:val="00EA2207"/>
    <w:rsid w:val="00EA2421"/>
    <w:rsid w:val="00EA257F"/>
    <w:rsid w:val="00EA2B53"/>
    <w:rsid w:val="00EA2EFF"/>
    <w:rsid w:val="00EA331C"/>
    <w:rsid w:val="00EA34F9"/>
    <w:rsid w:val="00EA35A8"/>
    <w:rsid w:val="00EA463C"/>
    <w:rsid w:val="00EA49C2"/>
    <w:rsid w:val="00EA4D40"/>
    <w:rsid w:val="00EA5142"/>
    <w:rsid w:val="00EA5D35"/>
    <w:rsid w:val="00EA61F0"/>
    <w:rsid w:val="00EA67EA"/>
    <w:rsid w:val="00EA6DCF"/>
    <w:rsid w:val="00EA71F6"/>
    <w:rsid w:val="00EA7702"/>
    <w:rsid w:val="00EA797B"/>
    <w:rsid w:val="00EB03CD"/>
    <w:rsid w:val="00EB0556"/>
    <w:rsid w:val="00EB0611"/>
    <w:rsid w:val="00EB06CB"/>
    <w:rsid w:val="00EB1C4D"/>
    <w:rsid w:val="00EB21C5"/>
    <w:rsid w:val="00EB459B"/>
    <w:rsid w:val="00EB51F4"/>
    <w:rsid w:val="00EB5827"/>
    <w:rsid w:val="00EB5D45"/>
    <w:rsid w:val="00EB5E9A"/>
    <w:rsid w:val="00EB6715"/>
    <w:rsid w:val="00EB73D8"/>
    <w:rsid w:val="00EC09FB"/>
    <w:rsid w:val="00EC0A32"/>
    <w:rsid w:val="00EC0E45"/>
    <w:rsid w:val="00EC1793"/>
    <w:rsid w:val="00EC1CF5"/>
    <w:rsid w:val="00EC280A"/>
    <w:rsid w:val="00EC2929"/>
    <w:rsid w:val="00EC2AAC"/>
    <w:rsid w:val="00EC3421"/>
    <w:rsid w:val="00EC3A5F"/>
    <w:rsid w:val="00EC3ECA"/>
    <w:rsid w:val="00EC490D"/>
    <w:rsid w:val="00EC51CF"/>
    <w:rsid w:val="00EC5769"/>
    <w:rsid w:val="00EC5B64"/>
    <w:rsid w:val="00EC5C87"/>
    <w:rsid w:val="00EC74A7"/>
    <w:rsid w:val="00EC77DC"/>
    <w:rsid w:val="00EC7E37"/>
    <w:rsid w:val="00ED00F4"/>
    <w:rsid w:val="00ED05AA"/>
    <w:rsid w:val="00ED0895"/>
    <w:rsid w:val="00ED09C9"/>
    <w:rsid w:val="00ED1059"/>
    <w:rsid w:val="00ED21FB"/>
    <w:rsid w:val="00ED3041"/>
    <w:rsid w:val="00ED323C"/>
    <w:rsid w:val="00ED342F"/>
    <w:rsid w:val="00ED35DC"/>
    <w:rsid w:val="00ED3B8D"/>
    <w:rsid w:val="00ED3C8C"/>
    <w:rsid w:val="00ED42FA"/>
    <w:rsid w:val="00ED4DFA"/>
    <w:rsid w:val="00ED5983"/>
    <w:rsid w:val="00ED6D5C"/>
    <w:rsid w:val="00ED7025"/>
    <w:rsid w:val="00ED73C7"/>
    <w:rsid w:val="00ED7524"/>
    <w:rsid w:val="00ED759F"/>
    <w:rsid w:val="00ED78E2"/>
    <w:rsid w:val="00ED79CD"/>
    <w:rsid w:val="00ED7C2E"/>
    <w:rsid w:val="00EE04DA"/>
    <w:rsid w:val="00EE051B"/>
    <w:rsid w:val="00EE0624"/>
    <w:rsid w:val="00EE0692"/>
    <w:rsid w:val="00EE07E8"/>
    <w:rsid w:val="00EE0A29"/>
    <w:rsid w:val="00EE0A60"/>
    <w:rsid w:val="00EE0B22"/>
    <w:rsid w:val="00EE1164"/>
    <w:rsid w:val="00EE11C9"/>
    <w:rsid w:val="00EE14FC"/>
    <w:rsid w:val="00EE1559"/>
    <w:rsid w:val="00EE2527"/>
    <w:rsid w:val="00EE2617"/>
    <w:rsid w:val="00EE34B8"/>
    <w:rsid w:val="00EE37AA"/>
    <w:rsid w:val="00EE4444"/>
    <w:rsid w:val="00EE4694"/>
    <w:rsid w:val="00EE5967"/>
    <w:rsid w:val="00EE5FB3"/>
    <w:rsid w:val="00EE6E3B"/>
    <w:rsid w:val="00EE70EC"/>
    <w:rsid w:val="00EE7351"/>
    <w:rsid w:val="00EE7D14"/>
    <w:rsid w:val="00EE7E15"/>
    <w:rsid w:val="00EE7F9B"/>
    <w:rsid w:val="00EF0131"/>
    <w:rsid w:val="00EF029B"/>
    <w:rsid w:val="00EF0365"/>
    <w:rsid w:val="00EF119A"/>
    <w:rsid w:val="00EF29F1"/>
    <w:rsid w:val="00EF2A3F"/>
    <w:rsid w:val="00EF3580"/>
    <w:rsid w:val="00EF3811"/>
    <w:rsid w:val="00EF3E40"/>
    <w:rsid w:val="00EF3FD4"/>
    <w:rsid w:val="00EF5B89"/>
    <w:rsid w:val="00EF6D99"/>
    <w:rsid w:val="00EF7510"/>
    <w:rsid w:val="00EF7C9E"/>
    <w:rsid w:val="00EF7F9C"/>
    <w:rsid w:val="00F001D0"/>
    <w:rsid w:val="00F017FB"/>
    <w:rsid w:val="00F018B8"/>
    <w:rsid w:val="00F02251"/>
    <w:rsid w:val="00F0232A"/>
    <w:rsid w:val="00F02666"/>
    <w:rsid w:val="00F0271E"/>
    <w:rsid w:val="00F02823"/>
    <w:rsid w:val="00F02EF1"/>
    <w:rsid w:val="00F032ED"/>
    <w:rsid w:val="00F0338D"/>
    <w:rsid w:val="00F038BD"/>
    <w:rsid w:val="00F0392E"/>
    <w:rsid w:val="00F03BA2"/>
    <w:rsid w:val="00F05C78"/>
    <w:rsid w:val="00F07970"/>
    <w:rsid w:val="00F07B49"/>
    <w:rsid w:val="00F100E4"/>
    <w:rsid w:val="00F1018C"/>
    <w:rsid w:val="00F10225"/>
    <w:rsid w:val="00F1092C"/>
    <w:rsid w:val="00F112EA"/>
    <w:rsid w:val="00F11334"/>
    <w:rsid w:val="00F114B1"/>
    <w:rsid w:val="00F11F22"/>
    <w:rsid w:val="00F12627"/>
    <w:rsid w:val="00F12CC7"/>
    <w:rsid w:val="00F12FD4"/>
    <w:rsid w:val="00F14E48"/>
    <w:rsid w:val="00F14F72"/>
    <w:rsid w:val="00F15845"/>
    <w:rsid w:val="00F15B25"/>
    <w:rsid w:val="00F166AE"/>
    <w:rsid w:val="00F174A2"/>
    <w:rsid w:val="00F17A35"/>
    <w:rsid w:val="00F2014D"/>
    <w:rsid w:val="00F21813"/>
    <w:rsid w:val="00F21832"/>
    <w:rsid w:val="00F21D3C"/>
    <w:rsid w:val="00F22DD2"/>
    <w:rsid w:val="00F23020"/>
    <w:rsid w:val="00F23237"/>
    <w:rsid w:val="00F2341B"/>
    <w:rsid w:val="00F23653"/>
    <w:rsid w:val="00F23ACC"/>
    <w:rsid w:val="00F2416D"/>
    <w:rsid w:val="00F244F5"/>
    <w:rsid w:val="00F246F4"/>
    <w:rsid w:val="00F25515"/>
    <w:rsid w:val="00F25623"/>
    <w:rsid w:val="00F25FD0"/>
    <w:rsid w:val="00F2608B"/>
    <w:rsid w:val="00F26B6A"/>
    <w:rsid w:val="00F2710F"/>
    <w:rsid w:val="00F2735B"/>
    <w:rsid w:val="00F27ACC"/>
    <w:rsid w:val="00F27F5A"/>
    <w:rsid w:val="00F3073E"/>
    <w:rsid w:val="00F30FAC"/>
    <w:rsid w:val="00F31827"/>
    <w:rsid w:val="00F31C85"/>
    <w:rsid w:val="00F31EB2"/>
    <w:rsid w:val="00F31EBF"/>
    <w:rsid w:val="00F321E5"/>
    <w:rsid w:val="00F32BCF"/>
    <w:rsid w:val="00F32DE4"/>
    <w:rsid w:val="00F3336E"/>
    <w:rsid w:val="00F33923"/>
    <w:rsid w:val="00F33D43"/>
    <w:rsid w:val="00F34769"/>
    <w:rsid w:val="00F35224"/>
    <w:rsid w:val="00F361DB"/>
    <w:rsid w:val="00F364E6"/>
    <w:rsid w:val="00F368DD"/>
    <w:rsid w:val="00F36EA3"/>
    <w:rsid w:val="00F37387"/>
    <w:rsid w:val="00F37815"/>
    <w:rsid w:val="00F378B6"/>
    <w:rsid w:val="00F37C1A"/>
    <w:rsid w:val="00F37EBB"/>
    <w:rsid w:val="00F40878"/>
    <w:rsid w:val="00F40B54"/>
    <w:rsid w:val="00F41172"/>
    <w:rsid w:val="00F41195"/>
    <w:rsid w:val="00F417EC"/>
    <w:rsid w:val="00F43322"/>
    <w:rsid w:val="00F433E8"/>
    <w:rsid w:val="00F43B9E"/>
    <w:rsid w:val="00F45344"/>
    <w:rsid w:val="00F455E4"/>
    <w:rsid w:val="00F45641"/>
    <w:rsid w:val="00F458C5"/>
    <w:rsid w:val="00F45BEA"/>
    <w:rsid w:val="00F46A1D"/>
    <w:rsid w:val="00F46D66"/>
    <w:rsid w:val="00F46FB5"/>
    <w:rsid w:val="00F46FC7"/>
    <w:rsid w:val="00F47356"/>
    <w:rsid w:val="00F473CA"/>
    <w:rsid w:val="00F479D2"/>
    <w:rsid w:val="00F505E3"/>
    <w:rsid w:val="00F506EB"/>
    <w:rsid w:val="00F50B3A"/>
    <w:rsid w:val="00F50DFA"/>
    <w:rsid w:val="00F51DB7"/>
    <w:rsid w:val="00F52681"/>
    <w:rsid w:val="00F52694"/>
    <w:rsid w:val="00F5382C"/>
    <w:rsid w:val="00F53F8A"/>
    <w:rsid w:val="00F54447"/>
    <w:rsid w:val="00F54BAF"/>
    <w:rsid w:val="00F54BEF"/>
    <w:rsid w:val="00F55057"/>
    <w:rsid w:val="00F55380"/>
    <w:rsid w:val="00F5562B"/>
    <w:rsid w:val="00F55748"/>
    <w:rsid w:val="00F5661D"/>
    <w:rsid w:val="00F5697A"/>
    <w:rsid w:val="00F56B79"/>
    <w:rsid w:val="00F577AE"/>
    <w:rsid w:val="00F57C29"/>
    <w:rsid w:val="00F60B61"/>
    <w:rsid w:val="00F617DE"/>
    <w:rsid w:val="00F624F1"/>
    <w:rsid w:val="00F628EB"/>
    <w:rsid w:val="00F62AF3"/>
    <w:rsid w:val="00F63487"/>
    <w:rsid w:val="00F6476C"/>
    <w:rsid w:val="00F648DD"/>
    <w:rsid w:val="00F65C13"/>
    <w:rsid w:val="00F65FA5"/>
    <w:rsid w:val="00F664B7"/>
    <w:rsid w:val="00F66AAE"/>
    <w:rsid w:val="00F6752D"/>
    <w:rsid w:val="00F6757F"/>
    <w:rsid w:val="00F6758B"/>
    <w:rsid w:val="00F67A52"/>
    <w:rsid w:val="00F67ED8"/>
    <w:rsid w:val="00F701C2"/>
    <w:rsid w:val="00F70234"/>
    <w:rsid w:val="00F70489"/>
    <w:rsid w:val="00F70C5B"/>
    <w:rsid w:val="00F710DC"/>
    <w:rsid w:val="00F71AAA"/>
    <w:rsid w:val="00F7211D"/>
    <w:rsid w:val="00F72559"/>
    <w:rsid w:val="00F7322A"/>
    <w:rsid w:val="00F7465A"/>
    <w:rsid w:val="00F74788"/>
    <w:rsid w:val="00F75126"/>
    <w:rsid w:val="00F75885"/>
    <w:rsid w:val="00F7612A"/>
    <w:rsid w:val="00F76BD2"/>
    <w:rsid w:val="00F77053"/>
    <w:rsid w:val="00F77972"/>
    <w:rsid w:val="00F7797C"/>
    <w:rsid w:val="00F77FD7"/>
    <w:rsid w:val="00F81294"/>
    <w:rsid w:val="00F8129F"/>
    <w:rsid w:val="00F8187B"/>
    <w:rsid w:val="00F81F18"/>
    <w:rsid w:val="00F82B76"/>
    <w:rsid w:val="00F83061"/>
    <w:rsid w:val="00F831C5"/>
    <w:rsid w:val="00F83E50"/>
    <w:rsid w:val="00F83FE5"/>
    <w:rsid w:val="00F843CD"/>
    <w:rsid w:val="00F852BB"/>
    <w:rsid w:val="00F855F3"/>
    <w:rsid w:val="00F856ED"/>
    <w:rsid w:val="00F86001"/>
    <w:rsid w:val="00F867E6"/>
    <w:rsid w:val="00F8715A"/>
    <w:rsid w:val="00F87B8F"/>
    <w:rsid w:val="00F87DF4"/>
    <w:rsid w:val="00F87DFA"/>
    <w:rsid w:val="00F9058C"/>
    <w:rsid w:val="00F90928"/>
    <w:rsid w:val="00F913F7"/>
    <w:rsid w:val="00F918AC"/>
    <w:rsid w:val="00F92174"/>
    <w:rsid w:val="00F93321"/>
    <w:rsid w:val="00F938CB"/>
    <w:rsid w:val="00F93B7E"/>
    <w:rsid w:val="00F9491E"/>
    <w:rsid w:val="00F94D93"/>
    <w:rsid w:val="00F95019"/>
    <w:rsid w:val="00F95339"/>
    <w:rsid w:val="00F954F9"/>
    <w:rsid w:val="00F956C5"/>
    <w:rsid w:val="00F959A1"/>
    <w:rsid w:val="00F95A67"/>
    <w:rsid w:val="00F95B09"/>
    <w:rsid w:val="00F95E3B"/>
    <w:rsid w:val="00F95F8C"/>
    <w:rsid w:val="00F9654D"/>
    <w:rsid w:val="00F966E2"/>
    <w:rsid w:val="00F966FF"/>
    <w:rsid w:val="00F9679F"/>
    <w:rsid w:val="00F97972"/>
    <w:rsid w:val="00F97A7E"/>
    <w:rsid w:val="00F97C3C"/>
    <w:rsid w:val="00FA0E87"/>
    <w:rsid w:val="00FA24CD"/>
    <w:rsid w:val="00FA33D6"/>
    <w:rsid w:val="00FA354D"/>
    <w:rsid w:val="00FA3B1C"/>
    <w:rsid w:val="00FA3C13"/>
    <w:rsid w:val="00FA4369"/>
    <w:rsid w:val="00FA4BD2"/>
    <w:rsid w:val="00FA4ED9"/>
    <w:rsid w:val="00FA4F02"/>
    <w:rsid w:val="00FA537E"/>
    <w:rsid w:val="00FA59FF"/>
    <w:rsid w:val="00FA600D"/>
    <w:rsid w:val="00FA6545"/>
    <w:rsid w:val="00FA68E4"/>
    <w:rsid w:val="00FA79D6"/>
    <w:rsid w:val="00FA7E47"/>
    <w:rsid w:val="00FB05CB"/>
    <w:rsid w:val="00FB09AE"/>
    <w:rsid w:val="00FB0A45"/>
    <w:rsid w:val="00FB1241"/>
    <w:rsid w:val="00FB1A4C"/>
    <w:rsid w:val="00FB1BF8"/>
    <w:rsid w:val="00FB35E2"/>
    <w:rsid w:val="00FB49C1"/>
    <w:rsid w:val="00FB597E"/>
    <w:rsid w:val="00FB643F"/>
    <w:rsid w:val="00FB6492"/>
    <w:rsid w:val="00FB7029"/>
    <w:rsid w:val="00FB710F"/>
    <w:rsid w:val="00FC0556"/>
    <w:rsid w:val="00FC0EE3"/>
    <w:rsid w:val="00FC1D3F"/>
    <w:rsid w:val="00FC3BAA"/>
    <w:rsid w:val="00FC3E7C"/>
    <w:rsid w:val="00FC4828"/>
    <w:rsid w:val="00FC4C70"/>
    <w:rsid w:val="00FC4E32"/>
    <w:rsid w:val="00FC4EFE"/>
    <w:rsid w:val="00FC6242"/>
    <w:rsid w:val="00FC6A1B"/>
    <w:rsid w:val="00FC747E"/>
    <w:rsid w:val="00FC7BD3"/>
    <w:rsid w:val="00FD1C07"/>
    <w:rsid w:val="00FD23A4"/>
    <w:rsid w:val="00FD3055"/>
    <w:rsid w:val="00FD34FD"/>
    <w:rsid w:val="00FD3AF3"/>
    <w:rsid w:val="00FD453C"/>
    <w:rsid w:val="00FD459C"/>
    <w:rsid w:val="00FD4816"/>
    <w:rsid w:val="00FD5794"/>
    <w:rsid w:val="00FD5FC5"/>
    <w:rsid w:val="00FD6069"/>
    <w:rsid w:val="00FD6AFF"/>
    <w:rsid w:val="00FD6E28"/>
    <w:rsid w:val="00FD75CE"/>
    <w:rsid w:val="00FE01EA"/>
    <w:rsid w:val="00FE0860"/>
    <w:rsid w:val="00FE0C01"/>
    <w:rsid w:val="00FE0FA0"/>
    <w:rsid w:val="00FE1077"/>
    <w:rsid w:val="00FE127B"/>
    <w:rsid w:val="00FE13E0"/>
    <w:rsid w:val="00FE150F"/>
    <w:rsid w:val="00FE2EE7"/>
    <w:rsid w:val="00FE3407"/>
    <w:rsid w:val="00FE3574"/>
    <w:rsid w:val="00FE439B"/>
    <w:rsid w:val="00FE517A"/>
    <w:rsid w:val="00FE51B4"/>
    <w:rsid w:val="00FE52C4"/>
    <w:rsid w:val="00FE549C"/>
    <w:rsid w:val="00FE623A"/>
    <w:rsid w:val="00FE760D"/>
    <w:rsid w:val="00FE794D"/>
    <w:rsid w:val="00FE7AB8"/>
    <w:rsid w:val="00FF0F92"/>
    <w:rsid w:val="00FF115C"/>
    <w:rsid w:val="00FF1CD0"/>
    <w:rsid w:val="00FF287D"/>
    <w:rsid w:val="00FF2927"/>
    <w:rsid w:val="00FF2A17"/>
    <w:rsid w:val="00FF2C27"/>
    <w:rsid w:val="00FF329B"/>
    <w:rsid w:val="00FF468B"/>
    <w:rsid w:val="00FF4A6A"/>
    <w:rsid w:val="00FF52F0"/>
    <w:rsid w:val="00FF5832"/>
    <w:rsid w:val="00FF63B1"/>
    <w:rsid w:val="00FF656F"/>
    <w:rsid w:val="00FF6DB5"/>
    <w:rsid w:val="00FF6F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478844,#3c9080"/>
    </o:shapedefaults>
    <o:shapelayout v:ext="edit">
      <o:idmap v:ext="edit" data="2"/>
    </o:shapelayout>
  </w:shapeDefaults>
  <w:decimalSymbol w:val="."/>
  <w:listSeparator w:val=","/>
  <w14:docId w14:val="7CDE3CD7"/>
  <w15:docId w15:val="{798C9CE9-BA36-4B16-9804-8D3174D10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25BCA"/>
    <w:pPr>
      <w:spacing w:before="120" w:after="120" w:line="240" w:lineRule="auto"/>
    </w:pPr>
    <w:rPr>
      <w:rFonts w:eastAsia="Calibri" w:cs="Times New Roman"/>
      <w:sz w:val="24"/>
    </w:rPr>
  </w:style>
  <w:style w:type="paragraph" w:styleId="Heading1">
    <w:name w:val="heading 1"/>
    <w:next w:val="BodyText"/>
    <w:link w:val="Heading1Char"/>
    <w:qFormat/>
    <w:rsid w:val="006F54DF"/>
    <w:pPr>
      <w:pageBreakBefore/>
      <w:numPr>
        <w:numId w:val="14"/>
      </w:numPr>
      <w:autoSpaceDE w:val="0"/>
      <w:autoSpaceDN w:val="0"/>
      <w:adjustRightInd w:val="0"/>
      <w:spacing w:before="240" w:after="240" w:line="264" w:lineRule="auto"/>
      <w:outlineLvl w:val="0"/>
    </w:pPr>
    <w:rPr>
      <w:rFonts w:ascii="Calibri" w:eastAsia="Times New Roman" w:hAnsi="Calibri" w:cs="Arial"/>
      <w:bCs/>
      <w:color w:val="1F497D" w:themeColor="text2"/>
      <w:kern w:val="32"/>
      <w:sz w:val="36"/>
      <w:szCs w:val="32"/>
    </w:rPr>
  </w:style>
  <w:style w:type="paragraph" w:styleId="Heading2">
    <w:name w:val="heading 2"/>
    <w:next w:val="BodyText2"/>
    <w:link w:val="Heading2Char"/>
    <w:qFormat/>
    <w:rsid w:val="006F54DF"/>
    <w:pPr>
      <w:keepNext/>
      <w:numPr>
        <w:ilvl w:val="1"/>
        <w:numId w:val="14"/>
      </w:numPr>
      <w:spacing w:before="240" w:after="240" w:line="264" w:lineRule="auto"/>
      <w:outlineLvl w:val="1"/>
    </w:pPr>
    <w:rPr>
      <w:rFonts w:ascii="Calibri" w:eastAsia="Times New Roman" w:hAnsi="Calibri" w:cs="Arial"/>
      <w:iCs/>
      <w:color w:val="1F497D" w:themeColor="text2"/>
      <w:kern w:val="32"/>
      <w:sz w:val="32"/>
      <w:szCs w:val="28"/>
    </w:rPr>
  </w:style>
  <w:style w:type="paragraph" w:styleId="Heading3">
    <w:name w:val="heading 3"/>
    <w:next w:val="BodyText3"/>
    <w:link w:val="Heading3Char"/>
    <w:qFormat/>
    <w:rsid w:val="006F3955"/>
    <w:pPr>
      <w:keepNext/>
      <w:numPr>
        <w:ilvl w:val="2"/>
        <w:numId w:val="14"/>
      </w:numPr>
      <w:spacing w:before="240" w:after="240" w:line="264" w:lineRule="auto"/>
      <w:outlineLvl w:val="2"/>
    </w:pPr>
    <w:rPr>
      <w:rFonts w:eastAsia="Times New Roman" w:cstheme="minorHAnsi"/>
      <w:bCs/>
      <w:iCs/>
      <w:color w:val="000000" w:themeColor="text1"/>
      <w:kern w:val="32"/>
      <w:sz w:val="28"/>
      <w:szCs w:val="26"/>
    </w:rPr>
  </w:style>
  <w:style w:type="paragraph" w:styleId="Heading4">
    <w:name w:val="heading 4"/>
    <w:basedOn w:val="Heading3"/>
    <w:next w:val="BodyText4"/>
    <w:link w:val="Heading4Char"/>
    <w:qFormat/>
    <w:rsid w:val="00A52E4F"/>
    <w:pPr>
      <w:numPr>
        <w:ilvl w:val="3"/>
      </w:numPr>
      <w:ind w:left="1134"/>
      <w:outlineLvl w:val="3"/>
    </w:pPr>
  </w:style>
  <w:style w:type="paragraph" w:styleId="Heading5">
    <w:name w:val="heading 5"/>
    <w:basedOn w:val="Heading4"/>
    <w:next w:val="BodyText5"/>
    <w:link w:val="Heading5Char"/>
    <w:qFormat/>
    <w:rsid w:val="00A52E4F"/>
    <w:pPr>
      <w:numPr>
        <w:ilvl w:val="4"/>
      </w:numPr>
      <w:ind w:left="1440"/>
      <w:outlineLvl w:val="4"/>
    </w:pPr>
  </w:style>
  <w:style w:type="paragraph" w:styleId="Heading6">
    <w:name w:val="heading 6"/>
    <w:basedOn w:val="Heading5"/>
    <w:next w:val="BodyText6"/>
    <w:link w:val="Heading6Char"/>
    <w:qFormat/>
    <w:rsid w:val="0030720A"/>
    <w:pPr>
      <w:numPr>
        <w:ilvl w:val="5"/>
      </w:numPr>
      <w:outlineLvl w:val="5"/>
    </w:pPr>
  </w:style>
  <w:style w:type="paragraph" w:styleId="Heading7">
    <w:name w:val="heading 7"/>
    <w:basedOn w:val="Normal"/>
    <w:next w:val="BodyText7"/>
    <w:link w:val="Heading7Char"/>
    <w:qFormat/>
    <w:rsid w:val="006F54DF"/>
    <w:pPr>
      <w:keepNext/>
      <w:numPr>
        <w:ilvl w:val="6"/>
        <w:numId w:val="14"/>
      </w:numPr>
      <w:spacing w:before="240" w:after="240"/>
      <w:outlineLvl w:val="6"/>
    </w:pPr>
    <w:rPr>
      <w:rFonts w:ascii="Calibri" w:eastAsia="Times New Roman" w:hAnsi="Calibri" w:cs="Arial"/>
      <w:color w:val="1F497D" w:themeColor="text2"/>
      <w:sz w:val="28"/>
      <w:szCs w:val="24"/>
    </w:rPr>
  </w:style>
  <w:style w:type="paragraph" w:styleId="Heading8">
    <w:name w:val="heading 8"/>
    <w:basedOn w:val="Normal"/>
    <w:next w:val="BodyText8"/>
    <w:link w:val="Heading8Char"/>
    <w:qFormat/>
    <w:rsid w:val="006F54DF"/>
    <w:pPr>
      <w:keepNext/>
      <w:numPr>
        <w:ilvl w:val="7"/>
        <w:numId w:val="14"/>
      </w:numPr>
      <w:spacing w:before="240" w:after="240"/>
      <w:outlineLvl w:val="7"/>
    </w:pPr>
    <w:rPr>
      <w:rFonts w:ascii="Calibri" w:eastAsia="Times New Roman" w:hAnsi="Calibri" w:cs="Arial"/>
      <w:color w:val="1F497D" w:themeColor="text2"/>
      <w:sz w:val="28"/>
      <w:szCs w:val="24"/>
    </w:rPr>
  </w:style>
  <w:style w:type="paragraph" w:styleId="Heading9">
    <w:name w:val="heading 9"/>
    <w:basedOn w:val="Normal"/>
    <w:next w:val="BodyText9"/>
    <w:link w:val="Heading9Char"/>
    <w:qFormat/>
    <w:rsid w:val="006F54DF"/>
    <w:pPr>
      <w:keepNext/>
      <w:numPr>
        <w:ilvl w:val="8"/>
        <w:numId w:val="14"/>
      </w:numPr>
      <w:spacing w:before="240" w:after="240"/>
      <w:outlineLvl w:val="8"/>
    </w:pPr>
    <w:rPr>
      <w:rFonts w:ascii="Calibri" w:hAnsi="Calibri" w:cs="Arial"/>
      <w:color w:val="1F497D" w:themeColor="tex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F54DF"/>
    <w:rPr>
      <w:rFonts w:ascii="Calibri" w:eastAsia="Times New Roman" w:hAnsi="Calibri" w:cs="Arial"/>
      <w:bCs/>
      <w:color w:val="1F497D" w:themeColor="text2"/>
      <w:kern w:val="32"/>
      <w:sz w:val="36"/>
      <w:szCs w:val="32"/>
    </w:rPr>
  </w:style>
  <w:style w:type="character" w:customStyle="1" w:styleId="Heading2Char">
    <w:name w:val="Heading 2 Char"/>
    <w:link w:val="Heading2"/>
    <w:rsid w:val="006F54DF"/>
    <w:rPr>
      <w:rFonts w:ascii="Calibri" w:eastAsia="Times New Roman" w:hAnsi="Calibri" w:cs="Arial"/>
      <w:iCs/>
      <w:color w:val="1F497D" w:themeColor="text2"/>
      <w:kern w:val="32"/>
      <w:sz w:val="32"/>
      <w:szCs w:val="28"/>
    </w:rPr>
  </w:style>
  <w:style w:type="paragraph" w:styleId="Header">
    <w:name w:val="header"/>
    <w:basedOn w:val="Normal"/>
    <w:link w:val="HeaderChar"/>
    <w:uiPriority w:val="99"/>
    <w:unhideWhenUsed/>
    <w:rsid w:val="0030720A"/>
    <w:pPr>
      <w:tabs>
        <w:tab w:val="right" w:pos="10080"/>
      </w:tabs>
      <w:spacing w:after="240"/>
      <w:contextualSpacing/>
    </w:pPr>
  </w:style>
  <w:style w:type="character" w:customStyle="1" w:styleId="HeaderChar">
    <w:name w:val="Header Char"/>
    <w:basedOn w:val="DefaultParagraphFont"/>
    <w:link w:val="Header"/>
    <w:uiPriority w:val="99"/>
    <w:rsid w:val="0030720A"/>
    <w:rPr>
      <w:rFonts w:eastAsia="Calibri" w:cs="Times New Roman"/>
      <w:sz w:val="24"/>
    </w:rPr>
  </w:style>
  <w:style w:type="paragraph" w:styleId="Footer">
    <w:name w:val="footer"/>
    <w:basedOn w:val="Normal"/>
    <w:link w:val="FooterChar"/>
    <w:uiPriority w:val="99"/>
    <w:rsid w:val="0030720A"/>
    <w:pPr>
      <w:tabs>
        <w:tab w:val="right" w:pos="10080"/>
      </w:tabs>
    </w:pPr>
    <w:rPr>
      <w:rFonts w:eastAsia="Times New Roman"/>
      <w:szCs w:val="16"/>
    </w:rPr>
  </w:style>
  <w:style w:type="character" w:customStyle="1" w:styleId="FooterChar">
    <w:name w:val="Footer Char"/>
    <w:link w:val="Footer"/>
    <w:uiPriority w:val="99"/>
    <w:rsid w:val="0030720A"/>
    <w:rPr>
      <w:rFonts w:eastAsia="Times New Roman" w:cs="Times New Roman"/>
      <w:sz w:val="24"/>
      <w:szCs w:val="16"/>
    </w:rPr>
  </w:style>
  <w:style w:type="paragraph" w:styleId="BalloonText">
    <w:name w:val="Balloon Text"/>
    <w:basedOn w:val="Normal"/>
    <w:link w:val="BalloonTextChar"/>
    <w:uiPriority w:val="99"/>
    <w:rsid w:val="0030720A"/>
    <w:rPr>
      <w:rFonts w:cs="Tahoma"/>
      <w:szCs w:val="16"/>
    </w:rPr>
  </w:style>
  <w:style w:type="character" w:customStyle="1" w:styleId="BalloonTextChar">
    <w:name w:val="Balloon Text Char"/>
    <w:basedOn w:val="DefaultParagraphFont"/>
    <w:link w:val="BalloonText"/>
    <w:uiPriority w:val="99"/>
    <w:rsid w:val="0030720A"/>
    <w:rPr>
      <w:rFonts w:eastAsia="Calibri" w:cs="Tahoma"/>
      <w:sz w:val="24"/>
      <w:szCs w:val="16"/>
    </w:rPr>
  </w:style>
  <w:style w:type="paragraph" w:styleId="BodyTextIndent">
    <w:name w:val="Body Text Indent"/>
    <w:basedOn w:val="Normal"/>
    <w:link w:val="BodyTextIndentChar"/>
    <w:unhideWhenUsed/>
    <w:rsid w:val="0030720A"/>
    <w:pPr>
      <w:ind w:left="360"/>
    </w:pPr>
  </w:style>
  <w:style w:type="character" w:customStyle="1" w:styleId="BodyTextIndentChar">
    <w:name w:val="Body Text Indent Char"/>
    <w:basedOn w:val="DefaultParagraphFont"/>
    <w:link w:val="BodyTextIndent"/>
    <w:rsid w:val="0030720A"/>
    <w:rPr>
      <w:rFonts w:eastAsia="Calibri" w:cs="Times New Roman"/>
      <w:sz w:val="24"/>
    </w:rPr>
  </w:style>
  <w:style w:type="paragraph" w:styleId="ListParagraph">
    <w:name w:val="List Paragraph"/>
    <w:aliases w:val="Bullet Paragraphs,Issue Action POC,List Paragraph1,3,POCG Table Text,Dot pt,F5 List Paragraph,List Paragraph Char Char Char,Indicator Text,Numbered Para 1,Bullet 1,Bullet Points,List Paragraph2,MAIN CONTENT,Normal numbered,Bulleted List"/>
    <w:basedOn w:val="Normal"/>
    <w:link w:val="ListParagraphChar"/>
    <w:uiPriority w:val="34"/>
    <w:qFormat/>
    <w:rsid w:val="0030720A"/>
    <w:pPr>
      <w:ind w:left="720"/>
      <w:contextualSpacing/>
    </w:pPr>
  </w:style>
  <w:style w:type="character" w:customStyle="1" w:styleId="CharacterStyle1">
    <w:name w:val="Character Style 1"/>
    <w:uiPriority w:val="99"/>
    <w:rsid w:val="00556C22"/>
    <w:rPr>
      <w:sz w:val="19"/>
    </w:rPr>
  </w:style>
  <w:style w:type="paragraph" w:customStyle="1" w:styleId="Style3">
    <w:name w:val="Style 3"/>
    <w:basedOn w:val="Normal"/>
    <w:uiPriority w:val="99"/>
    <w:rsid w:val="00556C22"/>
    <w:rPr>
      <w:sz w:val="23"/>
      <w:szCs w:val="23"/>
    </w:rPr>
  </w:style>
  <w:style w:type="character" w:customStyle="1" w:styleId="CharacterStyle3">
    <w:name w:val="Character Style 3"/>
    <w:uiPriority w:val="99"/>
    <w:rsid w:val="00556C22"/>
    <w:rPr>
      <w:sz w:val="23"/>
    </w:rPr>
  </w:style>
  <w:style w:type="character" w:styleId="Strong">
    <w:name w:val="Strong"/>
    <w:uiPriority w:val="22"/>
    <w:qFormat/>
    <w:rsid w:val="0030720A"/>
    <w:rPr>
      <w:rFonts w:cs="Times New Roman"/>
      <w:b/>
      <w:bCs/>
    </w:rPr>
  </w:style>
  <w:style w:type="character" w:styleId="Hyperlink">
    <w:name w:val="Hyperlink"/>
    <w:uiPriority w:val="99"/>
    <w:rsid w:val="0030720A"/>
    <w:rPr>
      <w:rFonts w:asciiTheme="minorHAnsi" w:hAnsiTheme="minorHAnsi" w:cs="Times New Roman"/>
      <w:color w:val="0000FF"/>
      <w:sz w:val="24"/>
      <w:u w:val="single"/>
    </w:rPr>
  </w:style>
  <w:style w:type="paragraph" w:styleId="NormalWeb">
    <w:name w:val="Normal (Web)"/>
    <w:basedOn w:val="Normal"/>
    <w:uiPriority w:val="99"/>
    <w:unhideWhenUsed/>
    <w:rsid w:val="0030720A"/>
    <w:rPr>
      <w:szCs w:val="24"/>
    </w:rPr>
  </w:style>
  <w:style w:type="character" w:styleId="Emphasis">
    <w:name w:val="Emphasis"/>
    <w:uiPriority w:val="20"/>
    <w:qFormat/>
    <w:rsid w:val="0030720A"/>
    <w:rPr>
      <w:rFonts w:cs="Times New Roman"/>
      <w:i/>
      <w:iCs/>
    </w:rPr>
  </w:style>
  <w:style w:type="paragraph" w:customStyle="1" w:styleId="Default">
    <w:name w:val="Default"/>
    <w:rsid w:val="00363D25"/>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PlainText">
    <w:name w:val="Plain Text"/>
    <w:basedOn w:val="Normal"/>
    <w:link w:val="PlainTextChar"/>
    <w:uiPriority w:val="99"/>
    <w:rsid w:val="0030720A"/>
    <w:rPr>
      <w:rFonts w:ascii="Courier New" w:hAnsi="Courier New" w:cs="Courier New"/>
      <w:sz w:val="20"/>
    </w:rPr>
  </w:style>
  <w:style w:type="character" w:customStyle="1" w:styleId="PlainTextChar">
    <w:name w:val="Plain Text Char"/>
    <w:link w:val="PlainText"/>
    <w:uiPriority w:val="99"/>
    <w:rsid w:val="0030720A"/>
    <w:rPr>
      <w:rFonts w:ascii="Courier New" w:eastAsia="Calibri" w:hAnsi="Courier New" w:cs="Courier New"/>
      <w:sz w:val="20"/>
    </w:rPr>
  </w:style>
  <w:style w:type="paragraph" w:customStyle="1" w:styleId="CM2">
    <w:name w:val="CM2"/>
    <w:basedOn w:val="Default"/>
    <w:next w:val="Default"/>
    <w:uiPriority w:val="99"/>
    <w:rsid w:val="006B764D"/>
    <w:pPr>
      <w:spacing w:line="278" w:lineRule="atLeast"/>
    </w:pPr>
    <w:rPr>
      <w:color w:val="auto"/>
    </w:rPr>
  </w:style>
  <w:style w:type="paragraph" w:customStyle="1" w:styleId="CM21">
    <w:name w:val="CM21"/>
    <w:basedOn w:val="Default"/>
    <w:next w:val="Default"/>
    <w:uiPriority w:val="99"/>
    <w:rsid w:val="006B764D"/>
    <w:rPr>
      <w:color w:val="auto"/>
    </w:rPr>
  </w:style>
  <w:style w:type="paragraph" w:customStyle="1" w:styleId="CM23">
    <w:name w:val="CM23"/>
    <w:basedOn w:val="Default"/>
    <w:next w:val="Default"/>
    <w:uiPriority w:val="99"/>
    <w:rsid w:val="006B764D"/>
    <w:rPr>
      <w:color w:val="auto"/>
    </w:rPr>
  </w:style>
  <w:style w:type="character" w:styleId="FootnoteReference">
    <w:name w:val="footnote reference"/>
    <w:basedOn w:val="DefaultParagraphFont"/>
    <w:uiPriority w:val="99"/>
    <w:semiHidden/>
    <w:unhideWhenUsed/>
    <w:rsid w:val="006B764D"/>
    <w:rPr>
      <w:vertAlign w:val="superscript"/>
    </w:rPr>
  </w:style>
  <w:style w:type="paragraph" w:styleId="NoSpacing">
    <w:name w:val="No Spacing"/>
    <w:link w:val="NoSpacingChar"/>
    <w:uiPriority w:val="1"/>
    <w:qFormat/>
    <w:rsid w:val="006B764D"/>
    <w:pPr>
      <w:spacing w:after="0" w:line="240" w:lineRule="auto"/>
    </w:pPr>
    <w:rPr>
      <w:rFonts w:ascii="Times New Roman" w:eastAsia="Calibri" w:hAnsi="Times New Roman" w:cs="Times New Roman"/>
      <w:sz w:val="24"/>
      <w:szCs w:val="20"/>
    </w:rPr>
  </w:style>
  <w:style w:type="paragraph" w:customStyle="1" w:styleId="CM10">
    <w:name w:val="CM10"/>
    <w:basedOn w:val="Default"/>
    <w:next w:val="Default"/>
    <w:uiPriority w:val="99"/>
    <w:rsid w:val="006B764D"/>
    <w:pPr>
      <w:spacing w:line="276" w:lineRule="atLeast"/>
    </w:pPr>
    <w:rPr>
      <w:color w:val="auto"/>
    </w:rPr>
  </w:style>
  <w:style w:type="character" w:styleId="FollowedHyperlink">
    <w:name w:val="FollowedHyperlink"/>
    <w:basedOn w:val="DefaultParagraphFont"/>
    <w:uiPriority w:val="99"/>
    <w:unhideWhenUsed/>
    <w:rsid w:val="0030720A"/>
    <w:rPr>
      <w:color w:val="800080" w:themeColor="followedHyperlink"/>
      <w:u w:val="single"/>
    </w:rPr>
  </w:style>
  <w:style w:type="table" w:styleId="TableGrid">
    <w:name w:val="Table Grid"/>
    <w:basedOn w:val="TableNormal"/>
    <w:rsid w:val="004D6C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4D6C3E"/>
    <w:rPr>
      <w:rFonts w:eastAsiaTheme="minorHAnsi"/>
      <w:szCs w:val="20"/>
    </w:rPr>
  </w:style>
  <w:style w:type="character" w:customStyle="1" w:styleId="FootnoteTextChar">
    <w:name w:val="Footnote Text Char"/>
    <w:basedOn w:val="DefaultParagraphFont"/>
    <w:link w:val="FootnoteText"/>
    <w:uiPriority w:val="99"/>
    <w:rsid w:val="004D6C3E"/>
    <w:rPr>
      <w:sz w:val="20"/>
      <w:szCs w:val="20"/>
    </w:rPr>
  </w:style>
  <w:style w:type="paragraph" w:styleId="TOCHeading">
    <w:name w:val="TOC Heading"/>
    <w:basedOn w:val="Heading1"/>
    <w:next w:val="Normal"/>
    <w:uiPriority w:val="39"/>
    <w:unhideWhenUsed/>
    <w:qFormat/>
    <w:rsid w:val="00802E07"/>
    <w:pPr>
      <w:outlineLvl w:val="9"/>
    </w:pPr>
  </w:style>
  <w:style w:type="paragraph" w:styleId="TOC1">
    <w:name w:val="toc 1"/>
    <w:basedOn w:val="Normal"/>
    <w:next w:val="Normal"/>
    <w:autoRedefine/>
    <w:uiPriority w:val="39"/>
    <w:unhideWhenUsed/>
    <w:qFormat/>
    <w:rsid w:val="0041663F"/>
    <w:pPr>
      <w:keepLines/>
      <w:tabs>
        <w:tab w:val="left" w:pos="440"/>
        <w:tab w:val="right" w:leader="dot" w:pos="10070"/>
      </w:tabs>
      <w:spacing w:after="220"/>
      <w:contextualSpacing/>
    </w:pPr>
    <w:rPr>
      <w:b/>
    </w:rPr>
  </w:style>
  <w:style w:type="paragraph" w:styleId="TOC2">
    <w:name w:val="toc 2"/>
    <w:basedOn w:val="Normal"/>
    <w:next w:val="Normal"/>
    <w:autoRedefine/>
    <w:uiPriority w:val="39"/>
    <w:unhideWhenUsed/>
    <w:qFormat/>
    <w:rsid w:val="00C91FD3"/>
    <w:pPr>
      <w:spacing w:after="100"/>
      <w:contextualSpacing/>
    </w:pPr>
  </w:style>
  <w:style w:type="paragraph" w:styleId="TOC3">
    <w:name w:val="toc 3"/>
    <w:basedOn w:val="Normal"/>
    <w:next w:val="Normal"/>
    <w:autoRedefine/>
    <w:uiPriority w:val="39"/>
    <w:unhideWhenUsed/>
    <w:qFormat/>
    <w:rsid w:val="00F7211D"/>
    <w:pPr>
      <w:spacing w:after="100"/>
      <w:ind w:left="440"/>
    </w:pPr>
  </w:style>
  <w:style w:type="character" w:customStyle="1" w:styleId="apple-style-span">
    <w:name w:val="apple-style-span"/>
    <w:basedOn w:val="DefaultParagraphFont"/>
    <w:rsid w:val="00563E43"/>
  </w:style>
  <w:style w:type="character" w:customStyle="1" w:styleId="fontsize3">
    <w:name w:val="fontsize3"/>
    <w:basedOn w:val="DefaultParagraphFont"/>
    <w:rsid w:val="00011E04"/>
  </w:style>
  <w:style w:type="character" w:customStyle="1" w:styleId="st1">
    <w:name w:val="st1"/>
    <w:basedOn w:val="DefaultParagraphFont"/>
    <w:rsid w:val="00940839"/>
  </w:style>
  <w:style w:type="character" w:customStyle="1" w:styleId="yellowfade">
    <w:name w:val="yellowfade"/>
    <w:basedOn w:val="DefaultParagraphFont"/>
    <w:rsid w:val="00940839"/>
  </w:style>
  <w:style w:type="character" w:styleId="CommentReference">
    <w:name w:val="annotation reference"/>
    <w:basedOn w:val="DefaultParagraphFont"/>
    <w:uiPriority w:val="99"/>
    <w:unhideWhenUsed/>
    <w:rsid w:val="0030720A"/>
    <w:rPr>
      <w:sz w:val="22"/>
      <w:szCs w:val="16"/>
    </w:rPr>
  </w:style>
  <w:style w:type="paragraph" w:styleId="CommentText">
    <w:name w:val="annotation text"/>
    <w:basedOn w:val="Normal"/>
    <w:link w:val="CommentTextChar"/>
    <w:uiPriority w:val="99"/>
    <w:unhideWhenUsed/>
    <w:rsid w:val="0030720A"/>
    <w:rPr>
      <w:sz w:val="20"/>
      <w:szCs w:val="20"/>
    </w:rPr>
  </w:style>
  <w:style w:type="character" w:customStyle="1" w:styleId="CommentTextChar">
    <w:name w:val="Comment Text Char"/>
    <w:basedOn w:val="DefaultParagraphFont"/>
    <w:link w:val="CommentText"/>
    <w:uiPriority w:val="99"/>
    <w:rsid w:val="0030720A"/>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30720A"/>
    <w:rPr>
      <w:b/>
      <w:bCs/>
    </w:rPr>
  </w:style>
  <w:style w:type="character" w:customStyle="1" w:styleId="CommentSubjectChar">
    <w:name w:val="Comment Subject Char"/>
    <w:basedOn w:val="CommentTextChar"/>
    <w:link w:val="CommentSubject"/>
    <w:uiPriority w:val="99"/>
    <w:semiHidden/>
    <w:rsid w:val="0030720A"/>
    <w:rPr>
      <w:rFonts w:eastAsia="Calibri" w:cs="Times New Roman"/>
      <w:b/>
      <w:bCs/>
      <w:sz w:val="20"/>
      <w:szCs w:val="20"/>
    </w:rPr>
  </w:style>
  <w:style w:type="paragraph" w:styleId="Revision">
    <w:name w:val="Revision"/>
    <w:hidden/>
    <w:uiPriority w:val="99"/>
    <w:semiHidden/>
    <w:rsid w:val="007B6BFE"/>
    <w:pPr>
      <w:spacing w:after="0" w:line="240" w:lineRule="auto"/>
    </w:pPr>
    <w:rPr>
      <w:rFonts w:ascii="Times New Roman" w:eastAsia="Times New Roman" w:hAnsi="Times New Roman" w:cs="Times New Roman"/>
      <w:sz w:val="20"/>
      <w:szCs w:val="24"/>
    </w:rPr>
  </w:style>
  <w:style w:type="character" w:customStyle="1" w:styleId="Heading3Char">
    <w:name w:val="Heading 3 Char"/>
    <w:link w:val="Heading3"/>
    <w:rsid w:val="006F3955"/>
    <w:rPr>
      <w:rFonts w:eastAsia="Times New Roman" w:cstheme="minorHAnsi"/>
      <w:bCs/>
      <w:iCs/>
      <w:color w:val="000000" w:themeColor="text1"/>
      <w:kern w:val="32"/>
      <w:sz w:val="28"/>
      <w:szCs w:val="26"/>
    </w:rPr>
  </w:style>
  <w:style w:type="paragraph" w:customStyle="1" w:styleId="CM38">
    <w:name w:val="CM38"/>
    <w:basedOn w:val="Default"/>
    <w:next w:val="Default"/>
    <w:uiPriority w:val="99"/>
    <w:rsid w:val="00371F60"/>
    <w:rPr>
      <w:rFonts w:ascii="Rockwell" w:hAnsi="Rockwell"/>
      <w:color w:val="auto"/>
    </w:rPr>
  </w:style>
  <w:style w:type="paragraph" w:customStyle="1" w:styleId="CM39">
    <w:name w:val="CM39"/>
    <w:basedOn w:val="Default"/>
    <w:next w:val="Default"/>
    <w:uiPriority w:val="99"/>
    <w:rsid w:val="00371F60"/>
    <w:rPr>
      <w:rFonts w:ascii="Rockwell" w:hAnsi="Rockwell"/>
      <w:color w:val="auto"/>
    </w:rPr>
  </w:style>
  <w:style w:type="paragraph" w:customStyle="1" w:styleId="CM54">
    <w:name w:val="CM54"/>
    <w:basedOn w:val="Default"/>
    <w:next w:val="Default"/>
    <w:uiPriority w:val="99"/>
    <w:rsid w:val="00371F60"/>
    <w:rPr>
      <w:rFonts w:ascii="HOICM N+ Myriad Pro" w:hAnsi="HOICM N+ Myriad Pro"/>
      <w:color w:val="auto"/>
    </w:rPr>
  </w:style>
  <w:style w:type="paragraph" w:customStyle="1" w:styleId="CM57">
    <w:name w:val="CM57"/>
    <w:basedOn w:val="Default"/>
    <w:next w:val="Default"/>
    <w:uiPriority w:val="99"/>
    <w:rsid w:val="00371F60"/>
    <w:rPr>
      <w:rFonts w:ascii="HOICM N+ Myriad Pro" w:hAnsi="HOICM N+ Myriad Pro"/>
      <w:color w:val="auto"/>
    </w:rPr>
  </w:style>
  <w:style w:type="character" w:customStyle="1" w:styleId="BodyTextChar">
    <w:name w:val="Body Text Char"/>
    <w:link w:val="BodyText"/>
    <w:rsid w:val="0030720A"/>
    <w:rPr>
      <w:rFonts w:eastAsia="Times New Roman" w:cs="Times New Roman"/>
      <w:sz w:val="24"/>
      <w:szCs w:val="24"/>
    </w:rPr>
  </w:style>
  <w:style w:type="paragraph" w:styleId="BodyText">
    <w:name w:val="Body Text"/>
    <w:basedOn w:val="Normal"/>
    <w:link w:val="BodyTextChar"/>
    <w:qFormat/>
    <w:rsid w:val="0030720A"/>
    <w:pPr>
      <w:ind w:left="187"/>
    </w:pPr>
    <w:rPr>
      <w:rFonts w:eastAsia="Times New Roman"/>
      <w:szCs w:val="24"/>
    </w:rPr>
  </w:style>
  <w:style w:type="character" w:customStyle="1" w:styleId="DocumentMapChar">
    <w:name w:val="Document Map Char"/>
    <w:basedOn w:val="DefaultParagraphFont"/>
    <w:link w:val="DocumentMap"/>
    <w:uiPriority w:val="99"/>
    <w:semiHidden/>
    <w:rsid w:val="0030720A"/>
    <w:rPr>
      <w:rFonts w:eastAsia="Calibri" w:cs="Tahoma"/>
      <w:sz w:val="24"/>
      <w:szCs w:val="16"/>
    </w:rPr>
  </w:style>
  <w:style w:type="paragraph" w:styleId="DocumentMap">
    <w:name w:val="Document Map"/>
    <w:basedOn w:val="Normal"/>
    <w:link w:val="DocumentMapChar"/>
    <w:uiPriority w:val="99"/>
    <w:semiHidden/>
    <w:unhideWhenUsed/>
    <w:rsid w:val="0030720A"/>
    <w:rPr>
      <w:rFonts w:cs="Tahoma"/>
      <w:szCs w:val="16"/>
    </w:rPr>
  </w:style>
  <w:style w:type="paragraph" w:customStyle="1" w:styleId="StylePMacknowledgement">
    <w:name w:val="Style PM acknowledgement"/>
    <w:basedOn w:val="Normal"/>
    <w:link w:val="StylePMacknowledgementChar"/>
    <w:qFormat/>
    <w:rsid w:val="00371F60"/>
    <w:pPr>
      <w:ind w:left="810" w:hanging="810"/>
    </w:pPr>
    <w:rPr>
      <w:color w:val="000000"/>
    </w:rPr>
  </w:style>
  <w:style w:type="character" w:customStyle="1" w:styleId="StylePMacknowledgementChar">
    <w:name w:val="Style PM acknowledgement Char"/>
    <w:basedOn w:val="DefaultParagraphFont"/>
    <w:link w:val="StylePMacknowledgement"/>
    <w:rsid w:val="00371F60"/>
    <w:rPr>
      <w:rFonts w:ascii="Times New Roman" w:eastAsia="Times New Roman" w:hAnsi="Times New Roman" w:cs="Times New Roman"/>
      <w:color w:val="000000"/>
      <w:sz w:val="24"/>
      <w:szCs w:val="24"/>
    </w:rPr>
  </w:style>
  <w:style w:type="character" w:customStyle="1" w:styleId="caption8">
    <w:name w:val="caption8"/>
    <w:basedOn w:val="DefaultParagraphFont"/>
    <w:rsid w:val="00290187"/>
    <w:rPr>
      <w:vanish w:val="0"/>
      <w:webHidden w:val="0"/>
      <w:specVanish w:val="0"/>
    </w:rPr>
  </w:style>
  <w:style w:type="character" w:customStyle="1" w:styleId="ListParagraphChar">
    <w:name w:val="List Paragraph Char"/>
    <w:aliases w:val="Bullet Paragraphs Char,Issue Action POC Char,List Paragraph1 Char,3 Char,POCG Table Text Char,Dot pt Char,F5 List Paragraph Char,List Paragraph Char Char Char Char,Indicator Text Char,Numbered Para 1 Char,Bullet 1 Char"/>
    <w:basedOn w:val="BodyTextChar"/>
    <w:link w:val="ListParagraph"/>
    <w:uiPriority w:val="1"/>
    <w:qFormat/>
    <w:rsid w:val="0030720A"/>
    <w:rPr>
      <w:rFonts w:eastAsia="Calibri" w:cs="Times New Roman"/>
      <w:sz w:val="24"/>
      <w:szCs w:val="24"/>
    </w:rPr>
  </w:style>
  <w:style w:type="character" w:customStyle="1" w:styleId="notranslate">
    <w:name w:val="notranslate"/>
    <w:basedOn w:val="DefaultParagraphFont"/>
    <w:rsid w:val="00F97972"/>
  </w:style>
  <w:style w:type="character" w:customStyle="1" w:styleId="NoSpacingChar">
    <w:name w:val="No Spacing Char"/>
    <w:basedOn w:val="DefaultParagraphFont"/>
    <w:link w:val="NoSpacing"/>
    <w:uiPriority w:val="1"/>
    <w:rsid w:val="00F97972"/>
    <w:rPr>
      <w:rFonts w:ascii="Times New Roman" w:eastAsia="Calibri" w:hAnsi="Times New Roman" w:cs="Times New Roman"/>
      <w:sz w:val="24"/>
      <w:szCs w:val="20"/>
    </w:rPr>
  </w:style>
  <w:style w:type="character" w:customStyle="1" w:styleId="Heading4Char">
    <w:name w:val="Heading 4 Char"/>
    <w:link w:val="Heading4"/>
    <w:rsid w:val="00A52E4F"/>
    <w:rPr>
      <w:rFonts w:eastAsia="Times New Roman" w:cstheme="minorHAnsi"/>
      <w:bCs/>
      <w:iCs/>
      <w:color w:val="000000" w:themeColor="text1"/>
      <w:kern w:val="32"/>
      <w:sz w:val="28"/>
      <w:szCs w:val="26"/>
    </w:rPr>
  </w:style>
  <w:style w:type="character" w:customStyle="1" w:styleId="Heading5Char">
    <w:name w:val="Heading 5 Char"/>
    <w:link w:val="Heading5"/>
    <w:rsid w:val="00A52E4F"/>
    <w:rPr>
      <w:rFonts w:eastAsia="Times New Roman" w:cstheme="minorHAnsi"/>
      <w:bCs/>
      <w:iCs/>
      <w:color w:val="000000" w:themeColor="text1"/>
      <w:kern w:val="32"/>
      <w:sz w:val="28"/>
      <w:szCs w:val="26"/>
    </w:rPr>
  </w:style>
  <w:style w:type="character" w:customStyle="1" w:styleId="Heading6Char">
    <w:name w:val="Heading 6 Char"/>
    <w:link w:val="Heading6"/>
    <w:rsid w:val="0030720A"/>
    <w:rPr>
      <w:rFonts w:eastAsia="Times New Roman" w:cstheme="minorHAnsi"/>
      <w:bCs/>
      <w:iCs/>
      <w:color w:val="000000" w:themeColor="text1"/>
      <w:kern w:val="32"/>
      <w:sz w:val="28"/>
      <w:szCs w:val="26"/>
    </w:rPr>
  </w:style>
  <w:style w:type="character" w:customStyle="1" w:styleId="Heading7Char">
    <w:name w:val="Heading 7 Char"/>
    <w:link w:val="Heading7"/>
    <w:rsid w:val="006F54DF"/>
    <w:rPr>
      <w:rFonts w:ascii="Calibri" w:eastAsia="Times New Roman" w:hAnsi="Calibri" w:cs="Arial"/>
      <w:color w:val="1F497D" w:themeColor="text2"/>
      <w:sz w:val="28"/>
      <w:szCs w:val="24"/>
    </w:rPr>
  </w:style>
  <w:style w:type="character" w:customStyle="1" w:styleId="Heading8Char">
    <w:name w:val="Heading 8 Char"/>
    <w:link w:val="Heading8"/>
    <w:rsid w:val="006F54DF"/>
    <w:rPr>
      <w:rFonts w:ascii="Calibri" w:eastAsia="Times New Roman" w:hAnsi="Calibri" w:cs="Arial"/>
      <w:color w:val="1F497D" w:themeColor="text2"/>
      <w:sz w:val="28"/>
      <w:szCs w:val="24"/>
    </w:rPr>
  </w:style>
  <w:style w:type="character" w:customStyle="1" w:styleId="Heading9Char">
    <w:name w:val="Heading 9 Char"/>
    <w:link w:val="Heading9"/>
    <w:rsid w:val="006F54DF"/>
    <w:rPr>
      <w:rFonts w:ascii="Calibri" w:eastAsia="Calibri" w:hAnsi="Calibri" w:cs="Arial"/>
      <w:color w:val="1F497D" w:themeColor="text2"/>
      <w:sz w:val="28"/>
    </w:rPr>
  </w:style>
  <w:style w:type="paragraph" w:styleId="Title">
    <w:name w:val="Title"/>
    <w:basedOn w:val="Normal"/>
    <w:next w:val="Normal"/>
    <w:link w:val="TitleChar"/>
    <w:qFormat/>
    <w:rsid w:val="00E2206F"/>
    <w:pPr>
      <w:spacing w:before="240" w:after="60"/>
      <w:jc w:val="center"/>
      <w:outlineLvl w:val="0"/>
    </w:pPr>
    <w:rPr>
      <w:rFonts w:asciiTheme="majorHAnsi" w:eastAsiaTheme="majorEastAsia" w:hAnsiTheme="majorHAnsi"/>
      <w:b/>
      <w:bCs/>
      <w:kern w:val="28"/>
      <w:sz w:val="32"/>
      <w:szCs w:val="32"/>
      <w:lang w:bidi="en-US"/>
    </w:rPr>
  </w:style>
  <w:style w:type="character" w:customStyle="1" w:styleId="TitleChar">
    <w:name w:val="Title Char"/>
    <w:basedOn w:val="DefaultParagraphFont"/>
    <w:link w:val="Title"/>
    <w:rsid w:val="00E2206F"/>
    <w:rPr>
      <w:rFonts w:asciiTheme="majorHAnsi" w:eastAsiaTheme="majorEastAsia" w:hAnsiTheme="majorHAnsi" w:cs="Times New Roman"/>
      <w:b/>
      <w:bCs/>
      <w:kern w:val="28"/>
      <w:sz w:val="32"/>
      <w:szCs w:val="32"/>
      <w:lang w:bidi="en-US"/>
    </w:rPr>
  </w:style>
  <w:style w:type="paragraph" w:styleId="Subtitle">
    <w:name w:val="Subtitle"/>
    <w:basedOn w:val="Normal"/>
    <w:next w:val="Normal"/>
    <w:link w:val="SubtitleChar"/>
    <w:uiPriority w:val="11"/>
    <w:qFormat/>
    <w:rsid w:val="00E2206F"/>
    <w:pPr>
      <w:spacing w:after="60"/>
      <w:jc w:val="center"/>
      <w:outlineLvl w:val="1"/>
    </w:pPr>
    <w:rPr>
      <w:rFonts w:asciiTheme="majorHAnsi" w:eastAsiaTheme="majorEastAsia" w:hAnsiTheme="majorHAnsi"/>
      <w:lang w:bidi="en-US"/>
    </w:rPr>
  </w:style>
  <w:style w:type="character" w:customStyle="1" w:styleId="SubtitleChar">
    <w:name w:val="Subtitle Char"/>
    <w:basedOn w:val="DefaultParagraphFont"/>
    <w:link w:val="Subtitle"/>
    <w:uiPriority w:val="11"/>
    <w:rsid w:val="00E2206F"/>
    <w:rPr>
      <w:rFonts w:asciiTheme="majorHAnsi" w:eastAsiaTheme="majorEastAsia" w:hAnsiTheme="majorHAnsi" w:cs="Times New Roman"/>
      <w:sz w:val="24"/>
      <w:szCs w:val="24"/>
      <w:lang w:bidi="en-US"/>
    </w:rPr>
  </w:style>
  <w:style w:type="paragraph" w:styleId="Quote">
    <w:name w:val="Quote"/>
    <w:basedOn w:val="Normal"/>
    <w:next w:val="Normal"/>
    <w:link w:val="QuoteChar"/>
    <w:uiPriority w:val="29"/>
    <w:qFormat/>
    <w:rsid w:val="0030720A"/>
    <w:pPr>
      <w:spacing w:before="200"/>
      <w:ind w:left="720" w:right="720"/>
    </w:pPr>
    <w:rPr>
      <w:i/>
      <w:iCs/>
      <w:color w:val="000000" w:themeColor="text1"/>
    </w:rPr>
  </w:style>
  <w:style w:type="character" w:customStyle="1" w:styleId="QuoteChar">
    <w:name w:val="Quote Char"/>
    <w:basedOn w:val="DefaultParagraphFont"/>
    <w:link w:val="Quote"/>
    <w:uiPriority w:val="29"/>
    <w:rsid w:val="0030720A"/>
    <w:rPr>
      <w:rFonts w:eastAsia="Calibri" w:cs="Times New Roman"/>
      <w:i/>
      <w:iCs/>
      <w:color w:val="000000" w:themeColor="text1"/>
      <w:sz w:val="24"/>
    </w:rPr>
  </w:style>
  <w:style w:type="paragraph" w:styleId="IntenseQuote">
    <w:name w:val="Intense Quote"/>
    <w:basedOn w:val="Normal"/>
    <w:next w:val="Normal"/>
    <w:link w:val="IntenseQuoteChar"/>
    <w:uiPriority w:val="30"/>
    <w:qFormat/>
    <w:rsid w:val="0030720A"/>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30720A"/>
    <w:rPr>
      <w:rFonts w:eastAsia="Calibri" w:cs="Times New Roman"/>
      <w:b/>
      <w:bCs/>
      <w:i/>
      <w:iCs/>
      <w:sz w:val="24"/>
    </w:rPr>
  </w:style>
  <w:style w:type="character" w:styleId="SubtleEmphasis">
    <w:name w:val="Subtle Emphasis"/>
    <w:uiPriority w:val="19"/>
    <w:qFormat/>
    <w:rsid w:val="00E2206F"/>
    <w:rPr>
      <w:i/>
      <w:color w:val="5A5A5A" w:themeColor="text1" w:themeTint="A5"/>
    </w:rPr>
  </w:style>
  <w:style w:type="character" w:styleId="IntenseEmphasis">
    <w:name w:val="Intense Emphasis"/>
    <w:basedOn w:val="DefaultParagraphFont"/>
    <w:uiPriority w:val="21"/>
    <w:qFormat/>
    <w:rsid w:val="0030720A"/>
    <w:rPr>
      <w:b/>
      <w:bCs/>
      <w:i/>
      <w:iCs/>
      <w:color w:val="auto"/>
    </w:rPr>
  </w:style>
  <w:style w:type="character" w:styleId="SubtleReference">
    <w:name w:val="Subtle Reference"/>
    <w:basedOn w:val="DefaultParagraphFont"/>
    <w:uiPriority w:val="31"/>
    <w:qFormat/>
    <w:rsid w:val="00E2206F"/>
    <w:rPr>
      <w:sz w:val="24"/>
      <w:szCs w:val="24"/>
      <w:u w:val="single"/>
    </w:rPr>
  </w:style>
  <w:style w:type="character" w:styleId="IntenseReference">
    <w:name w:val="Intense Reference"/>
    <w:basedOn w:val="DefaultParagraphFont"/>
    <w:uiPriority w:val="32"/>
    <w:qFormat/>
    <w:rsid w:val="0030720A"/>
    <w:rPr>
      <w:b/>
      <w:bCs/>
      <w:smallCaps/>
      <w:color w:val="C0504D" w:themeColor="accent2"/>
      <w:spacing w:val="5"/>
      <w:u w:val="single"/>
    </w:rPr>
  </w:style>
  <w:style w:type="character" w:styleId="BookTitle">
    <w:name w:val="Book Title"/>
    <w:basedOn w:val="DefaultParagraphFont"/>
    <w:uiPriority w:val="33"/>
    <w:qFormat/>
    <w:rsid w:val="00E2206F"/>
    <w:rPr>
      <w:rFonts w:asciiTheme="majorHAnsi" w:eastAsiaTheme="majorEastAsia" w:hAnsiTheme="majorHAnsi"/>
      <w:b/>
      <w:i/>
      <w:sz w:val="24"/>
      <w:szCs w:val="24"/>
    </w:rPr>
  </w:style>
  <w:style w:type="table" w:customStyle="1" w:styleId="LightGrid-Accent12">
    <w:name w:val="Light Grid - Accent 12"/>
    <w:basedOn w:val="TableNormal"/>
    <w:uiPriority w:val="62"/>
    <w:rsid w:val="00E220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6">
    <w:name w:val="Light Grid Accent 6"/>
    <w:basedOn w:val="TableNormal"/>
    <w:uiPriority w:val="62"/>
    <w:rsid w:val="00E2206F"/>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wp-caption-text">
    <w:name w:val="wp-caption-text"/>
    <w:basedOn w:val="Normal"/>
    <w:rsid w:val="00E2206F"/>
    <w:pPr>
      <w:spacing w:before="100" w:beforeAutospacing="1" w:after="100" w:afterAutospacing="1"/>
    </w:pPr>
  </w:style>
  <w:style w:type="character" w:customStyle="1" w:styleId="A5">
    <w:name w:val="A5"/>
    <w:basedOn w:val="DefaultParagraphFont"/>
    <w:uiPriority w:val="99"/>
    <w:rsid w:val="00E2206F"/>
    <w:rPr>
      <w:rFonts w:ascii="TradeGothic Light" w:hAnsi="TradeGothic Light" w:hint="default"/>
      <w:color w:val="221E1F"/>
    </w:rPr>
  </w:style>
  <w:style w:type="character" w:customStyle="1" w:styleId="ms-rtecustom-admtoolittitle1">
    <w:name w:val="ms-rtecustom-admtoolittitle1"/>
    <w:basedOn w:val="DefaultParagraphFont"/>
    <w:rsid w:val="00E85A5A"/>
    <w:rPr>
      <w:rFonts w:ascii="Verdana" w:hAnsi="Verdana" w:hint="default"/>
      <w:vanish w:val="0"/>
      <w:webHidden w:val="0"/>
      <w:color w:val="7D7D7D"/>
      <w:sz w:val="14"/>
      <w:szCs w:val="14"/>
      <w:specVanish w:val="0"/>
    </w:rPr>
  </w:style>
  <w:style w:type="paragraph" w:customStyle="1" w:styleId="Pa7">
    <w:name w:val="Pa7"/>
    <w:basedOn w:val="Default"/>
    <w:next w:val="Default"/>
    <w:uiPriority w:val="99"/>
    <w:rsid w:val="00F07970"/>
    <w:pPr>
      <w:widowControl/>
      <w:spacing w:line="481" w:lineRule="atLeast"/>
    </w:pPr>
    <w:rPr>
      <w:rFonts w:ascii="Palatino" w:eastAsiaTheme="minorHAnsi" w:hAnsi="Palatino" w:cstheme="minorBidi"/>
      <w:color w:val="auto"/>
    </w:rPr>
  </w:style>
  <w:style w:type="paragraph" w:customStyle="1" w:styleId="Pa0">
    <w:name w:val="Pa0"/>
    <w:basedOn w:val="Default"/>
    <w:next w:val="Default"/>
    <w:uiPriority w:val="99"/>
    <w:rsid w:val="00F07970"/>
    <w:pPr>
      <w:widowControl/>
      <w:spacing w:line="241" w:lineRule="atLeast"/>
    </w:pPr>
    <w:rPr>
      <w:rFonts w:ascii="Palatino" w:eastAsiaTheme="minorHAnsi" w:hAnsi="Palatino" w:cstheme="minorBidi"/>
      <w:color w:val="auto"/>
    </w:rPr>
  </w:style>
  <w:style w:type="character" w:customStyle="1" w:styleId="A7">
    <w:name w:val="A7"/>
    <w:uiPriority w:val="99"/>
    <w:rsid w:val="00F07970"/>
    <w:rPr>
      <w:rFonts w:ascii="Berkeley Book" w:hAnsi="Berkeley Book" w:cs="Berkeley Book"/>
      <w:color w:val="211D1E"/>
      <w:sz w:val="20"/>
      <w:szCs w:val="20"/>
    </w:rPr>
  </w:style>
  <w:style w:type="character" w:customStyle="1" w:styleId="st">
    <w:name w:val="st"/>
    <w:basedOn w:val="DefaultParagraphFont"/>
    <w:rsid w:val="00D1035E"/>
  </w:style>
  <w:style w:type="paragraph" w:customStyle="1" w:styleId="Pa1">
    <w:name w:val="Pa1"/>
    <w:basedOn w:val="Normal"/>
    <w:next w:val="Normal"/>
    <w:uiPriority w:val="99"/>
    <w:rsid w:val="0055351D"/>
    <w:pPr>
      <w:spacing w:line="201" w:lineRule="atLeast"/>
    </w:pPr>
    <w:rPr>
      <w:rFonts w:ascii="Arial" w:eastAsiaTheme="minorHAnsi" w:hAnsi="Arial" w:cs="Arial"/>
    </w:rPr>
  </w:style>
  <w:style w:type="paragraph" w:customStyle="1" w:styleId="eTextPara">
    <w:name w:val="eTextPara"/>
    <w:basedOn w:val="Normal"/>
    <w:uiPriority w:val="99"/>
    <w:rsid w:val="0055351D"/>
    <w:pPr>
      <w:ind w:left="360"/>
      <w:outlineLvl w:val="0"/>
    </w:pPr>
    <w:rPr>
      <w:rFonts w:ascii="Verdana, arial" w:hAnsi="Verdana, arial" w:cs="Verdana, arial"/>
    </w:rPr>
  </w:style>
  <w:style w:type="paragraph" w:customStyle="1" w:styleId="introcopy">
    <w:name w:val="introcopy"/>
    <w:basedOn w:val="Normal"/>
    <w:rsid w:val="00955043"/>
    <w:pPr>
      <w:spacing w:before="100" w:beforeAutospacing="1" w:after="100" w:afterAutospacing="1"/>
    </w:pPr>
    <w:rPr>
      <w:rFonts w:ascii="Times New Roman" w:eastAsia="Times New Roman" w:hAnsi="Times New Roman"/>
      <w:szCs w:val="24"/>
    </w:rPr>
  </w:style>
  <w:style w:type="character" w:customStyle="1" w:styleId="bodytextblackbold1">
    <w:name w:val="bodytextblackbold1"/>
    <w:basedOn w:val="DefaultParagraphFont"/>
    <w:rsid w:val="00ED35DC"/>
    <w:rPr>
      <w:rFonts w:ascii="Verdana" w:hAnsi="Verdana" w:hint="default"/>
      <w:b/>
      <w:bCs/>
      <w:color w:val="000000"/>
    </w:rPr>
  </w:style>
  <w:style w:type="paragraph" w:styleId="ListNumber">
    <w:name w:val="List Number"/>
    <w:basedOn w:val="Normal"/>
    <w:uiPriority w:val="99"/>
    <w:rsid w:val="0030720A"/>
    <w:pPr>
      <w:numPr>
        <w:numId w:val="12"/>
      </w:numPr>
    </w:pPr>
  </w:style>
  <w:style w:type="paragraph" w:styleId="List">
    <w:name w:val="List"/>
    <w:basedOn w:val="Normal"/>
    <w:uiPriority w:val="99"/>
    <w:rsid w:val="0030720A"/>
    <w:pPr>
      <w:numPr>
        <w:numId w:val="10"/>
      </w:numPr>
      <w:contextualSpacing/>
    </w:pPr>
  </w:style>
  <w:style w:type="paragraph" w:customStyle="1" w:styleId="Paragraph">
    <w:name w:val="Paragraph"/>
    <w:basedOn w:val="Normal"/>
    <w:rsid w:val="00ED35DC"/>
    <w:pPr>
      <w:widowControl w:val="0"/>
      <w:autoSpaceDE w:val="0"/>
      <w:autoSpaceDN w:val="0"/>
      <w:adjustRightInd w:val="0"/>
      <w:spacing w:after="172"/>
    </w:pPr>
    <w:rPr>
      <w:rFonts w:ascii="Times" w:eastAsia="Times New Roman" w:hAnsi="Times"/>
      <w:color w:val="000000"/>
      <w:szCs w:val="24"/>
    </w:rPr>
  </w:style>
  <w:style w:type="paragraph" w:customStyle="1" w:styleId="text">
    <w:name w:val="text"/>
    <w:basedOn w:val="Normal"/>
    <w:uiPriority w:val="99"/>
    <w:rsid w:val="007459B2"/>
    <w:pPr>
      <w:autoSpaceDE w:val="0"/>
      <w:autoSpaceDN w:val="0"/>
      <w:adjustRightInd w:val="0"/>
      <w:spacing w:before="140" w:after="0" w:line="280" w:lineRule="atLeast"/>
      <w:textAlignment w:val="center"/>
    </w:pPr>
    <w:rPr>
      <w:rFonts w:ascii="Minion Pro" w:eastAsiaTheme="minorHAnsi" w:hAnsi="Minion Pro" w:cs="Minion Pro"/>
      <w:color w:val="000000"/>
      <w:szCs w:val="24"/>
    </w:rPr>
  </w:style>
  <w:style w:type="character" w:customStyle="1" w:styleId="style74">
    <w:name w:val="style74"/>
    <w:basedOn w:val="DefaultParagraphFont"/>
    <w:rsid w:val="007459B2"/>
  </w:style>
  <w:style w:type="paragraph" w:customStyle="1" w:styleId="Style2">
    <w:name w:val="Style 2"/>
    <w:basedOn w:val="Normal"/>
    <w:uiPriority w:val="99"/>
    <w:rsid w:val="007459B2"/>
    <w:pPr>
      <w:widowControl w:val="0"/>
      <w:autoSpaceDE w:val="0"/>
      <w:autoSpaceDN w:val="0"/>
      <w:adjustRightInd w:val="0"/>
      <w:spacing w:after="0"/>
    </w:pPr>
    <w:rPr>
      <w:rFonts w:ascii="Times New Roman" w:hAnsi="Times New Roman"/>
      <w:sz w:val="20"/>
      <w:szCs w:val="20"/>
    </w:rPr>
  </w:style>
  <w:style w:type="character" w:customStyle="1" w:styleId="CharacterStyle2">
    <w:name w:val="Character Style 2"/>
    <w:uiPriority w:val="99"/>
    <w:rsid w:val="007459B2"/>
    <w:rPr>
      <w:sz w:val="20"/>
      <w:szCs w:val="20"/>
    </w:rPr>
  </w:style>
  <w:style w:type="character" w:customStyle="1" w:styleId="CharacterStyle4">
    <w:name w:val="Character Style 4"/>
    <w:uiPriority w:val="99"/>
    <w:rsid w:val="007459B2"/>
    <w:rPr>
      <w:sz w:val="22"/>
      <w:szCs w:val="22"/>
    </w:rPr>
  </w:style>
  <w:style w:type="paragraph" w:customStyle="1" w:styleId="Copy">
    <w:name w:val="Copy"/>
    <w:rsid w:val="007459B2"/>
    <w:pPr>
      <w:spacing w:after="0" w:line="240" w:lineRule="auto"/>
    </w:pPr>
    <w:rPr>
      <w:rFonts w:ascii="Times New Roman" w:eastAsia="Times New Roman" w:hAnsi="Times New Roman" w:cs="Times New Roman"/>
      <w:sz w:val="24"/>
      <w:szCs w:val="24"/>
    </w:rPr>
  </w:style>
  <w:style w:type="paragraph" w:styleId="Caption">
    <w:name w:val="caption"/>
    <w:basedOn w:val="Normal"/>
    <w:next w:val="Normal"/>
    <w:qFormat/>
    <w:rsid w:val="0030720A"/>
    <w:pPr>
      <w:keepNext/>
      <w:spacing w:before="180"/>
      <w:contextualSpacing/>
      <w:jc w:val="center"/>
    </w:pPr>
    <w:rPr>
      <w:b/>
    </w:rPr>
  </w:style>
  <w:style w:type="table" w:customStyle="1" w:styleId="TableGrid1">
    <w:name w:val="Table Grid1"/>
    <w:basedOn w:val="TableNormal"/>
    <w:next w:val="TableGrid"/>
    <w:uiPriority w:val="59"/>
    <w:rsid w:val="00E12365"/>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ullettext">
    <w:name w:val="1 bullet text"/>
    <w:basedOn w:val="Normal"/>
    <w:link w:val="1bullettextChar"/>
    <w:qFormat/>
    <w:rsid w:val="00FA4F02"/>
    <w:pPr>
      <w:numPr>
        <w:numId w:val="1"/>
      </w:numPr>
      <w:tabs>
        <w:tab w:val="left" w:pos="720"/>
      </w:tabs>
      <w:spacing w:after="0"/>
    </w:pPr>
    <w:rPr>
      <w:rFonts w:ascii="Times" w:eastAsia="Times New Roman" w:hAnsi="Times"/>
      <w:sz w:val="20"/>
      <w:szCs w:val="20"/>
      <w:lang w:val="x-none" w:eastAsia="x-none"/>
    </w:rPr>
  </w:style>
  <w:style w:type="character" w:customStyle="1" w:styleId="1bullettextChar">
    <w:name w:val="1 bullet text Char"/>
    <w:link w:val="1bullettext"/>
    <w:rsid w:val="00FA4F02"/>
    <w:rPr>
      <w:rFonts w:ascii="Times" w:eastAsia="Times New Roman" w:hAnsi="Times" w:cs="Times New Roman"/>
      <w:sz w:val="20"/>
      <w:szCs w:val="20"/>
      <w:lang w:val="x-none" w:eastAsia="x-none"/>
    </w:rPr>
  </w:style>
  <w:style w:type="table" w:customStyle="1" w:styleId="TableGrid2">
    <w:name w:val="Table Grid2"/>
    <w:basedOn w:val="TableNormal"/>
    <w:next w:val="TableGrid"/>
    <w:uiPriority w:val="59"/>
    <w:rsid w:val="009031C0"/>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Normal"/>
    <w:uiPriority w:val="99"/>
    <w:rsid w:val="00EF0365"/>
    <w:pPr>
      <w:autoSpaceDE w:val="0"/>
      <w:autoSpaceDN w:val="0"/>
      <w:spacing w:after="0" w:line="321" w:lineRule="atLeast"/>
    </w:pPr>
    <w:rPr>
      <w:rFonts w:ascii="TradeGothic Light" w:eastAsiaTheme="minorHAnsi" w:hAnsi="TradeGothic Light"/>
      <w:szCs w:val="24"/>
    </w:rPr>
  </w:style>
  <w:style w:type="character" w:customStyle="1" w:styleId="tgc">
    <w:name w:val="_tgc"/>
    <w:basedOn w:val="DefaultParagraphFont"/>
    <w:rsid w:val="00EF0365"/>
  </w:style>
  <w:style w:type="table" w:customStyle="1" w:styleId="LightList-Accent11">
    <w:name w:val="Light List - Accent 11"/>
    <w:basedOn w:val="TableNormal"/>
    <w:uiPriority w:val="61"/>
    <w:rsid w:val="003E437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3">
    <w:name w:val="Light Shading Accent 3"/>
    <w:basedOn w:val="TableNormal"/>
    <w:uiPriority w:val="60"/>
    <w:rsid w:val="003E437B"/>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BodyTextChar1">
    <w:name w:val="Body Text Char1"/>
    <w:basedOn w:val="DefaultParagraphFont"/>
    <w:uiPriority w:val="99"/>
    <w:semiHidden/>
    <w:rsid w:val="00F038BD"/>
    <w:rPr>
      <w:rFonts w:eastAsiaTheme="minorEastAsia"/>
    </w:rPr>
  </w:style>
  <w:style w:type="character" w:customStyle="1" w:styleId="DocumentMapChar1">
    <w:name w:val="Document Map Char1"/>
    <w:basedOn w:val="DefaultParagraphFont"/>
    <w:uiPriority w:val="99"/>
    <w:semiHidden/>
    <w:rsid w:val="00F038BD"/>
    <w:rPr>
      <w:rFonts w:ascii="Segoe UI" w:eastAsiaTheme="minorEastAsia" w:hAnsi="Segoe UI" w:cs="Segoe UI"/>
      <w:sz w:val="16"/>
      <w:szCs w:val="16"/>
    </w:rPr>
  </w:style>
  <w:style w:type="paragraph" w:customStyle="1" w:styleId="xl65">
    <w:name w:val="xl65"/>
    <w:basedOn w:val="Normal"/>
    <w:rsid w:val="00FD5794"/>
    <w:pPr>
      <w:pBdr>
        <w:top w:val="single" w:sz="8" w:space="0" w:color="auto"/>
        <w:left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66">
    <w:name w:val="xl66"/>
    <w:basedOn w:val="Normal"/>
    <w:rsid w:val="00FD5794"/>
    <w:pPr>
      <w:pBdr>
        <w:top w:val="single" w:sz="8" w:space="0" w:color="auto"/>
        <w:left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67">
    <w:name w:val="xl67"/>
    <w:basedOn w:val="Normal"/>
    <w:rsid w:val="00FD5794"/>
    <w:pPr>
      <w:spacing w:before="100" w:beforeAutospacing="1" w:after="100" w:afterAutospacing="1"/>
      <w:textAlignment w:val="top"/>
    </w:pPr>
    <w:rPr>
      <w:rFonts w:ascii="Times New Roman" w:eastAsia="Times New Roman" w:hAnsi="Times New Roman"/>
      <w:szCs w:val="24"/>
    </w:rPr>
  </w:style>
  <w:style w:type="paragraph" w:customStyle="1" w:styleId="xl68">
    <w:name w:val="xl68"/>
    <w:basedOn w:val="Normal"/>
    <w:rsid w:val="00FD5794"/>
    <w:pPr>
      <w:pBdr>
        <w:left w:val="single" w:sz="8" w:space="0" w:color="auto"/>
        <w:bottom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69">
    <w:name w:val="xl69"/>
    <w:basedOn w:val="Normal"/>
    <w:rsid w:val="00FD5794"/>
    <w:pPr>
      <w:pBdr>
        <w:left w:val="single" w:sz="8" w:space="0" w:color="auto"/>
        <w:bottom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70">
    <w:name w:val="xl70"/>
    <w:basedOn w:val="Normal"/>
    <w:rsid w:val="00FD5794"/>
    <w:pPr>
      <w:pBdr>
        <w:top w:val="single" w:sz="4" w:space="0" w:color="D3D3D3"/>
        <w:left w:val="single" w:sz="4" w:space="0" w:color="D3D3D3"/>
        <w:bottom w:val="single" w:sz="4" w:space="0" w:color="D3D3D3"/>
        <w:right w:val="single" w:sz="4" w:space="0" w:color="D3D3D3"/>
      </w:pBdr>
      <w:spacing w:before="100" w:beforeAutospacing="1" w:after="100" w:afterAutospacing="1"/>
      <w:textAlignment w:val="top"/>
    </w:pPr>
    <w:rPr>
      <w:rFonts w:ascii="Times New Roman" w:eastAsia="Times New Roman" w:hAnsi="Times New Roman"/>
      <w:color w:val="000000"/>
      <w:szCs w:val="24"/>
    </w:rPr>
  </w:style>
  <w:style w:type="paragraph" w:customStyle="1" w:styleId="xl71">
    <w:name w:val="xl71"/>
    <w:basedOn w:val="Normal"/>
    <w:rsid w:val="00FD5794"/>
    <w:pPr>
      <w:pBdr>
        <w:top w:val="single" w:sz="4" w:space="0" w:color="D3D3D3"/>
        <w:left w:val="single" w:sz="4" w:space="0" w:color="D3D3D3"/>
        <w:bottom w:val="single" w:sz="4" w:space="0" w:color="D3D3D3"/>
        <w:right w:val="single" w:sz="4" w:space="0" w:color="D3D3D3"/>
      </w:pBdr>
      <w:spacing w:before="100" w:beforeAutospacing="1" w:after="100" w:afterAutospacing="1"/>
      <w:textAlignment w:val="top"/>
    </w:pPr>
    <w:rPr>
      <w:rFonts w:ascii="Times New Roman" w:eastAsia="Times New Roman" w:hAnsi="Times New Roman"/>
      <w:color w:val="000000"/>
      <w:szCs w:val="24"/>
    </w:rPr>
  </w:style>
  <w:style w:type="paragraph" w:customStyle="1" w:styleId="xl72">
    <w:name w:val="xl72"/>
    <w:basedOn w:val="Normal"/>
    <w:rsid w:val="00FD5794"/>
    <w:pPr>
      <w:spacing w:before="100" w:beforeAutospacing="1" w:after="100" w:afterAutospacing="1"/>
      <w:textAlignment w:val="top"/>
    </w:pPr>
    <w:rPr>
      <w:rFonts w:ascii="Times New Roman" w:eastAsia="Times New Roman" w:hAnsi="Times New Roman"/>
      <w:szCs w:val="24"/>
    </w:rPr>
  </w:style>
  <w:style w:type="paragraph" w:customStyle="1" w:styleId="TableParagraph">
    <w:name w:val="Table Paragraph"/>
    <w:basedOn w:val="Normal"/>
    <w:uiPriority w:val="1"/>
    <w:qFormat/>
    <w:rsid w:val="00F2608B"/>
    <w:pPr>
      <w:widowControl w:val="0"/>
      <w:spacing w:after="0"/>
    </w:pPr>
    <w:rPr>
      <w:rFonts w:eastAsiaTheme="minorHAnsi"/>
    </w:rPr>
  </w:style>
  <w:style w:type="paragraph" w:customStyle="1" w:styleId="xmsolistparagraph">
    <w:name w:val="x_msolistparagraph"/>
    <w:basedOn w:val="Normal"/>
    <w:rsid w:val="007B5BA1"/>
    <w:pPr>
      <w:spacing w:before="100" w:beforeAutospacing="1" w:after="100" w:afterAutospacing="1"/>
    </w:pPr>
    <w:rPr>
      <w:rFonts w:ascii="Times New Roman" w:eastAsia="Times New Roman" w:hAnsi="Times New Roman"/>
      <w:szCs w:val="24"/>
    </w:rPr>
  </w:style>
  <w:style w:type="paragraph" w:customStyle="1" w:styleId="xmsonormal">
    <w:name w:val="x_msonormal"/>
    <w:basedOn w:val="Normal"/>
    <w:rsid w:val="007B5BA1"/>
    <w:pPr>
      <w:spacing w:before="100" w:beforeAutospacing="1" w:after="100" w:afterAutospacing="1"/>
    </w:pPr>
    <w:rPr>
      <w:rFonts w:ascii="Times New Roman" w:eastAsia="Times New Roman" w:hAnsi="Times New Roman"/>
      <w:szCs w:val="24"/>
    </w:rPr>
  </w:style>
  <w:style w:type="paragraph" w:customStyle="1" w:styleId="p1">
    <w:name w:val="p1"/>
    <w:basedOn w:val="Normal"/>
    <w:rsid w:val="007B5BA1"/>
    <w:pPr>
      <w:spacing w:before="81" w:after="0"/>
    </w:pPr>
    <w:rPr>
      <w:rFonts w:ascii="Times New Roman" w:hAnsi="Times New Roman"/>
      <w:sz w:val="17"/>
      <w:szCs w:val="17"/>
    </w:rPr>
  </w:style>
  <w:style w:type="paragraph" w:customStyle="1" w:styleId="p2">
    <w:name w:val="p2"/>
    <w:basedOn w:val="Normal"/>
    <w:rsid w:val="007B5BA1"/>
    <w:pPr>
      <w:spacing w:before="162" w:after="0" w:line="213" w:lineRule="atLeast"/>
    </w:pPr>
    <w:rPr>
      <w:rFonts w:ascii="Arial" w:hAnsi="Arial" w:cs="Arial"/>
      <w:sz w:val="19"/>
      <w:szCs w:val="19"/>
    </w:rPr>
  </w:style>
  <w:style w:type="paragraph" w:customStyle="1" w:styleId="p3">
    <w:name w:val="p3"/>
    <w:basedOn w:val="Normal"/>
    <w:rsid w:val="007B5BA1"/>
    <w:pPr>
      <w:spacing w:after="0"/>
    </w:pPr>
    <w:rPr>
      <w:rFonts w:ascii="Times New Roman" w:hAnsi="Times New Roman"/>
      <w:sz w:val="17"/>
      <w:szCs w:val="17"/>
    </w:rPr>
  </w:style>
  <w:style w:type="paragraph" w:customStyle="1" w:styleId="p4">
    <w:name w:val="p4"/>
    <w:basedOn w:val="Normal"/>
    <w:rsid w:val="007B5BA1"/>
    <w:pPr>
      <w:spacing w:before="75" w:after="0" w:line="194" w:lineRule="atLeast"/>
    </w:pPr>
    <w:rPr>
      <w:rFonts w:ascii="Times New Roman" w:hAnsi="Times New Roman"/>
      <w:sz w:val="17"/>
      <w:szCs w:val="17"/>
    </w:rPr>
  </w:style>
  <w:style w:type="paragraph" w:customStyle="1" w:styleId="p5">
    <w:name w:val="p5"/>
    <w:basedOn w:val="Normal"/>
    <w:rsid w:val="007B5BA1"/>
    <w:pPr>
      <w:spacing w:before="45" w:after="0" w:line="194" w:lineRule="atLeast"/>
    </w:pPr>
    <w:rPr>
      <w:rFonts w:ascii="Times New Roman" w:hAnsi="Times New Roman"/>
      <w:sz w:val="17"/>
      <w:szCs w:val="17"/>
    </w:rPr>
  </w:style>
  <w:style w:type="paragraph" w:customStyle="1" w:styleId="p7">
    <w:name w:val="p7"/>
    <w:basedOn w:val="Normal"/>
    <w:rsid w:val="007B5BA1"/>
    <w:pPr>
      <w:spacing w:before="150" w:after="30" w:line="194" w:lineRule="atLeast"/>
    </w:pPr>
    <w:rPr>
      <w:rFonts w:ascii="Arial" w:hAnsi="Arial" w:cs="Arial"/>
      <w:sz w:val="18"/>
      <w:szCs w:val="18"/>
    </w:rPr>
  </w:style>
  <w:style w:type="paragraph" w:customStyle="1" w:styleId="small">
    <w:name w:val="small"/>
    <w:basedOn w:val="Normal"/>
    <w:rsid w:val="007B5BA1"/>
    <w:pPr>
      <w:spacing w:before="100" w:beforeAutospacing="1" w:after="100" w:afterAutospacing="1"/>
    </w:pPr>
    <w:rPr>
      <w:rFonts w:ascii="Times New Roman" w:eastAsia="Times New Roman" w:hAnsi="Times New Roman"/>
      <w:szCs w:val="24"/>
    </w:rPr>
  </w:style>
  <w:style w:type="paragraph" w:customStyle="1" w:styleId="m7387612560849439031msolistparagraph">
    <w:name w:val="m_7387612560849439031msolistparagraph"/>
    <w:basedOn w:val="Normal"/>
    <w:rsid w:val="007B5BA1"/>
    <w:pPr>
      <w:spacing w:before="100" w:beforeAutospacing="1" w:after="100" w:afterAutospacing="1"/>
    </w:pPr>
    <w:rPr>
      <w:rFonts w:ascii="Times New Roman" w:hAnsi="Times New Roman"/>
      <w:szCs w:val="24"/>
    </w:rPr>
  </w:style>
  <w:style w:type="character" w:customStyle="1" w:styleId="apple-converted-space">
    <w:name w:val="apple-converted-space"/>
    <w:basedOn w:val="DefaultParagraphFont"/>
    <w:rsid w:val="007B5BA1"/>
  </w:style>
  <w:style w:type="character" w:customStyle="1" w:styleId="field-content">
    <w:name w:val="field-content"/>
    <w:basedOn w:val="DefaultParagraphFont"/>
    <w:rsid w:val="007B5BA1"/>
  </w:style>
  <w:style w:type="table" w:customStyle="1" w:styleId="TableGrid3">
    <w:name w:val="Table Grid3"/>
    <w:basedOn w:val="TableNormal"/>
    <w:next w:val="TableGrid"/>
    <w:uiPriority w:val="59"/>
    <w:rsid w:val="007B5BA1"/>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
    <w:name w:val="Light Grid - Accent 61"/>
    <w:basedOn w:val="TableNormal"/>
    <w:next w:val="LightGrid-Accent6"/>
    <w:uiPriority w:val="62"/>
    <w:semiHidden/>
    <w:unhideWhenUsed/>
    <w:rsid w:val="007B5BA1"/>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
    <w:name w:val="Light Grid - Accent 121"/>
    <w:basedOn w:val="TableNormal"/>
    <w:uiPriority w:val="62"/>
    <w:rsid w:val="007B5BA1"/>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
    <w:name w:val="Table Grid11"/>
    <w:basedOn w:val="TableNormal"/>
    <w:uiPriority w:val="59"/>
    <w:rsid w:val="007B5BA1"/>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al"/>
    <w:uiPriority w:val="99"/>
    <w:rsid w:val="008711BF"/>
    <w:pPr>
      <w:spacing w:before="100" w:beforeAutospacing="1" w:after="100" w:afterAutospacing="1"/>
      <w:textAlignment w:val="top"/>
    </w:pPr>
    <w:rPr>
      <w:rFonts w:ascii="Times New Roman" w:eastAsia="Times New Roman" w:hAnsi="Times New Roman"/>
      <w:szCs w:val="24"/>
    </w:rPr>
  </w:style>
  <w:style w:type="paragraph" w:customStyle="1" w:styleId="xl64">
    <w:name w:val="xl64"/>
    <w:basedOn w:val="Normal"/>
    <w:uiPriority w:val="99"/>
    <w:rsid w:val="008711B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szCs w:val="24"/>
    </w:rPr>
  </w:style>
  <w:style w:type="table" w:customStyle="1" w:styleId="TableGrid31">
    <w:name w:val="Table Grid31"/>
    <w:basedOn w:val="TableNormal"/>
    <w:next w:val="TableGrid"/>
    <w:uiPriority w:val="59"/>
    <w:rsid w:val="008711B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
    <w:name w:val="Light Shading - Accent 31"/>
    <w:basedOn w:val="TableNormal"/>
    <w:next w:val="LightShading-Accent3"/>
    <w:uiPriority w:val="60"/>
    <w:semiHidden/>
    <w:unhideWhenUsed/>
    <w:rsid w:val="008711BF"/>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
    <w:name w:val="Light Grid - Accent 611"/>
    <w:basedOn w:val="TableNormal"/>
    <w:next w:val="LightGrid-Accent6"/>
    <w:uiPriority w:val="62"/>
    <w:semiHidden/>
    <w:unhideWhenUsed/>
    <w:rsid w:val="008711B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
    <w:name w:val="Light Grid - Accent 1211"/>
    <w:basedOn w:val="TableNormal"/>
    <w:uiPriority w:val="62"/>
    <w:rsid w:val="008711B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
    <w:name w:val="Table Grid111"/>
    <w:basedOn w:val="TableNormal"/>
    <w:uiPriority w:val="59"/>
    <w:rsid w:val="008711B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8711B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TableNormal"/>
    <w:uiPriority w:val="61"/>
    <w:rsid w:val="008711B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UnresolvedMention">
    <w:name w:val="Unresolved Mention"/>
    <w:basedOn w:val="DefaultParagraphFont"/>
    <w:uiPriority w:val="99"/>
    <w:unhideWhenUsed/>
    <w:rsid w:val="007A4B67"/>
    <w:rPr>
      <w:color w:val="808080"/>
      <w:shd w:val="clear" w:color="auto" w:fill="E6E6E6"/>
    </w:rPr>
  </w:style>
  <w:style w:type="character" w:customStyle="1" w:styleId="UnresolvedMention1">
    <w:name w:val="Unresolved Mention1"/>
    <w:basedOn w:val="DefaultParagraphFont"/>
    <w:uiPriority w:val="99"/>
    <w:unhideWhenUsed/>
    <w:rsid w:val="00821532"/>
    <w:rPr>
      <w:color w:val="808080"/>
      <w:shd w:val="clear" w:color="auto" w:fill="E6E6E6"/>
    </w:rPr>
  </w:style>
  <w:style w:type="paragraph" w:customStyle="1" w:styleId="Style1">
    <w:name w:val="Style1"/>
    <w:basedOn w:val="Normal"/>
    <w:qFormat/>
    <w:rsid w:val="00D41849"/>
    <w:pPr>
      <w:spacing w:after="0"/>
    </w:pPr>
    <w:rPr>
      <w:rFonts w:ascii="Times New Roman" w:eastAsia="Times New Roman" w:hAnsi="Times New Roman"/>
      <w:szCs w:val="24"/>
    </w:rPr>
  </w:style>
  <w:style w:type="paragraph" w:customStyle="1" w:styleId="body">
    <w:name w:val="body"/>
    <w:basedOn w:val="Normal"/>
    <w:uiPriority w:val="99"/>
    <w:rsid w:val="00D41849"/>
    <w:pPr>
      <w:suppressAutoHyphens/>
      <w:autoSpaceDE w:val="0"/>
      <w:autoSpaceDN w:val="0"/>
      <w:adjustRightInd w:val="0"/>
      <w:spacing w:before="80" w:after="0" w:line="259" w:lineRule="atLeast"/>
      <w:textAlignment w:val="center"/>
    </w:pPr>
    <w:rPr>
      <w:rFonts w:ascii="Times New Roman" w:eastAsiaTheme="minorHAnsi" w:hAnsi="Times New Roman"/>
      <w:color w:val="000000"/>
    </w:rPr>
  </w:style>
  <w:style w:type="paragraph" w:customStyle="1" w:styleId="H1">
    <w:name w:val="H1"/>
    <w:basedOn w:val="Normal"/>
    <w:uiPriority w:val="99"/>
    <w:rsid w:val="00D41849"/>
    <w:pPr>
      <w:suppressAutoHyphens/>
      <w:autoSpaceDE w:val="0"/>
      <w:autoSpaceDN w:val="0"/>
      <w:adjustRightInd w:val="0"/>
      <w:spacing w:before="210" w:after="0" w:line="259" w:lineRule="atLeast"/>
      <w:textAlignment w:val="center"/>
    </w:pPr>
    <w:rPr>
      <w:rFonts w:ascii="Arial" w:eastAsiaTheme="minorHAnsi" w:hAnsi="Arial" w:cs="Arial"/>
      <w:b/>
      <w:bCs/>
      <w:color w:val="000000"/>
      <w:szCs w:val="24"/>
    </w:rPr>
  </w:style>
  <w:style w:type="paragraph" w:customStyle="1" w:styleId="bodynospacingabove">
    <w:name w:val="body no spacing above"/>
    <w:basedOn w:val="body"/>
    <w:uiPriority w:val="99"/>
    <w:rsid w:val="00D41849"/>
    <w:pPr>
      <w:spacing w:before="0"/>
    </w:pPr>
  </w:style>
  <w:style w:type="character" w:customStyle="1" w:styleId="breadcrumbbar-item">
    <w:name w:val="breadcrumbbar-item"/>
    <w:basedOn w:val="DefaultParagraphFont"/>
    <w:rsid w:val="00D41849"/>
  </w:style>
  <w:style w:type="paragraph" w:customStyle="1" w:styleId="Noindent">
    <w:name w:val="No indent"/>
    <w:aliases w:val="6pt"/>
    <w:basedOn w:val="Normal"/>
    <w:link w:val="NoindentChar"/>
    <w:qFormat/>
    <w:rsid w:val="00D41849"/>
    <w:pPr>
      <w:spacing w:line="288" w:lineRule="auto"/>
    </w:pPr>
    <w:rPr>
      <w:rFonts w:ascii="Times New Roman" w:eastAsiaTheme="minorHAnsi" w:hAnsi="Times New Roman"/>
    </w:rPr>
  </w:style>
  <w:style w:type="character" w:customStyle="1" w:styleId="NoindentChar">
    <w:name w:val="No indent Char"/>
    <w:aliases w:val="6pt Char"/>
    <w:basedOn w:val="DefaultParagraphFont"/>
    <w:link w:val="Noindent"/>
    <w:rsid w:val="00D41849"/>
    <w:rPr>
      <w:rFonts w:ascii="Times New Roman" w:hAnsi="Times New Roman" w:cs="Times New Roman"/>
      <w:sz w:val="24"/>
    </w:rPr>
  </w:style>
  <w:style w:type="table" w:customStyle="1" w:styleId="TableGrid4">
    <w:name w:val="Table Grid4"/>
    <w:basedOn w:val="TableNormal"/>
    <w:next w:val="TableGrid"/>
    <w:uiPriority w:val="59"/>
    <w:rsid w:val="00D41849"/>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
    <w:name w:val="Light Grid - Accent 122"/>
    <w:basedOn w:val="TableNormal"/>
    <w:uiPriority w:val="62"/>
    <w:rsid w:val="00D41849"/>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
    <w:name w:val="Light Grid - Accent 62"/>
    <w:basedOn w:val="TableNormal"/>
    <w:next w:val="LightGrid-Accent6"/>
    <w:uiPriority w:val="62"/>
    <w:rsid w:val="00D41849"/>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
    <w:name w:val="Table Grid12"/>
    <w:basedOn w:val="TableNormal"/>
    <w:next w:val="TableGrid"/>
    <w:uiPriority w:val="59"/>
    <w:rsid w:val="00D41849"/>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lineblock">
    <w:name w:val="inlineblock"/>
    <w:basedOn w:val="DefaultParagraphFont"/>
    <w:rsid w:val="00ED323C"/>
  </w:style>
  <w:style w:type="character" w:customStyle="1" w:styleId="authors">
    <w:name w:val="authors"/>
    <w:basedOn w:val="DefaultParagraphFont"/>
    <w:rsid w:val="00ED323C"/>
  </w:style>
  <w:style w:type="character" w:customStyle="1" w:styleId="separator">
    <w:name w:val="separator"/>
    <w:basedOn w:val="DefaultParagraphFont"/>
    <w:rsid w:val="00ED323C"/>
  </w:style>
  <w:style w:type="character" w:customStyle="1" w:styleId="author">
    <w:name w:val="author"/>
    <w:basedOn w:val="DefaultParagraphFont"/>
    <w:rsid w:val="00ED323C"/>
  </w:style>
  <w:style w:type="table" w:customStyle="1" w:styleId="TableGrid5">
    <w:name w:val="Table Grid5"/>
    <w:basedOn w:val="TableNormal"/>
    <w:next w:val="TableGrid"/>
    <w:uiPriority w:val="59"/>
    <w:rsid w:val="004C50F6"/>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CF578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
    <w:name w:val="Light Grid - Accent 1212"/>
    <w:basedOn w:val="TableNormal"/>
    <w:uiPriority w:val="62"/>
    <w:rsid w:val="00CF578C"/>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
    <w:name w:val="Table Grid112"/>
    <w:basedOn w:val="TableNormal"/>
    <w:uiPriority w:val="59"/>
    <w:rsid w:val="00CF578C"/>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CF578C"/>
    <w:pPr>
      <w:spacing w:before="100" w:beforeAutospacing="1" w:after="100" w:afterAutospacing="1"/>
    </w:pPr>
    <w:rPr>
      <w:rFonts w:ascii="Times New Roman" w:eastAsia="Times New Roman" w:hAnsi="Times New Roman"/>
      <w:szCs w:val="24"/>
    </w:rPr>
  </w:style>
  <w:style w:type="paragraph" w:customStyle="1" w:styleId="font5">
    <w:name w:val="font5"/>
    <w:basedOn w:val="Normal"/>
    <w:rsid w:val="00CF578C"/>
    <w:pPr>
      <w:spacing w:before="100" w:beforeAutospacing="1" w:after="100" w:afterAutospacing="1"/>
    </w:pPr>
    <w:rPr>
      <w:rFonts w:ascii="Times New Roman" w:eastAsia="Times New Roman" w:hAnsi="Times New Roman"/>
      <w:color w:val="000000"/>
      <w:szCs w:val="24"/>
    </w:rPr>
  </w:style>
  <w:style w:type="paragraph" w:customStyle="1" w:styleId="font6">
    <w:name w:val="font6"/>
    <w:basedOn w:val="Normal"/>
    <w:rsid w:val="00CF578C"/>
    <w:pPr>
      <w:spacing w:before="100" w:beforeAutospacing="1" w:after="100" w:afterAutospacing="1"/>
    </w:pPr>
    <w:rPr>
      <w:rFonts w:ascii="Times New Roman" w:eastAsia="Times New Roman" w:hAnsi="Times New Roman"/>
      <w:i/>
      <w:iCs/>
      <w:color w:val="000000"/>
      <w:szCs w:val="24"/>
    </w:rPr>
  </w:style>
  <w:style w:type="paragraph" w:customStyle="1" w:styleId="font7">
    <w:name w:val="font7"/>
    <w:basedOn w:val="Normal"/>
    <w:rsid w:val="00CF578C"/>
    <w:pPr>
      <w:spacing w:before="100" w:beforeAutospacing="1" w:after="100" w:afterAutospacing="1"/>
    </w:pPr>
    <w:rPr>
      <w:rFonts w:ascii="Times New Roman" w:eastAsia="Times New Roman" w:hAnsi="Times New Roman"/>
      <w:color w:val="000000"/>
      <w:szCs w:val="24"/>
    </w:rPr>
  </w:style>
  <w:style w:type="paragraph" w:customStyle="1" w:styleId="font8">
    <w:name w:val="font8"/>
    <w:basedOn w:val="Normal"/>
    <w:rsid w:val="00CF578C"/>
    <w:pPr>
      <w:spacing w:before="100" w:beforeAutospacing="1" w:after="100" w:afterAutospacing="1"/>
    </w:pPr>
    <w:rPr>
      <w:rFonts w:ascii="Times New Roman" w:eastAsia="Times New Roman" w:hAnsi="Times New Roman"/>
      <w:i/>
      <w:iCs/>
      <w:color w:val="000000"/>
      <w:szCs w:val="24"/>
    </w:rPr>
  </w:style>
  <w:style w:type="paragraph" w:customStyle="1" w:styleId="CM16">
    <w:name w:val="CM16"/>
    <w:basedOn w:val="Normal"/>
    <w:uiPriority w:val="99"/>
    <w:rsid w:val="00A3031F"/>
    <w:pPr>
      <w:autoSpaceDE w:val="0"/>
      <w:autoSpaceDN w:val="0"/>
      <w:spacing w:after="0"/>
    </w:pPr>
    <w:rPr>
      <w:rFonts w:ascii="TT14Bt00" w:eastAsiaTheme="minorHAnsi" w:hAnsi="TT14Bt00" w:cs="Calibri"/>
      <w:szCs w:val="24"/>
    </w:rPr>
  </w:style>
  <w:style w:type="table" w:customStyle="1" w:styleId="TableGrid6">
    <w:name w:val="Table Grid6"/>
    <w:basedOn w:val="TableNormal"/>
    <w:next w:val="TableGrid"/>
    <w:uiPriority w:val="59"/>
    <w:rsid w:val="00931845"/>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
    <w:name w:val="Light Grid - Accent 123"/>
    <w:basedOn w:val="TableNormal"/>
    <w:uiPriority w:val="62"/>
    <w:rsid w:val="00931845"/>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
    <w:name w:val="Light Grid - Accent 63"/>
    <w:basedOn w:val="TableNormal"/>
    <w:next w:val="LightGrid-Accent6"/>
    <w:uiPriority w:val="62"/>
    <w:rsid w:val="00931845"/>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
    <w:name w:val="Table Grid13"/>
    <w:basedOn w:val="TableNormal"/>
    <w:next w:val="TableGrid"/>
    <w:uiPriority w:val="59"/>
    <w:rsid w:val="00931845"/>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
    <w:name w:val="Style"/>
    <w:rsid w:val="00931845"/>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table" w:customStyle="1" w:styleId="TableGrid7">
    <w:name w:val="Table Grid7"/>
    <w:basedOn w:val="TableNormal"/>
    <w:next w:val="TableGrid"/>
    <w:uiPriority w:val="39"/>
    <w:rsid w:val="00A06F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F7612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
    <w:name w:val="Light Grid - Accent 1213"/>
    <w:basedOn w:val="TableNormal"/>
    <w:uiPriority w:val="62"/>
    <w:rsid w:val="00F7612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
    <w:name w:val="Table Grid113"/>
    <w:basedOn w:val="TableNormal"/>
    <w:uiPriority w:val="59"/>
    <w:rsid w:val="00F7612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3">
    <w:name w:val="xl73"/>
    <w:basedOn w:val="Normal"/>
    <w:rsid w:val="00F7612A"/>
    <w:pPr>
      <w:pBdr>
        <w:top w:val="single" w:sz="4" w:space="0" w:color="D3D3D3"/>
        <w:left w:val="single" w:sz="4" w:space="0" w:color="D3D3D3"/>
        <w:bottom w:val="single" w:sz="4" w:space="0" w:color="D3D3D3"/>
      </w:pBdr>
      <w:spacing w:before="100" w:beforeAutospacing="1" w:after="100" w:afterAutospacing="1"/>
      <w:textAlignment w:val="top"/>
    </w:pPr>
    <w:rPr>
      <w:rFonts w:ascii="Times New Roman" w:eastAsia="Times New Roman" w:hAnsi="Times New Roman"/>
      <w:color w:val="000000"/>
      <w:szCs w:val="24"/>
    </w:rPr>
  </w:style>
  <w:style w:type="paragraph" w:customStyle="1" w:styleId="xl74">
    <w:name w:val="xl74"/>
    <w:basedOn w:val="Normal"/>
    <w:rsid w:val="00F7612A"/>
    <w:pPr>
      <w:pBdr>
        <w:top w:val="single" w:sz="4" w:space="0" w:color="D3D3D3"/>
        <w:left w:val="single" w:sz="4" w:space="0" w:color="D3D3D3"/>
        <w:bottom w:val="single" w:sz="4" w:space="0" w:color="D3D3D3"/>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table" w:customStyle="1" w:styleId="TableGrid8">
    <w:name w:val="Table Grid8"/>
    <w:basedOn w:val="TableNormal"/>
    <w:next w:val="TableGrid"/>
    <w:uiPriority w:val="39"/>
    <w:rsid w:val="00A414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DefaultParagraphFont"/>
    <w:rsid w:val="00A4147D"/>
  </w:style>
  <w:style w:type="character" w:customStyle="1" w:styleId="sr-only">
    <w:name w:val="sr-only"/>
    <w:basedOn w:val="DefaultParagraphFont"/>
    <w:rsid w:val="00A4147D"/>
  </w:style>
  <w:style w:type="character" w:customStyle="1" w:styleId="author-ref">
    <w:name w:val="author-ref"/>
    <w:basedOn w:val="DefaultParagraphFont"/>
    <w:rsid w:val="00A4147D"/>
  </w:style>
  <w:style w:type="numbering" w:customStyle="1" w:styleId="ImportedStyle1">
    <w:name w:val="Imported Style 1"/>
    <w:rsid w:val="004864C4"/>
    <w:pPr>
      <w:numPr>
        <w:numId w:val="2"/>
      </w:numPr>
    </w:pPr>
  </w:style>
  <w:style w:type="numbering" w:customStyle="1" w:styleId="ImportedStyle2">
    <w:name w:val="Imported Style 2"/>
    <w:rsid w:val="004864C4"/>
    <w:pPr>
      <w:numPr>
        <w:numId w:val="3"/>
      </w:numPr>
    </w:pPr>
  </w:style>
  <w:style w:type="numbering" w:customStyle="1" w:styleId="ImportedStyle3">
    <w:name w:val="Imported Style 3"/>
    <w:rsid w:val="004864C4"/>
    <w:pPr>
      <w:numPr>
        <w:numId w:val="4"/>
      </w:numPr>
    </w:pPr>
  </w:style>
  <w:style w:type="numbering" w:customStyle="1" w:styleId="ImportedStyle4">
    <w:name w:val="Imported Style 4"/>
    <w:rsid w:val="004864C4"/>
    <w:pPr>
      <w:numPr>
        <w:numId w:val="5"/>
      </w:numPr>
    </w:pPr>
  </w:style>
  <w:style w:type="numbering" w:customStyle="1" w:styleId="ImportedStyle9">
    <w:name w:val="Imported Style 9"/>
    <w:rsid w:val="004864C4"/>
    <w:pPr>
      <w:numPr>
        <w:numId w:val="6"/>
      </w:numPr>
    </w:pPr>
  </w:style>
  <w:style w:type="numbering" w:customStyle="1" w:styleId="ImportedStyle10">
    <w:name w:val="Imported Style 10"/>
    <w:rsid w:val="004864C4"/>
    <w:pPr>
      <w:numPr>
        <w:numId w:val="7"/>
      </w:numPr>
    </w:pPr>
  </w:style>
  <w:style w:type="table" w:customStyle="1" w:styleId="TableGrid9">
    <w:name w:val="Table Grid9"/>
    <w:basedOn w:val="TableNormal"/>
    <w:next w:val="TableGrid"/>
    <w:uiPriority w:val="59"/>
    <w:rsid w:val="00486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4">
    <w:name w:val="Light Grid - Accent 124"/>
    <w:basedOn w:val="TableNormal"/>
    <w:uiPriority w:val="62"/>
    <w:rsid w:val="004864C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4">
    <w:name w:val="Light Grid - Accent 64"/>
    <w:basedOn w:val="TableNormal"/>
    <w:next w:val="LightGrid-Accent6"/>
    <w:uiPriority w:val="62"/>
    <w:rsid w:val="004864C4"/>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4">
    <w:name w:val="Table Grid14"/>
    <w:basedOn w:val="TableNormal"/>
    <w:next w:val="TableGrid"/>
    <w:uiPriority w:val="59"/>
    <w:rsid w:val="004864C4"/>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4864C4"/>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uiPriority w:val="61"/>
    <w:rsid w:val="004864C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2">
    <w:name w:val="Light Shading - Accent 32"/>
    <w:basedOn w:val="TableNormal"/>
    <w:next w:val="LightShading-Accent3"/>
    <w:uiPriority w:val="60"/>
    <w:rsid w:val="004864C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4">
    <w:name w:val="Table Grid34"/>
    <w:basedOn w:val="TableNormal"/>
    <w:next w:val="TableGrid"/>
    <w:uiPriority w:val="59"/>
    <w:rsid w:val="004864C4"/>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2">
    <w:name w:val="Light Grid - Accent 612"/>
    <w:basedOn w:val="TableNormal"/>
    <w:next w:val="LightGrid-Accent6"/>
    <w:uiPriority w:val="62"/>
    <w:semiHidden/>
    <w:unhideWhenUsed/>
    <w:rsid w:val="004864C4"/>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4">
    <w:name w:val="Light Grid - Accent 1214"/>
    <w:basedOn w:val="TableNormal"/>
    <w:uiPriority w:val="62"/>
    <w:rsid w:val="004864C4"/>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
    <w:name w:val="Table Grid114"/>
    <w:basedOn w:val="TableNormal"/>
    <w:uiPriority w:val="59"/>
    <w:rsid w:val="004864C4"/>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4864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1">
    <w:name w:val="Light Shading - Accent 311"/>
    <w:basedOn w:val="TableNormal"/>
    <w:next w:val="LightShading-Accent3"/>
    <w:uiPriority w:val="60"/>
    <w:semiHidden/>
    <w:unhideWhenUsed/>
    <w:rsid w:val="004864C4"/>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1">
    <w:name w:val="Light Grid - Accent 6111"/>
    <w:basedOn w:val="TableNormal"/>
    <w:next w:val="LightGrid-Accent6"/>
    <w:uiPriority w:val="62"/>
    <w:semiHidden/>
    <w:unhideWhenUsed/>
    <w:rsid w:val="004864C4"/>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1">
    <w:name w:val="Light Grid - Accent 12111"/>
    <w:basedOn w:val="TableNormal"/>
    <w:uiPriority w:val="62"/>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1">
    <w:name w:val="Table Grid111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1">
    <w:name w:val="Light List - Accent 1111"/>
    <w:basedOn w:val="TableNormal"/>
    <w:uiPriority w:val="61"/>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1">
    <w:name w:val="Table Grid41"/>
    <w:basedOn w:val="TableNormal"/>
    <w:next w:val="TableGrid"/>
    <w:uiPriority w:val="59"/>
    <w:rsid w:val="004864C4"/>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1">
    <w:name w:val="Light Grid - Accent 1221"/>
    <w:basedOn w:val="TableNormal"/>
    <w:uiPriority w:val="62"/>
    <w:rsid w:val="004864C4"/>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1">
    <w:name w:val="Light Grid - Accent 621"/>
    <w:basedOn w:val="TableNormal"/>
    <w:next w:val="LightGrid-Accent6"/>
    <w:uiPriority w:val="62"/>
    <w:rsid w:val="004864C4"/>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1">
    <w:name w:val="Table Grid121"/>
    <w:basedOn w:val="TableNormal"/>
    <w:next w:val="TableGrid"/>
    <w:uiPriority w:val="59"/>
    <w:rsid w:val="004864C4"/>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4864C4"/>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4864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1">
    <w:name w:val="Light Grid - Accent 12121"/>
    <w:basedOn w:val="TableNormal"/>
    <w:uiPriority w:val="62"/>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1">
    <w:name w:val="Table Grid112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4864C4"/>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1">
    <w:name w:val="Light Grid - Accent 1231"/>
    <w:basedOn w:val="TableNormal"/>
    <w:uiPriority w:val="62"/>
    <w:rsid w:val="004864C4"/>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1">
    <w:name w:val="Light Grid - Accent 631"/>
    <w:basedOn w:val="TableNormal"/>
    <w:next w:val="LightGrid-Accent6"/>
    <w:uiPriority w:val="62"/>
    <w:rsid w:val="004864C4"/>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1">
    <w:name w:val="Table Grid131"/>
    <w:basedOn w:val="TableNormal"/>
    <w:next w:val="TableGrid"/>
    <w:uiPriority w:val="59"/>
    <w:rsid w:val="004864C4"/>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486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4864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1">
    <w:name w:val="Light Grid - Accent 12131"/>
    <w:basedOn w:val="TableNormal"/>
    <w:uiPriority w:val="62"/>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1">
    <w:name w:val="Table Grid113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4864C4"/>
    <w:rPr>
      <w:color w:val="2B579A"/>
      <w:shd w:val="clear" w:color="auto" w:fill="E1DFDD"/>
    </w:rPr>
  </w:style>
  <w:style w:type="table" w:customStyle="1" w:styleId="TableGrid10">
    <w:name w:val="Table Grid10"/>
    <w:basedOn w:val="TableNormal"/>
    <w:next w:val="TableGrid"/>
    <w:uiPriority w:val="59"/>
    <w:rsid w:val="00EA2207"/>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5">
    <w:name w:val="Light Grid - Accent 125"/>
    <w:basedOn w:val="TableNormal"/>
    <w:uiPriority w:val="62"/>
    <w:rsid w:val="00EA2207"/>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5">
    <w:name w:val="Light Grid - Accent 65"/>
    <w:basedOn w:val="TableNormal"/>
    <w:next w:val="LightGrid-Accent6"/>
    <w:uiPriority w:val="62"/>
    <w:rsid w:val="00EA2207"/>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5">
    <w:name w:val="Table Grid15"/>
    <w:basedOn w:val="TableNormal"/>
    <w:next w:val="TableGrid"/>
    <w:uiPriority w:val="59"/>
    <w:rsid w:val="00EA2207"/>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EA2207"/>
    <w:rPr>
      <w:i/>
      <w:iCs/>
      <w:color w:val="000000"/>
      <w:sz w:val="28"/>
      <w:szCs w:val="28"/>
    </w:rPr>
  </w:style>
  <w:style w:type="character" w:customStyle="1" w:styleId="A3">
    <w:name w:val="A3"/>
    <w:uiPriority w:val="99"/>
    <w:rsid w:val="00EA2207"/>
    <w:rPr>
      <w:b/>
      <w:bCs/>
      <w:color w:val="000000"/>
      <w:sz w:val="30"/>
      <w:szCs w:val="30"/>
    </w:rPr>
  </w:style>
  <w:style w:type="character" w:customStyle="1" w:styleId="A4">
    <w:name w:val="A4"/>
    <w:uiPriority w:val="99"/>
    <w:rsid w:val="00EA2207"/>
    <w:rPr>
      <w:rFonts w:ascii="Times New Roman" w:hAnsi="Times New Roman" w:cs="Times New Roman"/>
      <w:color w:val="000000"/>
      <w:sz w:val="26"/>
      <w:szCs w:val="26"/>
    </w:rPr>
  </w:style>
  <w:style w:type="paragraph" w:customStyle="1" w:styleId="CM149">
    <w:name w:val="CM149"/>
    <w:basedOn w:val="Normal"/>
    <w:next w:val="Normal"/>
    <w:uiPriority w:val="99"/>
    <w:rsid w:val="00EA2207"/>
    <w:pPr>
      <w:autoSpaceDE w:val="0"/>
      <w:autoSpaceDN w:val="0"/>
      <w:adjustRightInd w:val="0"/>
      <w:spacing w:after="0"/>
    </w:pPr>
    <w:rPr>
      <w:rFonts w:ascii="Univers 45 Light" w:eastAsiaTheme="minorHAnsi" w:hAnsi="Univers 45 Light"/>
      <w:szCs w:val="24"/>
    </w:rPr>
  </w:style>
  <w:style w:type="paragraph" w:customStyle="1" w:styleId="USDATTR-Entry">
    <w:name w:val="USDATTR-Entry"/>
    <w:basedOn w:val="Normal"/>
    <w:link w:val="USDATTR-EntryChar"/>
    <w:qFormat/>
    <w:rsid w:val="00EA2207"/>
    <w:pPr>
      <w:spacing w:after="60" w:line="259" w:lineRule="auto"/>
    </w:pPr>
    <w:rPr>
      <w:rFonts w:ascii="Cambria" w:eastAsiaTheme="minorHAnsi" w:hAnsi="Cambria" w:cs="Arial"/>
      <w:b/>
      <w:bCs/>
      <w:szCs w:val="24"/>
    </w:rPr>
  </w:style>
  <w:style w:type="character" w:customStyle="1" w:styleId="USDATTR-EntryChar">
    <w:name w:val="USDATTR-Entry Char"/>
    <w:basedOn w:val="DefaultParagraphFont"/>
    <w:link w:val="USDATTR-Entry"/>
    <w:rsid w:val="00EA2207"/>
    <w:rPr>
      <w:rFonts w:ascii="Cambria" w:hAnsi="Cambria" w:cs="Arial"/>
      <w:b/>
      <w:bCs/>
      <w:sz w:val="24"/>
      <w:szCs w:val="24"/>
    </w:rPr>
  </w:style>
  <w:style w:type="character" w:customStyle="1" w:styleId="normaltextrun">
    <w:name w:val="normaltextrun"/>
    <w:basedOn w:val="DefaultParagraphFont"/>
    <w:rsid w:val="00EA2207"/>
  </w:style>
  <w:style w:type="table" w:customStyle="1" w:styleId="TableGrid341">
    <w:name w:val="Table Grid341"/>
    <w:basedOn w:val="TableNormal"/>
    <w:next w:val="TableGrid"/>
    <w:uiPriority w:val="59"/>
    <w:rsid w:val="009B186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1">
    <w:name w:val="Light Grid - Accent 12141"/>
    <w:basedOn w:val="TableNormal"/>
    <w:uiPriority w:val="62"/>
    <w:rsid w:val="009B186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1">
    <w:name w:val="Table Grid1141"/>
    <w:basedOn w:val="TableNormal"/>
    <w:uiPriority w:val="59"/>
    <w:rsid w:val="009B186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9B186A"/>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4038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40383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DA76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6">
    <w:name w:val="Light Grid - Accent 126"/>
    <w:basedOn w:val="TableNormal"/>
    <w:uiPriority w:val="62"/>
    <w:rsid w:val="00DA761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6">
    <w:name w:val="Light Grid - Accent 66"/>
    <w:basedOn w:val="TableNormal"/>
    <w:next w:val="LightGrid-Accent6"/>
    <w:uiPriority w:val="62"/>
    <w:rsid w:val="00DA761A"/>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9">
    <w:name w:val="Table Grid19"/>
    <w:basedOn w:val="TableNormal"/>
    <w:next w:val="TableGrid"/>
    <w:uiPriority w:val="59"/>
    <w:rsid w:val="00DA761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DA761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3">
    <w:name w:val="Light List - Accent 113"/>
    <w:basedOn w:val="TableNormal"/>
    <w:uiPriority w:val="61"/>
    <w:rsid w:val="00DA761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3">
    <w:name w:val="Light Shading - Accent 33"/>
    <w:basedOn w:val="TableNormal"/>
    <w:next w:val="LightShading-Accent3"/>
    <w:uiPriority w:val="60"/>
    <w:rsid w:val="00DA761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5">
    <w:name w:val="Table Grid35"/>
    <w:basedOn w:val="TableNormal"/>
    <w:next w:val="TableGrid"/>
    <w:uiPriority w:val="59"/>
    <w:rsid w:val="00DA761A"/>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3">
    <w:name w:val="Light Grid - Accent 613"/>
    <w:basedOn w:val="TableNormal"/>
    <w:next w:val="LightGrid-Accent6"/>
    <w:uiPriority w:val="62"/>
    <w:semiHidden/>
    <w:unhideWhenUsed/>
    <w:rsid w:val="00DA761A"/>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5">
    <w:name w:val="Light Grid - Accent 1215"/>
    <w:basedOn w:val="TableNormal"/>
    <w:uiPriority w:val="62"/>
    <w:rsid w:val="00DA761A"/>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5">
    <w:name w:val="Table Grid115"/>
    <w:basedOn w:val="TableNormal"/>
    <w:uiPriority w:val="59"/>
    <w:rsid w:val="00DA761A"/>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DA761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2">
    <w:name w:val="Light Shading - Accent 312"/>
    <w:basedOn w:val="TableNormal"/>
    <w:next w:val="LightShading-Accent3"/>
    <w:uiPriority w:val="60"/>
    <w:semiHidden/>
    <w:unhideWhenUsed/>
    <w:rsid w:val="00DA761A"/>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2">
    <w:name w:val="Light Grid - Accent 6112"/>
    <w:basedOn w:val="TableNormal"/>
    <w:next w:val="LightGrid-Accent6"/>
    <w:uiPriority w:val="62"/>
    <w:semiHidden/>
    <w:unhideWhenUsed/>
    <w:rsid w:val="00DA761A"/>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2">
    <w:name w:val="Light Grid - Accent 12112"/>
    <w:basedOn w:val="TableNormal"/>
    <w:uiPriority w:val="62"/>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2">
    <w:name w:val="Table Grid111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2">
    <w:name w:val="Light List - Accent 1112"/>
    <w:basedOn w:val="TableNormal"/>
    <w:uiPriority w:val="61"/>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2">
    <w:name w:val="Table Grid42"/>
    <w:basedOn w:val="TableNormal"/>
    <w:next w:val="TableGrid"/>
    <w:uiPriority w:val="59"/>
    <w:rsid w:val="00DA761A"/>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2">
    <w:name w:val="Light Grid - Accent 1222"/>
    <w:basedOn w:val="TableNormal"/>
    <w:uiPriority w:val="62"/>
    <w:rsid w:val="00DA761A"/>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2">
    <w:name w:val="Light Grid - Accent 622"/>
    <w:basedOn w:val="TableNormal"/>
    <w:next w:val="LightGrid-Accent6"/>
    <w:uiPriority w:val="62"/>
    <w:rsid w:val="00DA761A"/>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2">
    <w:name w:val="Table Grid122"/>
    <w:basedOn w:val="TableNormal"/>
    <w:next w:val="TableGrid"/>
    <w:uiPriority w:val="59"/>
    <w:rsid w:val="00DA761A"/>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DA761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DA761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2">
    <w:name w:val="Light Grid - Accent 12122"/>
    <w:basedOn w:val="TableNormal"/>
    <w:uiPriority w:val="62"/>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2">
    <w:name w:val="Table Grid112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DA761A"/>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2">
    <w:name w:val="Light Grid - Accent 1232"/>
    <w:basedOn w:val="TableNormal"/>
    <w:uiPriority w:val="62"/>
    <w:rsid w:val="00DA761A"/>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2">
    <w:name w:val="Light Grid - Accent 632"/>
    <w:basedOn w:val="TableNormal"/>
    <w:next w:val="LightGrid-Accent6"/>
    <w:uiPriority w:val="62"/>
    <w:rsid w:val="00DA761A"/>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2">
    <w:name w:val="Table Grid132"/>
    <w:basedOn w:val="TableNormal"/>
    <w:next w:val="TableGrid"/>
    <w:uiPriority w:val="59"/>
    <w:rsid w:val="00DA761A"/>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DA76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DA761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2">
    <w:name w:val="Light Grid - Accent 12132"/>
    <w:basedOn w:val="TableNormal"/>
    <w:uiPriority w:val="62"/>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2">
    <w:name w:val="Table Grid113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33BE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2">
    <w:name w:val="Light Grid - Accent 12142"/>
    <w:basedOn w:val="TableNormal"/>
    <w:uiPriority w:val="62"/>
    <w:rsid w:val="00E33BE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2">
    <w:name w:val="Table Grid1142"/>
    <w:basedOn w:val="TableNormal"/>
    <w:uiPriority w:val="59"/>
    <w:rsid w:val="00E33BE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E33BE4"/>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E33BE4"/>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A76628"/>
    <w:pPr>
      <w:spacing w:after="240"/>
    </w:pPr>
    <w:rPr>
      <w:rFonts w:ascii="Times New Roman" w:hAnsi="Times New Roman"/>
      <w:noProof/>
    </w:rPr>
  </w:style>
  <w:style w:type="character" w:customStyle="1" w:styleId="EndNoteBibliographyChar">
    <w:name w:val="EndNote Bibliography Char"/>
    <w:basedOn w:val="DefaultParagraphFont"/>
    <w:link w:val="EndNoteBibliography"/>
    <w:rsid w:val="00A76628"/>
    <w:rPr>
      <w:rFonts w:ascii="Times New Roman" w:eastAsia="Calibri" w:hAnsi="Times New Roman" w:cs="Times New Roman"/>
      <w:noProof/>
      <w:sz w:val="24"/>
    </w:rPr>
  </w:style>
  <w:style w:type="table" w:customStyle="1" w:styleId="TableGrid20">
    <w:name w:val="Table Grid20"/>
    <w:basedOn w:val="TableNormal"/>
    <w:next w:val="TableGrid"/>
    <w:uiPriority w:val="59"/>
    <w:rsid w:val="00C10244"/>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7">
    <w:name w:val="Light Grid - Accent 127"/>
    <w:basedOn w:val="TableNormal"/>
    <w:uiPriority w:val="62"/>
    <w:rsid w:val="00C10244"/>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7">
    <w:name w:val="Light Grid - Accent 67"/>
    <w:basedOn w:val="TableNormal"/>
    <w:next w:val="LightGrid-Accent6"/>
    <w:uiPriority w:val="62"/>
    <w:rsid w:val="00C10244"/>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10">
    <w:name w:val="Table Grid110"/>
    <w:basedOn w:val="TableNormal"/>
    <w:next w:val="TableGrid"/>
    <w:uiPriority w:val="59"/>
    <w:rsid w:val="00C10244"/>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rsid w:val="00C10244"/>
    <w:pPr>
      <w:spacing w:before="100" w:beforeAutospacing="1" w:after="100" w:afterAutospacing="1"/>
    </w:pPr>
    <w:rPr>
      <w:rFonts w:ascii="Times New Roman" w:eastAsia="Times New Roman" w:hAnsi="Times New Roman"/>
      <w:szCs w:val="24"/>
    </w:rPr>
  </w:style>
  <w:style w:type="paragraph" w:customStyle="1" w:styleId="AuthorAffilliation">
    <w:name w:val="Author Affilliation"/>
    <w:rsid w:val="00C10244"/>
    <w:pPr>
      <w:spacing w:after="0" w:line="240" w:lineRule="auto"/>
      <w:jc w:val="center"/>
    </w:pPr>
    <w:rPr>
      <w:rFonts w:ascii="Times New Roman" w:eastAsia="Times New Roman" w:hAnsi="Times New Roman" w:cs="Times New Roman"/>
      <w:noProof/>
      <w:sz w:val="24"/>
      <w:szCs w:val="20"/>
    </w:rPr>
  </w:style>
  <w:style w:type="character" w:customStyle="1" w:styleId="arttitle">
    <w:name w:val="art_title"/>
    <w:basedOn w:val="DefaultParagraphFont"/>
    <w:rsid w:val="00C10244"/>
  </w:style>
  <w:style w:type="character" w:customStyle="1" w:styleId="serialtitle">
    <w:name w:val="serial_title"/>
    <w:basedOn w:val="DefaultParagraphFont"/>
    <w:rsid w:val="00C10244"/>
  </w:style>
  <w:style w:type="character" w:customStyle="1" w:styleId="Date2">
    <w:name w:val="Date2"/>
    <w:basedOn w:val="DefaultParagraphFont"/>
    <w:rsid w:val="00C10244"/>
  </w:style>
  <w:style w:type="paragraph" w:customStyle="1" w:styleId="paragraph0">
    <w:name w:val="paragraph"/>
    <w:basedOn w:val="Normal"/>
    <w:rsid w:val="00C10244"/>
    <w:pPr>
      <w:spacing w:before="100" w:beforeAutospacing="1" w:after="100" w:afterAutospacing="1"/>
    </w:pPr>
    <w:rPr>
      <w:rFonts w:ascii="Times New Roman" w:eastAsia="Times New Roman" w:hAnsi="Times New Roman"/>
      <w:szCs w:val="24"/>
    </w:rPr>
  </w:style>
  <w:style w:type="character" w:customStyle="1" w:styleId="eop">
    <w:name w:val="eop"/>
    <w:basedOn w:val="DefaultParagraphFont"/>
    <w:rsid w:val="00C10244"/>
  </w:style>
  <w:style w:type="character" w:customStyle="1" w:styleId="Absatz-Standardschriftart">
    <w:name w:val="Absatz-Standardschriftart"/>
    <w:rsid w:val="0030720A"/>
  </w:style>
  <w:style w:type="paragraph" w:styleId="Bibliography">
    <w:name w:val="Bibliography"/>
    <w:basedOn w:val="Normal"/>
    <w:next w:val="Normal"/>
    <w:uiPriority w:val="37"/>
    <w:semiHidden/>
    <w:unhideWhenUsed/>
    <w:rsid w:val="0030720A"/>
  </w:style>
  <w:style w:type="paragraph" w:styleId="BodyText2">
    <w:name w:val="Body Text 2"/>
    <w:basedOn w:val="BodyText"/>
    <w:link w:val="BodyText2Char"/>
    <w:qFormat/>
    <w:rsid w:val="0030720A"/>
    <w:pPr>
      <w:ind w:left="360"/>
    </w:pPr>
  </w:style>
  <w:style w:type="character" w:customStyle="1" w:styleId="BodyText2Char">
    <w:name w:val="Body Text 2 Char"/>
    <w:link w:val="BodyText2"/>
    <w:rsid w:val="0030720A"/>
    <w:rPr>
      <w:rFonts w:eastAsia="Times New Roman" w:cs="Times New Roman"/>
      <w:sz w:val="24"/>
      <w:szCs w:val="24"/>
    </w:rPr>
  </w:style>
  <w:style w:type="paragraph" w:styleId="BodyText3">
    <w:name w:val="Body Text 3"/>
    <w:basedOn w:val="BodyText"/>
    <w:link w:val="BodyText3Char"/>
    <w:qFormat/>
    <w:rsid w:val="0030720A"/>
    <w:pPr>
      <w:ind w:left="547"/>
    </w:pPr>
  </w:style>
  <w:style w:type="character" w:customStyle="1" w:styleId="BodyText3Char">
    <w:name w:val="Body Text 3 Char"/>
    <w:link w:val="BodyText3"/>
    <w:rsid w:val="0030720A"/>
    <w:rPr>
      <w:rFonts w:eastAsia="Times New Roman" w:cs="Times New Roman"/>
      <w:sz w:val="24"/>
      <w:szCs w:val="24"/>
    </w:rPr>
  </w:style>
  <w:style w:type="paragraph" w:customStyle="1" w:styleId="BodyText4">
    <w:name w:val="Body Text 4"/>
    <w:basedOn w:val="BodyText3"/>
    <w:uiPriority w:val="99"/>
    <w:rsid w:val="0030720A"/>
    <w:pPr>
      <w:widowControl w:val="0"/>
      <w:ind w:left="720"/>
    </w:pPr>
    <w:rPr>
      <w:szCs w:val="22"/>
    </w:rPr>
  </w:style>
  <w:style w:type="paragraph" w:customStyle="1" w:styleId="BodyText5">
    <w:name w:val="Body Text 5"/>
    <w:basedOn w:val="BodyText4"/>
    <w:rsid w:val="0030720A"/>
    <w:pPr>
      <w:ind w:left="900"/>
    </w:pPr>
  </w:style>
  <w:style w:type="paragraph" w:customStyle="1" w:styleId="BodyText6">
    <w:name w:val="Body Text 6"/>
    <w:basedOn w:val="BodyText5"/>
    <w:rsid w:val="0030720A"/>
    <w:pPr>
      <w:ind w:left="1080"/>
    </w:pPr>
  </w:style>
  <w:style w:type="paragraph" w:customStyle="1" w:styleId="BodyText7">
    <w:name w:val="Body Text 7"/>
    <w:basedOn w:val="BodyText6"/>
    <w:rsid w:val="0030720A"/>
    <w:pPr>
      <w:ind w:left="1260"/>
    </w:pPr>
  </w:style>
  <w:style w:type="paragraph" w:customStyle="1" w:styleId="BodyText8">
    <w:name w:val="Body Text 8"/>
    <w:basedOn w:val="BodyText7"/>
    <w:rsid w:val="0030720A"/>
    <w:pPr>
      <w:ind w:left="1440"/>
    </w:pPr>
  </w:style>
  <w:style w:type="paragraph" w:customStyle="1" w:styleId="BodyText9">
    <w:name w:val="Body Text 9"/>
    <w:basedOn w:val="BodyText8"/>
    <w:rsid w:val="0030720A"/>
    <w:pPr>
      <w:ind w:left="1620"/>
    </w:pPr>
  </w:style>
  <w:style w:type="paragraph" w:styleId="BodyTextFirstIndent">
    <w:name w:val="Body Text First Indent"/>
    <w:basedOn w:val="BodyText"/>
    <w:link w:val="BodyTextFirstIndentChar"/>
    <w:uiPriority w:val="99"/>
    <w:semiHidden/>
    <w:unhideWhenUsed/>
    <w:rsid w:val="0030720A"/>
    <w:pPr>
      <w:ind w:left="0" w:firstLine="360"/>
    </w:pPr>
    <w:rPr>
      <w:rFonts w:eastAsia="Calibri"/>
    </w:rPr>
  </w:style>
  <w:style w:type="character" w:customStyle="1" w:styleId="BodyTextFirstIndentChar">
    <w:name w:val="Body Text First Indent Char"/>
    <w:basedOn w:val="BodyTextChar"/>
    <w:link w:val="BodyTextFirstIndent"/>
    <w:uiPriority w:val="99"/>
    <w:semiHidden/>
    <w:rsid w:val="0030720A"/>
    <w:rPr>
      <w:rFonts w:eastAsia="Calibri" w:cs="Times New Roman"/>
      <w:sz w:val="24"/>
      <w:szCs w:val="24"/>
    </w:rPr>
  </w:style>
  <w:style w:type="paragraph" w:styleId="BodyTextFirstIndent2">
    <w:name w:val="Body Text First Indent 2"/>
    <w:basedOn w:val="Normal"/>
    <w:link w:val="BodyTextFirstIndent2Char"/>
    <w:uiPriority w:val="99"/>
    <w:semiHidden/>
    <w:unhideWhenUsed/>
    <w:rsid w:val="0030720A"/>
    <w:pPr>
      <w:ind w:left="360" w:firstLine="360"/>
    </w:pPr>
  </w:style>
  <w:style w:type="character" w:customStyle="1" w:styleId="BodyTextFirstIndent2Char">
    <w:name w:val="Body Text First Indent 2 Char"/>
    <w:basedOn w:val="DefaultParagraphFont"/>
    <w:link w:val="BodyTextFirstIndent2"/>
    <w:uiPriority w:val="99"/>
    <w:semiHidden/>
    <w:rsid w:val="0030720A"/>
    <w:rPr>
      <w:rFonts w:eastAsia="Calibri" w:cs="Times New Roman"/>
      <w:sz w:val="24"/>
    </w:rPr>
  </w:style>
  <w:style w:type="paragraph" w:styleId="BodyTextIndent2">
    <w:name w:val="Body Text Indent 2"/>
    <w:basedOn w:val="Normal"/>
    <w:link w:val="BodyTextIndent2Char"/>
    <w:uiPriority w:val="99"/>
    <w:unhideWhenUsed/>
    <w:rsid w:val="0030720A"/>
    <w:pPr>
      <w:spacing w:line="480" w:lineRule="auto"/>
      <w:ind w:left="360"/>
    </w:pPr>
  </w:style>
  <w:style w:type="character" w:customStyle="1" w:styleId="BodyTextIndent2Char">
    <w:name w:val="Body Text Indent 2 Char"/>
    <w:basedOn w:val="DefaultParagraphFont"/>
    <w:link w:val="BodyTextIndent2"/>
    <w:uiPriority w:val="99"/>
    <w:rsid w:val="0030720A"/>
    <w:rPr>
      <w:rFonts w:eastAsia="Calibri" w:cs="Times New Roman"/>
      <w:sz w:val="24"/>
    </w:rPr>
  </w:style>
  <w:style w:type="paragraph" w:styleId="BodyTextIndent3">
    <w:name w:val="Body Text Indent 3"/>
    <w:basedOn w:val="Normal"/>
    <w:link w:val="BodyTextIndent3Char"/>
    <w:uiPriority w:val="99"/>
    <w:semiHidden/>
    <w:unhideWhenUsed/>
    <w:rsid w:val="0030720A"/>
    <w:pPr>
      <w:ind w:left="360"/>
    </w:pPr>
    <w:rPr>
      <w:sz w:val="16"/>
      <w:szCs w:val="16"/>
    </w:rPr>
  </w:style>
  <w:style w:type="character" w:customStyle="1" w:styleId="BodyTextIndent3Char">
    <w:name w:val="Body Text Indent 3 Char"/>
    <w:basedOn w:val="DefaultParagraphFont"/>
    <w:link w:val="BodyTextIndent3"/>
    <w:uiPriority w:val="99"/>
    <w:semiHidden/>
    <w:rsid w:val="0030720A"/>
    <w:rPr>
      <w:rFonts w:eastAsia="Calibri" w:cs="Times New Roman"/>
      <w:sz w:val="16"/>
      <w:szCs w:val="16"/>
    </w:rPr>
  </w:style>
  <w:style w:type="paragraph" w:customStyle="1" w:styleId="Bullet2">
    <w:name w:val="Bullet 2"/>
    <w:basedOn w:val="ListParagraph"/>
    <w:uiPriority w:val="99"/>
    <w:qFormat/>
    <w:rsid w:val="0030720A"/>
    <w:pPr>
      <w:tabs>
        <w:tab w:val="left" w:pos="900"/>
      </w:tabs>
      <w:ind w:left="0"/>
    </w:pPr>
  </w:style>
  <w:style w:type="paragraph" w:customStyle="1" w:styleId="Bullet3">
    <w:name w:val="Bullet 3"/>
    <w:basedOn w:val="Bullet2"/>
    <w:uiPriority w:val="99"/>
    <w:semiHidden/>
    <w:qFormat/>
    <w:rsid w:val="0030720A"/>
    <w:pPr>
      <w:tabs>
        <w:tab w:val="clear" w:pos="900"/>
        <w:tab w:val="left" w:pos="1080"/>
      </w:tabs>
    </w:pPr>
  </w:style>
  <w:style w:type="paragraph" w:customStyle="1" w:styleId="Bullet4">
    <w:name w:val="Bullet 4"/>
    <w:basedOn w:val="Bullet3"/>
    <w:rsid w:val="0030720A"/>
    <w:pPr>
      <w:tabs>
        <w:tab w:val="clear" w:pos="1080"/>
        <w:tab w:val="left" w:pos="1260"/>
      </w:tabs>
    </w:pPr>
  </w:style>
  <w:style w:type="paragraph" w:customStyle="1" w:styleId="CaptionFigures">
    <w:name w:val="Caption Figures"/>
    <w:basedOn w:val="Caption"/>
    <w:next w:val="Normal"/>
    <w:rsid w:val="0030720A"/>
    <w:pPr>
      <w:keepNext w:val="0"/>
      <w:spacing w:before="0" w:line="360" w:lineRule="auto"/>
    </w:pPr>
  </w:style>
  <w:style w:type="character" w:customStyle="1" w:styleId="Code">
    <w:name w:val="Code"/>
    <w:uiPriority w:val="1"/>
    <w:rsid w:val="0030720A"/>
    <w:rPr>
      <w:rFonts w:ascii="Courier New" w:hAnsi="Courier New"/>
      <w:b/>
      <w:color w:val="31849B" w:themeColor="accent5" w:themeShade="BF"/>
      <w:sz w:val="22"/>
    </w:rPr>
  </w:style>
  <w:style w:type="character" w:customStyle="1" w:styleId="CrossReference">
    <w:name w:val="Cross Reference"/>
    <w:uiPriority w:val="1"/>
    <w:qFormat/>
    <w:rsid w:val="0030720A"/>
    <w:rPr>
      <w:color w:val="0000CC"/>
      <w:u w:val="single"/>
    </w:rPr>
  </w:style>
  <w:style w:type="paragraph" w:styleId="Date">
    <w:name w:val="Date"/>
    <w:basedOn w:val="Normal"/>
    <w:next w:val="Normal"/>
    <w:link w:val="DateChar"/>
    <w:uiPriority w:val="99"/>
    <w:rsid w:val="0030720A"/>
    <w:pPr>
      <w:spacing w:after="960"/>
      <w:jc w:val="center"/>
    </w:pPr>
    <w:rPr>
      <w:bCs/>
      <w:szCs w:val="24"/>
    </w:rPr>
  </w:style>
  <w:style w:type="character" w:customStyle="1" w:styleId="DateChar">
    <w:name w:val="Date Char"/>
    <w:basedOn w:val="DefaultParagraphFont"/>
    <w:link w:val="Date"/>
    <w:uiPriority w:val="99"/>
    <w:rsid w:val="0030720A"/>
    <w:rPr>
      <w:rFonts w:eastAsia="Calibri" w:cs="Times New Roman"/>
      <w:bCs/>
      <w:sz w:val="24"/>
      <w:szCs w:val="24"/>
    </w:rPr>
  </w:style>
  <w:style w:type="paragraph" w:styleId="E-mailSignature">
    <w:name w:val="E-mail Signature"/>
    <w:basedOn w:val="Normal"/>
    <w:link w:val="E-mailSignatureChar"/>
    <w:uiPriority w:val="99"/>
    <w:semiHidden/>
    <w:unhideWhenUsed/>
    <w:rsid w:val="0030720A"/>
  </w:style>
  <w:style w:type="character" w:customStyle="1" w:styleId="E-mailSignatureChar">
    <w:name w:val="E-mail Signature Char"/>
    <w:basedOn w:val="DefaultParagraphFont"/>
    <w:link w:val="E-mailSignature"/>
    <w:uiPriority w:val="99"/>
    <w:semiHidden/>
    <w:rsid w:val="0030720A"/>
    <w:rPr>
      <w:rFonts w:eastAsia="Calibri" w:cs="Times New Roman"/>
      <w:sz w:val="24"/>
    </w:rPr>
  </w:style>
  <w:style w:type="paragraph" w:styleId="EndnoteText">
    <w:name w:val="endnote text"/>
    <w:basedOn w:val="Normal"/>
    <w:link w:val="EndnoteTextChar"/>
    <w:uiPriority w:val="99"/>
    <w:semiHidden/>
    <w:unhideWhenUsed/>
    <w:rsid w:val="0030720A"/>
    <w:rPr>
      <w:szCs w:val="20"/>
    </w:rPr>
  </w:style>
  <w:style w:type="character" w:customStyle="1" w:styleId="EndnoteTextChar">
    <w:name w:val="Endnote Text Char"/>
    <w:basedOn w:val="DefaultParagraphFont"/>
    <w:link w:val="EndnoteText"/>
    <w:uiPriority w:val="99"/>
    <w:semiHidden/>
    <w:rsid w:val="0030720A"/>
    <w:rPr>
      <w:rFonts w:eastAsia="Calibri" w:cs="Times New Roman"/>
      <w:sz w:val="24"/>
      <w:szCs w:val="20"/>
    </w:rPr>
  </w:style>
  <w:style w:type="paragraph" w:styleId="EnvelopeAddress">
    <w:name w:val="envelope address"/>
    <w:basedOn w:val="Normal"/>
    <w:uiPriority w:val="99"/>
    <w:unhideWhenUsed/>
    <w:rsid w:val="0030720A"/>
    <w:pPr>
      <w:framePr w:w="7920" w:h="1980" w:hRule="exact" w:hSpace="180" w:wrap="auto" w:hAnchor="page" w:xAlign="center" w:yAlign="bottom"/>
      <w:ind w:left="2880"/>
    </w:pPr>
    <w:rPr>
      <w:rFonts w:eastAsiaTheme="majorEastAsia" w:cstheme="majorBidi"/>
      <w:szCs w:val="24"/>
    </w:rPr>
  </w:style>
  <w:style w:type="paragraph" w:styleId="EnvelopeReturn">
    <w:name w:val="envelope return"/>
    <w:basedOn w:val="Normal"/>
    <w:uiPriority w:val="99"/>
    <w:semiHidden/>
    <w:unhideWhenUsed/>
    <w:rsid w:val="0030720A"/>
    <w:rPr>
      <w:rFonts w:eastAsiaTheme="majorEastAsia" w:cstheme="majorBidi"/>
      <w:szCs w:val="20"/>
    </w:rPr>
  </w:style>
  <w:style w:type="character" w:customStyle="1" w:styleId="ExampleText">
    <w:name w:val="Example Text"/>
    <w:uiPriority w:val="1"/>
    <w:rsid w:val="0030720A"/>
    <w:rPr>
      <w:i/>
      <w:color w:val="C0504D" w:themeColor="accent2"/>
    </w:rPr>
  </w:style>
  <w:style w:type="paragraph" w:customStyle="1" w:styleId="FooterLandscape">
    <w:name w:val="Footer Landscape"/>
    <w:basedOn w:val="Footer"/>
    <w:link w:val="FooterLandscapeChar"/>
    <w:rsid w:val="0030720A"/>
    <w:pPr>
      <w:tabs>
        <w:tab w:val="clear" w:pos="10080"/>
        <w:tab w:val="center" w:pos="6480"/>
        <w:tab w:val="right" w:pos="12960"/>
      </w:tabs>
    </w:pPr>
    <w:rPr>
      <w:noProof/>
    </w:rPr>
  </w:style>
  <w:style w:type="character" w:customStyle="1" w:styleId="FooterLandscapeChar">
    <w:name w:val="Footer Landscape Char"/>
    <w:basedOn w:val="FooterChar"/>
    <w:link w:val="FooterLandscape"/>
    <w:rsid w:val="0030720A"/>
    <w:rPr>
      <w:rFonts w:eastAsia="Times New Roman" w:cs="Times New Roman"/>
      <w:noProof/>
      <w:sz w:val="24"/>
      <w:szCs w:val="16"/>
    </w:rPr>
  </w:style>
  <w:style w:type="paragraph" w:customStyle="1" w:styleId="Framecontents">
    <w:name w:val="Frame contents"/>
    <w:basedOn w:val="BodyText"/>
    <w:rsid w:val="0030720A"/>
  </w:style>
  <w:style w:type="paragraph" w:customStyle="1" w:styleId="Heading">
    <w:name w:val="Heading"/>
    <w:basedOn w:val="Normal"/>
    <w:next w:val="BodyText"/>
    <w:rsid w:val="0030720A"/>
    <w:pPr>
      <w:keepNext/>
      <w:spacing w:before="240"/>
    </w:pPr>
    <w:rPr>
      <w:rFonts w:ascii="Arial" w:eastAsia="SimSun" w:hAnsi="Arial" w:cs="Tahoma"/>
      <w:sz w:val="28"/>
      <w:szCs w:val="28"/>
    </w:rPr>
  </w:style>
  <w:style w:type="paragraph" w:customStyle="1" w:styleId="HeadingAppendix1">
    <w:name w:val="Heading Appendix 1"/>
    <w:basedOn w:val="Heading1"/>
    <w:next w:val="BodyText"/>
    <w:uiPriority w:val="99"/>
    <w:semiHidden/>
    <w:rsid w:val="0030720A"/>
    <w:pPr>
      <w:numPr>
        <w:numId w:val="8"/>
      </w:numPr>
    </w:pPr>
  </w:style>
  <w:style w:type="paragraph" w:customStyle="1" w:styleId="HeadingAppendix2">
    <w:name w:val="Heading Appendix 2"/>
    <w:basedOn w:val="Heading2"/>
    <w:next w:val="BodyText2"/>
    <w:uiPriority w:val="99"/>
    <w:semiHidden/>
    <w:rsid w:val="0030720A"/>
    <w:pPr>
      <w:numPr>
        <w:numId w:val="8"/>
      </w:numPr>
    </w:pPr>
  </w:style>
  <w:style w:type="paragraph" w:customStyle="1" w:styleId="HeadingAppendix3">
    <w:name w:val="Heading Appendix 3"/>
    <w:basedOn w:val="Heading3"/>
    <w:next w:val="BodyText3"/>
    <w:uiPriority w:val="99"/>
    <w:semiHidden/>
    <w:rsid w:val="0030720A"/>
    <w:pPr>
      <w:numPr>
        <w:numId w:val="8"/>
      </w:numPr>
    </w:pPr>
  </w:style>
  <w:style w:type="paragraph" w:styleId="HTMLPreformatted">
    <w:name w:val="HTML Preformatted"/>
    <w:basedOn w:val="Normal"/>
    <w:link w:val="HTMLPreformattedChar"/>
    <w:rsid w:val="00307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30720A"/>
    <w:rPr>
      <w:rFonts w:ascii="Arial Unicode MS" w:eastAsia="Arial Unicode MS" w:hAnsi="Arial Unicode MS" w:cs="Arial Unicode MS"/>
      <w:sz w:val="20"/>
      <w:szCs w:val="20"/>
    </w:rPr>
  </w:style>
  <w:style w:type="paragraph" w:customStyle="1" w:styleId="Image">
    <w:name w:val="Image"/>
    <w:basedOn w:val="BodyText"/>
    <w:link w:val="ImageChar"/>
    <w:rsid w:val="0030720A"/>
    <w:pPr>
      <w:keepNext/>
      <w:spacing w:before="180"/>
      <w:ind w:left="0"/>
      <w:jc w:val="center"/>
    </w:pPr>
  </w:style>
  <w:style w:type="character" w:customStyle="1" w:styleId="ImageChar">
    <w:name w:val="Image Char"/>
    <w:basedOn w:val="BodyTextChar"/>
    <w:link w:val="Image"/>
    <w:rsid w:val="0030720A"/>
    <w:rPr>
      <w:rFonts w:eastAsia="Times New Roman" w:cs="Times New Roman"/>
      <w:sz w:val="24"/>
      <w:szCs w:val="24"/>
    </w:rPr>
  </w:style>
  <w:style w:type="paragraph" w:customStyle="1" w:styleId="Index">
    <w:name w:val="Index"/>
    <w:basedOn w:val="Normal"/>
    <w:rsid w:val="0030720A"/>
    <w:pPr>
      <w:suppressLineNumbers/>
    </w:pPr>
    <w:rPr>
      <w:rFonts w:cs="Tahoma"/>
    </w:rPr>
  </w:style>
  <w:style w:type="paragraph" w:styleId="Index1">
    <w:name w:val="index 1"/>
    <w:basedOn w:val="Normal"/>
    <w:next w:val="Normal"/>
    <w:uiPriority w:val="99"/>
    <w:rsid w:val="0030720A"/>
  </w:style>
  <w:style w:type="paragraph" w:styleId="Index2">
    <w:name w:val="index 2"/>
    <w:basedOn w:val="Normal"/>
    <w:next w:val="Normal"/>
    <w:uiPriority w:val="99"/>
    <w:rsid w:val="0030720A"/>
    <w:pPr>
      <w:ind w:left="360"/>
    </w:pPr>
  </w:style>
  <w:style w:type="paragraph" w:styleId="Index3">
    <w:name w:val="index 3"/>
    <w:basedOn w:val="Normal"/>
    <w:next w:val="Normal"/>
    <w:uiPriority w:val="99"/>
    <w:rsid w:val="0030720A"/>
    <w:pPr>
      <w:ind w:left="720"/>
    </w:pPr>
  </w:style>
  <w:style w:type="paragraph" w:styleId="Index4">
    <w:name w:val="index 4"/>
    <w:basedOn w:val="Normal"/>
    <w:next w:val="Normal"/>
    <w:uiPriority w:val="99"/>
    <w:rsid w:val="0030720A"/>
    <w:pPr>
      <w:ind w:left="1080"/>
    </w:pPr>
  </w:style>
  <w:style w:type="paragraph" w:styleId="Index5">
    <w:name w:val="index 5"/>
    <w:basedOn w:val="Normal"/>
    <w:next w:val="Normal"/>
    <w:uiPriority w:val="99"/>
    <w:rsid w:val="0030720A"/>
    <w:pPr>
      <w:ind w:left="1440"/>
    </w:pPr>
  </w:style>
  <w:style w:type="paragraph" w:styleId="Index6">
    <w:name w:val="index 6"/>
    <w:basedOn w:val="Normal"/>
    <w:next w:val="Normal"/>
    <w:uiPriority w:val="99"/>
    <w:rsid w:val="0030720A"/>
    <w:pPr>
      <w:ind w:left="1800"/>
    </w:pPr>
  </w:style>
  <w:style w:type="paragraph" w:styleId="Index7">
    <w:name w:val="index 7"/>
    <w:basedOn w:val="Normal"/>
    <w:next w:val="Normal"/>
    <w:uiPriority w:val="99"/>
    <w:rsid w:val="0030720A"/>
    <w:pPr>
      <w:ind w:left="2160"/>
    </w:pPr>
  </w:style>
  <w:style w:type="paragraph" w:styleId="Index8">
    <w:name w:val="index 8"/>
    <w:basedOn w:val="Normal"/>
    <w:next w:val="Normal"/>
    <w:autoRedefine/>
    <w:uiPriority w:val="99"/>
    <w:rsid w:val="0030720A"/>
    <w:pPr>
      <w:ind w:left="2765" w:hanging="245"/>
    </w:pPr>
  </w:style>
  <w:style w:type="paragraph" w:styleId="Index9">
    <w:name w:val="index 9"/>
    <w:basedOn w:val="Normal"/>
    <w:next w:val="Normal"/>
    <w:autoRedefine/>
    <w:uiPriority w:val="99"/>
    <w:rsid w:val="0030720A"/>
    <w:pPr>
      <w:ind w:left="3125" w:hanging="245"/>
    </w:pPr>
  </w:style>
  <w:style w:type="paragraph" w:styleId="IndexHeading">
    <w:name w:val="index heading"/>
    <w:basedOn w:val="Normal"/>
    <w:next w:val="Index1"/>
    <w:uiPriority w:val="99"/>
    <w:rsid w:val="0030720A"/>
    <w:rPr>
      <w:rFonts w:ascii="Georgia" w:hAnsi="Georgia"/>
      <w:color w:val="1F497D" w:themeColor="text2"/>
      <w:sz w:val="28"/>
    </w:rPr>
  </w:style>
  <w:style w:type="paragraph" w:customStyle="1" w:styleId="InstructionalBullet1">
    <w:name w:val="Instructional Bullet 1"/>
    <w:rsid w:val="00252486"/>
    <w:pPr>
      <w:numPr>
        <w:numId w:val="9"/>
      </w:numPr>
      <w:spacing w:before="60" w:after="60" w:line="240" w:lineRule="auto"/>
    </w:pPr>
    <w:rPr>
      <w:rFonts w:ascii="Times New Roman" w:eastAsia="Times New Roman" w:hAnsi="Times New Roman" w:cs="Times New Roman"/>
      <w:i/>
      <w:color w:val="0000FF"/>
      <w:szCs w:val="24"/>
      <w:u w:val="single"/>
    </w:rPr>
  </w:style>
  <w:style w:type="paragraph" w:customStyle="1" w:styleId="InstructionalText1">
    <w:name w:val="Instructional Text 1"/>
    <w:basedOn w:val="Normal"/>
    <w:next w:val="BodyText"/>
    <w:link w:val="InstructionalText1Char"/>
    <w:rsid w:val="00252486"/>
    <w:pPr>
      <w:adjustRightInd w:val="0"/>
      <w:spacing w:before="60" w:line="240" w:lineRule="atLeast"/>
    </w:pPr>
    <w:rPr>
      <w:rFonts w:ascii="Times New Roman" w:eastAsia="Times New Roman" w:hAnsi="Times New Roman"/>
      <w:i/>
      <w:iCs/>
      <w:color w:val="0000FF"/>
      <w:szCs w:val="20"/>
      <w:u w:val="single"/>
    </w:rPr>
  </w:style>
  <w:style w:type="character" w:customStyle="1" w:styleId="InstructionalText1Char">
    <w:name w:val="Instructional Text 1 Char"/>
    <w:link w:val="InstructionalText1"/>
    <w:rsid w:val="00252486"/>
    <w:rPr>
      <w:rFonts w:ascii="Times New Roman" w:eastAsia="Times New Roman" w:hAnsi="Times New Roman" w:cs="Times New Roman"/>
      <w:i/>
      <w:iCs/>
      <w:color w:val="0000FF"/>
      <w:sz w:val="24"/>
      <w:szCs w:val="20"/>
      <w:u w:val="single"/>
    </w:rPr>
  </w:style>
  <w:style w:type="table" w:styleId="LightList-Accent1">
    <w:name w:val="Light List Accent 1"/>
    <w:basedOn w:val="TableNormal"/>
    <w:uiPriority w:val="61"/>
    <w:rsid w:val="0030720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1">
    <w:name w:val="Light Shading Accent 1"/>
    <w:basedOn w:val="TableNormal"/>
    <w:uiPriority w:val="60"/>
    <w:rsid w:val="0030720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2">
    <w:name w:val="List 2"/>
    <w:basedOn w:val="Normal"/>
    <w:uiPriority w:val="99"/>
    <w:rsid w:val="0030720A"/>
    <w:pPr>
      <w:numPr>
        <w:ilvl w:val="1"/>
        <w:numId w:val="10"/>
      </w:numPr>
      <w:contextualSpacing/>
    </w:pPr>
  </w:style>
  <w:style w:type="paragraph" w:styleId="List3">
    <w:name w:val="List 3"/>
    <w:basedOn w:val="Normal"/>
    <w:next w:val="Normal"/>
    <w:uiPriority w:val="99"/>
    <w:rsid w:val="0030720A"/>
    <w:pPr>
      <w:numPr>
        <w:ilvl w:val="2"/>
        <w:numId w:val="10"/>
      </w:numPr>
      <w:contextualSpacing/>
    </w:pPr>
  </w:style>
  <w:style w:type="paragraph" w:styleId="List4">
    <w:name w:val="List 4"/>
    <w:basedOn w:val="Normal"/>
    <w:uiPriority w:val="99"/>
    <w:rsid w:val="0030720A"/>
    <w:pPr>
      <w:numPr>
        <w:ilvl w:val="3"/>
        <w:numId w:val="10"/>
      </w:numPr>
      <w:contextualSpacing/>
    </w:pPr>
  </w:style>
  <w:style w:type="paragraph" w:styleId="List5">
    <w:name w:val="List 5"/>
    <w:basedOn w:val="Normal"/>
    <w:uiPriority w:val="99"/>
    <w:rsid w:val="0030720A"/>
    <w:pPr>
      <w:numPr>
        <w:ilvl w:val="4"/>
        <w:numId w:val="10"/>
      </w:numPr>
      <w:contextualSpacing/>
    </w:pPr>
  </w:style>
  <w:style w:type="paragraph" w:styleId="ListBullet">
    <w:name w:val="List Bullet"/>
    <w:basedOn w:val="Normal"/>
    <w:uiPriority w:val="99"/>
    <w:unhideWhenUsed/>
    <w:rsid w:val="0030720A"/>
    <w:pPr>
      <w:numPr>
        <w:numId w:val="11"/>
      </w:numPr>
      <w:spacing w:after="60"/>
      <w:contextualSpacing/>
    </w:pPr>
  </w:style>
  <w:style w:type="paragraph" w:styleId="ListBullet2">
    <w:name w:val="List Bullet 2"/>
    <w:basedOn w:val="Bullet2"/>
    <w:rsid w:val="0030720A"/>
    <w:pPr>
      <w:numPr>
        <w:ilvl w:val="1"/>
        <w:numId w:val="11"/>
      </w:numPr>
      <w:tabs>
        <w:tab w:val="clear" w:pos="900"/>
        <w:tab w:val="left" w:pos="1350"/>
      </w:tabs>
    </w:pPr>
  </w:style>
  <w:style w:type="paragraph" w:styleId="ListBullet3">
    <w:name w:val="List Bullet 3"/>
    <w:basedOn w:val="BodyText3"/>
    <w:rsid w:val="0030720A"/>
    <w:pPr>
      <w:numPr>
        <w:ilvl w:val="2"/>
        <w:numId w:val="11"/>
      </w:numPr>
      <w:spacing w:before="60" w:after="60"/>
      <w:contextualSpacing/>
    </w:pPr>
  </w:style>
  <w:style w:type="paragraph" w:styleId="ListBullet4">
    <w:name w:val="List Bullet 4"/>
    <w:basedOn w:val="Normal"/>
    <w:uiPriority w:val="99"/>
    <w:unhideWhenUsed/>
    <w:rsid w:val="0030720A"/>
    <w:pPr>
      <w:numPr>
        <w:ilvl w:val="3"/>
        <w:numId w:val="11"/>
      </w:numPr>
      <w:spacing w:before="60" w:after="60"/>
      <w:contextualSpacing/>
    </w:pPr>
  </w:style>
  <w:style w:type="paragraph" w:styleId="ListBullet5">
    <w:name w:val="List Bullet 5"/>
    <w:basedOn w:val="Normal"/>
    <w:uiPriority w:val="99"/>
    <w:unhideWhenUsed/>
    <w:rsid w:val="0030720A"/>
    <w:pPr>
      <w:numPr>
        <w:ilvl w:val="4"/>
        <w:numId w:val="11"/>
      </w:numPr>
      <w:spacing w:before="60" w:after="60"/>
      <w:contextualSpacing/>
    </w:pPr>
  </w:style>
  <w:style w:type="paragraph" w:styleId="ListContinue">
    <w:name w:val="List Continue"/>
    <w:basedOn w:val="BodyText"/>
    <w:uiPriority w:val="99"/>
    <w:rsid w:val="0030720A"/>
    <w:pPr>
      <w:ind w:left="1080"/>
      <w:contextualSpacing/>
    </w:pPr>
  </w:style>
  <w:style w:type="paragraph" w:styleId="ListContinue2">
    <w:name w:val="List Continue 2"/>
    <w:basedOn w:val="ListContinue"/>
    <w:uiPriority w:val="99"/>
    <w:rsid w:val="0030720A"/>
  </w:style>
  <w:style w:type="paragraph" w:styleId="ListContinue3">
    <w:name w:val="List Continue 3"/>
    <w:basedOn w:val="ListContinue2"/>
    <w:uiPriority w:val="99"/>
    <w:rsid w:val="0030720A"/>
    <w:pPr>
      <w:ind w:left="1440"/>
    </w:pPr>
  </w:style>
  <w:style w:type="paragraph" w:styleId="ListContinue4">
    <w:name w:val="List Continue 4"/>
    <w:basedOn w:val="ListContinue3"/>
    <w:uiPriority w:val="99"/>
    <w:rsid w:val="0030720A"/>
    <w:pPr>
      <w:ind w:left="1800"/>
    </w:pPr>
  </w:style>
  <w:style w:type="paragraph" w:styleId="ListContinue5">
    <w:name w:val="List Continue 5"/>
    <w:basedOn w:val="ListContinue4"/>
    <w:uiPriority w:val="99"/>
    <w:rsid w:val="0030720A"/>
    <w:pPr>
      <w:ind w:left="2160"/>
    </w:pPr>
  </w:style>
  <w:style w:type="paragraph" w:styleId="ListNumber2">
    <w:name w:val="List Number 2"/>
    <w:basedOn w:val="Normal"/>
    <w:uiPriority w:val="99"/>
    <w:rsid w:val="0030720A"/>
    <w:pPr>
      <w:numPr>
        <w:ilvl w:val="1"/>
        <w:numId w:val="12"/>
      </w:numPr>
    </w:pPr>
  </w:style>
  <w:style w:type="paragraph" w:styleId="ListNumber3">
    <w:name w:val="List Number 3"/>
    <w:basedOn w:val="Normal"/>
    <w:uiPriority w:val="99"/>
    <w:rsid w:val="0030720A"/>
    <w:pPr>
      <w:numPr>
        <w:ilvl w:val="2"/>
        <w:numId w:val="12"/>
      </w:numPr>
    </w:pPr>
  </w:style>
  <w:style w:type="paragraph" w:styleId="ListNumber4">
    <w:name w:val="List Number 4"/>
    <w:basedOn w:val="Normal"/>
    <w:uiPriority w:val="99"/>
    <w:rsid w:val="0030720A"/>
    <w:pPr>
      <w:numPr>
        <w:ilvl w:val="3"/>
        <w:numId w:val="12"/>
      </w:numPr>
    </w:pPr>
  </w:style>
  <w:style w:type="paragraph" w:styleId="ListNumber5">
    <w:name w:val="List Number 5"/>
    <w:basedOn w:val="Normal"/>
    <w:uiPriority w:val="99"/>
    <w:rsid w:val="0030720A"/>
    <w:pPr>
      <w:numPr>
        <w:ilvl w:val="4"/>
        <w:numId w:val="12"/>
      </w:numPr>
    </w:pPr>
  </w:style>
  <w:style w:type="paragraph" w:customStyle="1" w:styleId="Logo">
    <w:name w:val="Logo"/>
    <w:basedOn w:val="Normal"/>
    <w:next w:val="Normal"/>
    <w:uiPriority w:val="99"/>
    <w:rsid w:val="0030720A"/>
    <w:pPr>
      <w:ind w:left="1987" w:hanging="1987"/>
      <w:jc w:val="center"/>
    </w:pPr>
    <w:rPr>
      <w:rFonts w:ascii="Georgia" w:eastAsia="Times New Roman" w:hAnsi="Georgia"/>
      <w:sz w:val="28"/>
      <w:szCs w:val="20"/>
    </w:rPr>
  </w:style>
  <w:style w:type="paragraph" w:styleId="MessageHeader">
    <w:name w:val="Message Header"/>
    <w:basedOn w:val="Normal"/>
    <w:link w:val="MessageHeaderChar"/>
    <w:uiPriority w:val="99"/>
    <w:semiHidden/>
    <w:unhideWhenUsed/>
    <w:rsid w:val="0030720A"/>
    <w:pPr>
      <w:pBdr>
        <w:top w:val="single" w:sz="6" w:space="1" w:color="auto"/>
        <w:left w:val="single" w:sz="6" w:space="1" w:color="auto"/>
        <w:bottom w:val="single" w:sz="6" w:space="1" w:color="auto"/>
        <w:right w:val="single" w:sz="6" w:space="1" w:color="auto"/>
      </w:pBdr>
      <w:shd w:val="pct20" w:color="auto" w:fill="auto"/>
      <w:ind w:left="1080" w:hanging="1080"/>
    </w:pPr>
    <w:rPr>
      <w:rFonts w:ascii="Georgia" w:eastAsiaTheme="majorEastAsia" w:hAnsi="Georgia" w:cstheme="majorBidi"/>
      <w:szCs w:val="24"/>
    </w:rPr>
  </w:style>
  <w:style w:type="character" w:customStyle="1" w:styleId="MessageHeaderChar">
    <w:name w:val="Message Header Char"/>
    <w:basedOn w:val="DefaultParagraphFont"/>
    <w:link w:val="MessageHeader"/>
    <w:uiPriority w:val="99"/>
    <w:semiHidden/>
    <w:rsid w:val="0030720A"/>
    <w:rPr>
      <w:rFonts w:ascii="Georgia" w:eastAsiaTheme="majorEastAsia" w:hAnsi="Georgia" w:cstheme="majorBidi"/>
      <w:sz w:val="24"/>
      <w:szCs w:val="24"/>
      <w:shd w:val="pct20" w:color="auto" w:fill="auto"/>
    </w:rPr>
  </w:style>
  <w:style w:type="character" w:customStyle="1" w:styleId="ms-rtefontface-5">
    <w:name w:val="ms-rtefontface-5"/>
    <w:basedOn w:val="DefaultParagraphFont"/>
    <w:rsid w:val="0030720A"/>
  </w:style>
  <w:style w:type="paragraph" w:styleId="NormalIndent">
    <w:name w:val="Normal Indent"/>
    <w:basedOn w:val="Normal"/>
    <w:uiPriority w:val="99"/>
    <w:semiHidden/>
    <w:unhideWhenUsed/>
    <w:rsid w:val="0030720A"/>
    <w:pPr>
      <w:ind w:left="720"/>
    </w:pPr>
  </w:style>
  <w:style w:type="paragraph" w:customStyle="1" w:styleId="Note">
    <w:name w:val="Note"/>
    <w:uiPriority w:val="99"/>
    <w:rsid w:val="0030720A"/>
    <w:pPr>
      <w:pBdr>
        <w:top w:val="single" w:sz="6" w:space="1" w:color="auto"/>
        <w:bottom w:val="single" w:sz="6" w:space="1" w:color="auto"/>
      </w:pBdr>
      <w:shd w:val="clear" w:color="auto" w:fill="E0E0E0"/>
      <w:tabs>
        <w:tab w:val="left" w:pos="900"/>
      </w:tabs>
      <w:spacing w:before="120" w:after="120" w:line="264" w:lineRule="auto"/>
      <w:ind w:left="900" w:hanging="720"/>
      <w:contextualSpacing/>
    </w:pPr>
    <w:rPr>
      <w:rFonts w:eastAsia="Calibri" w:cs="Arial"/>
      <w:sz w:val="24"/>
      <w:szCs w:val="24"/>
    </w:rPr>
  </w:style>
  <w:style w:type="paragraph" w:styleId="NoteHeading">
    <w:name w:val="Note Heading"/>
    <w:basedOn w:val="Normal"/>
    <w:next w:val="Normal"/>
    <w:link w:val="NoteHeadingChar"/>
    <w:uiPriority w:val="99"/>
    <w:semiHidden/>
    <w:unhideWhenUsed/>
    <w:rsid w:val="0030720A"/>
    <w:pPr>
      <w:spacing w:before="0" w:after="0"/>
    </w:pPr>
  </w:style>
  <w:style w:type="character" w:customStyle="1" w:styleId="NoteHeadingChar">
    <w:name w:val="Note Heading Char"/>
    <w:basedOn w:val="DefaultParagraphFont"/>
    <w:link w:val="NoteHeading"/>
    <w:uiPriority w:val="99"/>
    <w:semiHidden/>
    <w:rsid w:val="0030720A"/>
    <w:rPr>
      <w:rFonts w:eastAsia="Calibri" w:cs="Times New Roman"/>
      <w:sz w:val="24"/>
    </w:rPr>
  </w:style>
  <w:style w:type="character" w:styleId="PageNumber">
    <w:name w:val="page number"/>
    <w:rsid w:val="0030720A"/>
    <w:rPr>
      <w:rFonts w:cs="Times New Roman"/>
    </w:rPr>
  </w:style>
  <w:style w:type="paragraph" w:customStyle="1" w:styleId="RevisionHIstory">
    <w:name w:val="Revision HIstory"/>
    <w:basedOn w:val="NormalWeb"/>
    <w:next w:val="BodyText"/>
    <w:qFormat/>
    <w:rsid w:val="0030720A"/>
  </w:style>
  <w:style w:type="paragraph" w:customStyle="1" w:styleId="RevisionHistory0">
    <w:name w:val="Revision History"/>
    <w:basedOn w:val="Normal"/>
    <w:next w:val="BodyText"/>
    <w:uiPriority w:val="99"/>
    <w:rsid w:val="0030720A"/>
    <w:pPr>
      <w:keepNext/>
      <w:overflowPunct w:val="0"/>
      <w:autoSpaceDE w:val="0"/>
      <w:autoSpaceDN w:val="0"/>
      <w:adjustRightInd w:val="0"/>
      <w:spacing w:before="360"/>
      <w:textAlignment w:val="baseline"/>
    </w:pPr>
    <w:rPr>
      <w:rFonts w:ascii="Georgia" w:eastAsia="Times New Roman" w:hAnsi="Georgia" w:cs="Arial"/>
      <w:color w:val="1F497D" w:themeColor="text2"/>
      <w:sz w:val="28"/>
      <w:szCs w:val="28"/>
    </w:rPr>
  </w:style>
  <w:style w:type="character" w:customStyle="1" w:styleId="StrongEmphasis">
    <w:name w:val="Strong Emphasis"/>
    <w:uiPriority w:val="1"/>
    <w:rsid w:val="0030720A"/>
    <w:rPr>
      <w:b/>
      <w:u w:val="single"/>
    </w:rPr>
  </w:style>
  <w:style w:type="paragraph" w:styleId="MacroText">
    <w:name w:val="macro"/>
    <w:link w:val="MacroTextChar"/>
    <w:uiPriority w:val="99"/>
    <w:unhideWhenUsed/>
    <w:rsid w:val="0036426A"/>
    <w:pPr>
      <w:tabs>
        <w:tab w:val="left" w:pos="480"/>
        <w:tab w:val="left" w:pos="960"/>
        <w:tab w:val="left" w:pos="1440"/>
        <w:tab w:val="left" w:pos="1920"/>
        <w:tab w:val="left" w:pos="2400"/>
        <w:tab w:val="left" w:pos="2880"/>
        <w:tab w:val="left" w:pos="3360"/>
        <w:tab w:val="left" w:pos="3840"/>
        <w:tab w:val="left" w:pos="4320"/>
      </w:tabs>
      <w:spacing w:before="120" w:after="0" w:line="240" w:lineRule="auto"/>
    </w:pPr>
    <w:rPr>
      <w:rFonts w:ascii="Consolas" w:eastAsia="Calibri" w:hAnsi="Consolas" w:cs="Times New Roman"/>
      <w:sz w:val="20"/>
      <w:szCs w:val="20"/>
    </w:rPr>
  </w:style>
  <w:style w:type="character" w:customStyle="1" w:styleId="MacroTextChar">
    <w:name w:val="Macro Text Char"/>
    <w:basedOn w:val="DefaultParagraphFont"/>
    <w:link w:val="MacroText"/>
    <w:uiPriority w:val="99"/>
    <w:rsid w:val="0036426A"/>
    <w:rPr>
      <w:rFonts w:ascii="Consolas" w:eastAsia="Calibri" w:hAnsi="Consolas" w:cs="Times New Roman"/>
      <w:sz w:val="20"/>
      <w:szCs w:val="20"/>
    </w:rPr>
  </w:style>
  <w:style w:type="paragraph" w:customStyle="1" w:styleId="TableText">
    <w:name w:val="Table Text"/>
    <w:basedOn w:val="Normal"/>
    <w:link w:val="TableTextChar"/>
    <w:uiPriority w:val="99"/>
    <w:qFormat/>
    <w:rsid w:val="00740D6F"/>
    <w:pPr>
      <w:overflowPunct w:val="0"/>
      <w:autoSpaceDE w:val="0"/>
      <w:autoSpaceDN w:val="0"/>
      <w:adjustRightInd w:val="0"/>
      <w:spacing w:before="60" w:after="60"/>
      <w:textAlignment w:val="baseline"/>
    </w:pPr>
    <w:rPr>
      <w:rFonts w:eastAsia="Times New Roman" w:cs="Arial"/>
      <w:color w:val="000000"/>
      <w:szCs w:val="20"/>
    </w:rPr>
  </w:style>
  <w:style w:type="character" w:customStyle="1" w:styleId="TableTextChar">
    <w:name w:val="Table Text Char"/>
    <w:link w:val="TableText"/>
    <w:uiPriority w:val="99"/>
    <w:rsid w:val="00740D6F"/>
    <w:rPr>
      <w:rFonts w:eastAsia="Times New Roman" w:cs="Arial"/>
      <w:color w:val="000000"/>
      <w:sz w:val="24"/>
      <w:szCs w:val="20"/>
    </w:rPr>
  </w:style>
  <w:style w:type="paragraph" w:customStyle="1" w:styleId="TableTextBullet">
    <w:name w:val="Table Text Bullet"/>
    <w:basedOn w:val="TableText"/>
    <w:link w:val="TableTextBulletChar"/>
    <w:rsid w:val="00740D6F"/>
    <w:pPr>
      <w:numPr>
        <w:numId w:val="13"/>
      </w:numPr>
    </w:pPr>
    <w:rPr>
      <w:rFonts w:cs="Times New Roman"/>
      <w:lang w:val="x-none" w:eastAsia="x-none"/>
    </w:rPr>
  </w:style>
  <w:style w:type="character" w:customStyle="1" w:styleId="TableTextBulletChar">
    <w:name w:val="Table Text Bullet Char"/>
    <w:link w:val="TableTextBullet"/>
    <w:rsid w:val="00740D6F"/>
    <w:rPr>
      <w:rFonts w:eastAsia="Times New Roman" w:cs="Times New Roman"/>
      <w:color w:val="000000"/>
      <w:sz w:val="24"/>
      <w:szCs w:val="20"/>
      <w:lang w:val="x-none" w:eastAsia="x-none"/>
    </w:rPr>
  </w:style>
  <w:style w:type="paragraph" w:customStyle="1" w:styleId="TableTextBullet2">
    <w:name w:val="Table Text Bullet 2"/>
    <w:basedOn w:val="TableTextBullet"/>
    <w:link w:val="TableTextBullet2Char"/>
    <w:rsid w:val="00740D6F"/>
    <w:pPr>
      <w:numPr>
        <w:ilvl w:val="1"/>
      </w:numPr>
    </w:pPr>
  </w:style>
  <w:style w:type="character" w:customStyle="1" w:styleId="TableTextBullet2Char">
    <w:name w:val="Table Text Bullet 2 Char"/>
    <w:link w:val="TableTextBullet2"/>
    <w:rsid w:val="00740D6F"/>
    <w:rPr>
      <w:rFonts w:eastAsia="Times New Roman" w:cs="Times New Roman"/>
      <w:color w:val="000000"/>
      <w:sz w:val="24"/>
      <w:szCs w:val="20"/>
      <w:lang w:val="x-none" w:eastAsia="x-none"/>
    </w:rPr>
  </w:style>
  <w:style w:type="paragraph" w:customStyle="1" w:styleId="TableTextCentered">
    <w:name w:val="Table Text Centered"/>
    <w:basedOn w:val="TableText"/>
    <w:rsid w:val="00740D6F"/>
    <w:pPr>
      <w:jc w:val="center"/>
    </w:pPr>
  </w:style>
  <w:style w:type="paragraph" w:customStyle="1" w:styleId="TableTextRight">
    <w:name w:val="Table Text Right"/>
    <w:basedOn w:val="TableText"/>
    <w:link w:val="TableTextRightChar"/>
    <w:rsid w:val="00740D6F"/>
    <w:pPr>
      <w:jc w:val="right"/>
    </w:pPr>
  </w:style>
  <w:style w:type="character" w:customStyle="1" w:styleId="TableTextRightChar">
    <w:name w:val="Table Text Right Char"/>
    <w:basedOn w:val="TableTextChar"/>
    <w:link w:val="TableTextRight"/>
    <w:rsid w:val="00740D6F"/>
    <w:rPr>
      <w:rFonts w:eastAsia="Times New Roman" w:cs="Arial"/>
      <w:color w:val="000000"/>
      <w:sz w:val="24"/>
      <w:szCs w:val="20"/>
    </w:rPr>
  </w:style>
  <w:style w:type="paragraph" w:customStyle="1" w:styleId="TableHeading">
    <w:name w:val="Table Heading"/>
    <w:basedOn w:val="Normal"/>
    <w:uiPriority w:val="99"/>
    <w:qFormat/>
    <w:rsid w:val="00740D6F"/>
    <w:pPr>
      <w:spacing w:before="60" w:after="60"/>
    </w:pPr>
    <w:rPr>
      <w:rFonts w:eastAsia="Times New Roman"/>
      <w:b/>
      <w:szCs w:val="20"/>
    </w:rPr>
  </w:style>
  <w:style w:type="paragraph" w:customStyle="1" w:styleId="TableTextRowHeader">
    <w:name w:val="Table Text Row Header"/>
    <w:basedOn w:val="TableText"/>
    <w:next w:val="TableText"/>
    <w:link w:val="TableTextRowHeaderChar"/>
    <w:rsid w:val="00740D6F"/>
    <w:rPr>
      <w:rFonts w:cs="Times New Roman"/>
      <w:b/>
      <w:lang w:val="x-none" w:eastAsia="x-none"/>
    </w:rPr>
  </w:style>
  <w:style w:type="character" w:customStyle="1" w:styleId="TableTextRowHeaderChar">
    <w:name w:val="Table Text Row Header Char"/>
    <w:link w:val="TableTextRowHeader"/>
    <w:rsid w:val="00740D6F"/>
    <w:rPr>
      <w:rFonts w:eastAsia="Times New Roman" w:cs="Times New Roman"/>
      <w:b/>
      <w:color w:val="000000"/>
      <w:sz w:val="24"/>
      <w:szCs w:val="20"/>
      <w:lang w:val="x-none" w:eastAsia="x-none"/>
    </w:rPr>
  </w:style>
  <w:style w:type="paragraph" w:styleId="TOC4">
    <w:name w:val="toc 4"/>
    <w:basedOn w:val="Normal"/>
    <w:next w:val="Normal"/>
    <w:autoRedefine/>
    <w:uiPriority w:val="39"/>
    <w:unhideWhenUsed/>
    <w:rsid w:val="00CA49A6"/>
    <w:pPr>
      <w:spacing w:after="100"/>
      <w:ind w:left="720"/>
    </w:pPr>
  </w:style>
  <w:style w:type="paragraph" w:styleId="TOC5">
    <w:name w:val="toc 5"/>
    <w:basedOn w:val="Normal"/>
    <w:next w:val="Normal"/>
    <w:autoRedefine/>
    <w:uiPriority w:val="39"/>
    <w:unhideWhenUsed/>
    <w:rsid w:val="00CA49A6"/>
    <w:pPr>
      <w:spacing w:after="100"/>
      <w:ind w:left="960"/>
    </w:pPr>
  </w:style>
  <w:style w:type="table" w:customStyle="1" w:styleId="TableGrid24">
    <w:name w:val="Table Grid24"/>
    <w:basedOn w:val="TableNormal"/>
    <w:next w:val="TableGrid"/>
    <w:uiPriority w:val="5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8">
    <w:name w:val="Light Grid - Accent 128"/>
    <w:basedOn w:val="TableNormal"/>
    <w:uiPriority w:val="62"/>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8">
    <w:name w:val="Light Grid - Accent 68"/>
    <w:basedOn w:val="TableNormal"/>
    <w:next w:val="LightGrid-Accent6"/>
    <w:uiPriority w:val="62"/>
    <w:rsid w:val="0009476F"/>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16">
    <w:name w:val="Table Grid116"/>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4">
    <w:name w:val="Light List - Accent 114"/>
    <w:basedOn w:val="TableNormal"/>
    <w:uiPriority w:val="61"/>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4">
    <w:name w:val="Light Shading - Accent 34"/>
    <w:basedOn w:val="TableNormal"/>
    <w:next w:val="LightShading-Accent3"/>
    <w:uiPriority w:val="60"/>
    <w:rsid w:val="0009476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6">
    <w:name w:val="Table Grid36"/>
    <w:basedOn w:val="TableNormal"/>
    <w:next w:val="TableGrid"/>
    <w:uiPriority w:val="59"/>
    <w:rsid w:val="0009476F"/>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4">
    <w:name w:val="Light Grid - Accent 614"/>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6">
    <w:name w:val="Light Grid - Accent 1216"/>
    <w:basedOn w:val="TableNormal"/>
    <w:uiPriority w:val="62"/>
    <w:rsid w:val="0009476F"/>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7">
    <w:name w:val="Table Grid117"/>
    <w:basedOn w:val="TableNormal"/>
    <w:uiPriority w:val="59"/>
    <w:rsid w:val="0009476F"/>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3">
    <w:name w:val="Light Shading - Accent 313"/>
    <w:basedOn w:val="TableNormal"/>
    <w:next w:val="LightShading-Accent3"/>
    <w:uiPriority w:val="60"/>
    <w:semiHidden/>
    <w:unhideWhenUsed/>
    <w:rsid w:val="0009476F"/>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3">
    <w:name w:val="Light Grid - Accent 6113"/>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3">
    <w:name w:val="Light Grid - Accent 12113"/>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3">
    <w:name w:val="Table Grid111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3">
    <w:name w:val="Light List - Accent 1113"/>
    <w:basedOn w:val="TableNormal"/>
    <w:uiPriority w:val="61"/>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3">
    <w:name w:val="Table Grid43"/>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3">
    <w:name w:val="Light Grid - Accent 1223"/>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3">
    <w:name w:val="Light Grid - Accent 623"/>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3">
    <w:name w:val="Table Grid123"/>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3">
    <w:name w:val="Light Grid - Accent 12123"/>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3">
    <w:name w:val="Table Grid112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3">
    <w:name w:val="Light Grid - Accent 1233"/>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3">
    <w:name w:val="Light Grid - Accent 633"/>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3">
    <w:name w:val="Table Grid133"/>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3">
    <w:name w:val="Light Grid - Accent 12133"/>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3">
    <w:name w:val="Table Grid113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41">
    <w:name w:val="Light Grid - Accent 1241"/>
    <w:basedOn w:val="TableNormal"/>
    <w:uiPriority w:val="62"/>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41">
    <w:name w:val="Light Grid - Accent 641"/>
    <w:basedOn w:val="TableNormal"/>
    <w:next w:val="LightGrid-Accent6"/>
    <w:uiPriority w:val="62"/>
    <w:rsid w:val="0009476F"/>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41">
    <w:name w:val="Table Grid141"/>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1">
    <w:name w:val="Light List - Accent 1121"/>
    <w:basedOn w:val="TableNormal"/>
    <w:uiPriority w:val="61"/>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21">
    <w:name w:val="Light Shading - Accent 321"/>
    <w:basedOn w:val="TableNormal"/>
    <w:next w:val="LightShading-Accent3"/>
    <w:uiPriority w:val="60"/>
    <w:rsid w:val="0009476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43">
    <w:name w:val="Table Grid343"/>
    <w:basedOn w:val="TableNormal"/>
    <w:next w:val="TableGrid"/>
    <w:uiPriority w:val="59"/>
    <w:rsid w:val="0009476F"/>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21">
    <w:name w:val="Light Grid - Accent 6121"/>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43">
    <w:name w:val="Light Grid - Accent 12143"/>
    <w:basedOn w:val="TableNormal"/>
    <w:uiPriority w:val="62"/>
    <w:rsid w:val="0009476F"/>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3">
    <w:name w:val="Table Grid1143"/>
    <w:basedOn w:val="TableNormal"/>
    <w:uiPriority w:val="59"/>
    <w:rsid w:val="0009476F"/>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11">
    <w:name w:val="Light Shading - Accent 3111"/>
    <w:basedOn w:val="TableNormal"/>
    <w:next w:val="LightShading-Accent3"/>
    <w:uiPriority w:val="60"/>
    <w:semiHidden/>
    <w:unhideWhenUsed/>
    <w:rsid w:val="0009476F"/>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11">
    <w:name w:val="Light Grid - Accent 61111"/>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11">
    <w:name w:val="Light Grid - Accent 1211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11">
    <w:name w:val="Table Grid111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11">
    <w:name w:val="Light List - Accent 11111"/>
    <w:basedOn w:val="TableNormal"/>
    <w:uiPriority w:val="61"/>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11">
    <w:name w:val="Table Grid411"/>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11">
    <w:name w:val="Light Grid - Accent 12211"/>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11">
    <w:name w:val="Light Grid - Accent 6211"/>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11">
    <w:name w:val="Table Grid1211"/>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11">
    <w:name w:val="Light Grid - Accent 1212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11">
    <w:name w:val="Table Grid112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11">
    <w:name w:val="Light Grid - Accent 12311"/>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11">
    <w:name w:val="Light Grid - Accent 6311"/>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11">
    <w:name w:val="Table Grid1311"/>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11">
    <w:name w:val="Light Grid - Accent 1213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11">
    <w:name w:val="Table Grid113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51">
    <w:name w:val="Light Grid - Accent 1251"/>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51">
    <w:name w:val="Light Grid - Accent 651"/>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51">
    <w:name w:val="Table Grid151"/>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11">
    <w:name w:val="Light Grid - Accent 1214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11">
    <w:name w:val="Table Grid114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39"/>
    <w:rsid w:val="0009476F"/>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21">
    <w:name w:val="Light Grid - Accent 12142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21">
    <w:name w:val="Table Grid1142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9476F"/>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09476F"/>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DF512C"/>
    <w:pPr>
      <w:spacing w:before="0" w:after="100" w:line="259" w:lineRule="auto"/>
      <w:ind w:left="1100"/>
    </w:pPr>
    <w:rPr>
      <w:rFonts w:eastAsiaTheme="minorEastAsia" w:cstheme="minorBidi"/>
      <w:sz w:val="22"/>
    </w:rPr>
  </w:style>
  <w:style w:type="paragraph" w:styleId="TOC7">
    <w:name w:val="toc 7"/>
    <w:basedOn w:val="Normal"/>
    <w:next w:val="Normal"/>
    <w:autoRedefine/>
    <w:uiPriority w:val="39"/>
    <w:unhideWhenUsed/>
    <w:rsid w:val="00DF512C"/>
    <w:pPr>
      <w:spacing w:before="0" w:after="100" w:line="259" w:lineRule="auto"/>
      <w:ind w:left="1320"/>
    </w:pPr>
    <w:rPr>
      <w:rFonts w:eastAsiaTheme="minorEastAsia" w:cstheme="minorBidi"/>
      <w:sz w:val="22"/>
    </w:rPr>
  </w:style>
  <w:style w:type="paragraph" w:styleId="TOC8">
    <w:name w:val="toc 8"/>
    <w:basedOn w:val="Normal"/>
    <w:next w:val="Normal"/>
    <w:autoRedefine/>
    <w:uiPriority w:val="39"/>
    <w:unhideWhenUsed/>
    <w:rsid w:val="00DF512C"/>
    <w:pPr>
      <w:spacing w:before="0" w:after="100" w:line="259" w:lineRule="auto"/>
      <w:ind w:left="1540"/>
    </w:pPr>
    <w:rPr>
      <w:rFonts w:eastAsiaTheme="minorEastAsia" w:cstheme="minorBidi"/>
      <w:sz w:val="22"/>
    </w:rPr>
  </w:style>
  <w:style w:type="paragraph" w:styleId="TOC9">
    <w:name w:val="toc 9"/>
    <w:basedOn w:val="Normal"/>
    <w:next w:val="Normal"/>
    <w:autoRedefine/>
    <w:uiPriority w:val="39"/>
    <w:unhideWhenUsed/>
    <w:rsid w:val="00DF512C"/>
    <w:pPr>
      <w:spacing w:before="0" w:after="100" w:line="259" w:lineRule="auto"/>
      <w:ind w:left="1760"/>
    </w:pPr>
    <w:rPr>
      <w:rFonts w:eastAsiaTheme="minorEastAsia" w:cstheme="minorBidi"/>
      <w:sz w:val="22"/>
    </w:rPr>
  </w:style>
  <w:style w:type="paragraph" w:customStyle="1" w:styleId="intro-paragraph">
    <w:name w:val="intro-paragraph"/>
    <w:basedOn w:val="Normal"/>
    <w:rsid w:val="00CF3F74"/>
    <w:pPr>
      <w:spacing w:before="100" w:beforeAutospacing="1" w:after="100" w:afterAutospacing="1"/>
    </w:pPr>
    <w:rPr>
      <w:rFonts w:ascii="Times New Roman" w:eastAsia="Times New Roman" w:hAnsi="Times New Roman"/>
      <w:szCs w:val="24"/>
    </w:rPr>
  </w:style>
  <w:style w:type="numbering" w:customStyle="1" w:styleId="NoList1">
    <w:name w:val="No List1"/>
    <w:next w:val="NoList"/>
    <w:uiPriority w:val="99"/>
    <w:semiHidden/>
    <w:unhideWhenUsed/>
    <w:rsid w:val="009175A4"/>
  </w:style>
  <w:style w:type="table" w:customStyle="1" w:styleId="LightGrid-Accent129">
    <w:name w:val="Light Grid - Accent 129"/>
    <w:basedOn w:val="TableNormal"/>
    <w:uiPriority w:val="62"/>
    <w:rsid w:val="006A7C40"/>
    <w:pPr>
      <w:spacing w:after="0" w:line="240" w:lineRule="auto"/>
    </w:pPr>
    <w:rPr>
      <w:rFonts w:ascii="Times New Roman" w:hAnsi="Times New Roman" w:cs="Times New Roman"/>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6122">
    <w:name w:val="Light Grid - Accent 6122"/>
    <w:basedOn w:val="TableNormal"/>
    <w:next w:val="LightGrid-Accent6"/>
    <w:uiPriority w:val="62"/>
    <w:semiHidden/>
    <w:unhideWhenUsed/>
    <w:rsid w:val="00330772"/>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44">
    <w:name w:val="Light Grid - Accent 12144"/>
    <w:basedOn w:val="TableNormal"/>
    <w:uiPriority w:val="62"/>
    <w:rsid w:val="00330772"/>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2">
    <w:name w:val="Light Grid - Accent 61112"/>
    <w:basedOn w:val="TableNormal"/>
    <w:next w:val="LightGrid-Accent6"/>
    <w:uiPriority w:val="62"/>
    <w:semiHidden/>
    <w:unhideWhenUsed/>
    <w:rsid w:val="00330772"/>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112">
    <w:name w:val="Light Grid - Accent 121112"/>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212">
    <w:name w:val="Light Grid - Accent 121212"/>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312">
    <w:name w:val="Light Grid - Accent 121312"/>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31">
    <w:name w:val="Light Grid - Accent 6131"/>
    <w:basedOn w:val="TableNormal"/>
    <w:next w:val="LightGrid-Accent6"/>
    <w:uiPriority w:val="62"/>
    <w:semiHidden/>
    <w:unhideWhenUsed/>
    <w:rsid w:val="00330772"/>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51">
    <w:name w:val="Light Grid - Accent 12151"/>
    <w:basedOn w:val="TableNormal"/>
    <w:uiPriority w:val="62"/>
    <w:rsid w:val="00330772"/>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21">
    <w:name w:val="Light Grid - Accent 61121"/>
    <w:basedOn w:val="TableNormal"/>
    <w:next w:val="LightGrid-Accent6"/>
    <w:uiPriority w:val="62"/>
    <w:semiHidden/>
    <w:unhideWhenUsed/>
    <w:rsid w:val="00330772"/>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121">
    <w:name w:val="Light Grid - Accent 121121"/>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221">
    <w:name w:val="Light Grid - Accent 121221"/>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321">
    <w:name w:val="Light Grid - Accent 121321"/>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211">
    <w:name w:val="Light Grid - Accent 61211"/>
    <w:basedOn w:val="TableNormal"/>
    <w:next w:val="LightGrid-Accent6"/>
    <w:uiPriority w:val="62"/>
    <w:semiHidden/>
    <w:unhideWhenUsed/>
    <w:rsid w:val="00330772"/>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431">
    <w:name w:val="Light Grid - Accent 121431"/>
    <w:basedOn w:val="TableNormal"/>
    <w:uiPriority w:val="62"/>
    <w:rsid w:val="00330772"/>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11">
    <w:name w:val="Light Grid - Accent 611111"/>
    <w:basedOn w:val="TableNormal"/>
    <w:next w:val="LightGrid-Accent6"/>
    <w:uiPriority w:val="62"/>
    <w:semiHidden/>
    <w:unhideWhenUsed/>
    <w:rsid w:val="00330772"/>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1111">
    <w:name w:val="Light Grid - Accent 1211111"/>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2111">
    <w:name w:val="Light Grid - Accent 1212111"/>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3111">
    <w:name w:val="Light Grid - Accent 1213111"/>
    <w:basedOn w:val="TableNormal"/>
    <w:uiPriority w:val="62"/>
    <w:rsid w:val="00330772"/>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Univers 45 Light" w:eastAsia="Times New Roman" w:hAnsi="Univers 45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Univers 45 Light" w:eastAsia="Times New Roman" w:hAnsi="Univers 45 Light" w:cs="Times New Roman" w:hint="default"/>
        <w:b/>
        <w:bCs/>
      </w:rPr>
    </w:tblStylePr>
    <w:tblStylePr w:type="lastCol">
      <w:rPr>
        <w:rFonts w:ascii="Univers 45 Light" w:eastAsia="Times New Roman" w:hAnsi="Univers 45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ui-provider">
    <w:name w:val="ui-provider"/>
    <w:basedOn w:val="DefaultParagraphFont"/>
    <w:rsid w:val="00330772"/>
  </w:style>
  <w:style w:type="character" w:customStyle="1" w:styleId="anchor-text">
    <w:name w:val="anchor-text"/>
    <w:basedOn w:val="DefaultParagraphFont"/>
    <w:rsid w:val="00330772"/>
  </w:style>
  <w:style w:type="character" w:styleId="LineNumber">
    <w:name w:val="line number"/>
    <w:basedOn w:val="DefaultParagraphFont"/>
    <w:uiPriority w:val="99"/>
    <w:semiHidden/>
    <w:unhideWhenUsed/>
    <w:rsid w:val="003307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053027">
      <w:bodyDiv w:val="1"/>
      <w:marLeft w:val="0"/>
      <w:marRight w:val="0"/>
      <w:marTop w:val="0"/>
      <w:marBottom w:val="0"/>
      <w:divBdr>
        <w:top w:val="none" w:sz="0" w:space="0" w:color="auto"/>
        <w:left w:val="none" w:sz="0" w:space="0" w:color="auto"/>
        <w:bottom w:val="none" w:sz="0" w:space="0" w:color="auto"/>
        <w:right w:val="none" w:sz="0" w:space="0" w:color="auto"/>
      </w:divBdr>
    </w:div>
    <w:div w:id="124474009">
      <w:bodyDiv w:val="1"/>
      <w:marLeft w:val="0"/>
      <w:marRight w:val="0"/>
      <w:marTop w:val="0"/>
      <w:marBottom w:val="0"/>
      <w:divBdr>
        <w:top w:val="none" w:sz="0" w:space="0" w:color="auto"/>
        <w:left w:val="none" w:sz="0" w:space="0" w:color="auto"/>
        <w:bottom w:val="none" w:sz="0" w:space="0" w:color="auto"/>
        <w:right w:val="none" w:sz="0" w:space="0" w:color="auto"/>
      </w:divBdr>
    </w:div>
    <w:div w:id="127171296">
      <w:bodyDiv w:val="1"/>
      <w:marLeft w:val="0"/>
      <w:marRight w:val="0"/>
      <w:marTop w:val="0"/>
      <w:marBottom w:val="0"/>
      <w:divBdr>
        <w:top w:val="none" w:sz="0" w:space="0" w:color="auto"/>
        <w:left w:val="none" w:sz="0" w:space="0" w:color="auto"/>
        <w:bottom w:val="none" w:sz="0" w:space="0" w:color="auto"/>
        <w:right w:val="none" w:sz="0" w:space="0" w:color="auto"/>
      </w:divBdr>
    </w:div>
    <w:div w:id="148598471">
      <w:bodyDiv w:val="1"/>
      <w:marLeft w:val="0"/>
      <w:marRight w:val="0"/>
      <w:marTop w:val="0"/>
      <w:marBottom w:val="0"/>
      <w:divBdr>
        <w:top w:val="none" w:sz="0" w:space="0" w:color="auto"/>
        <w:left w:val="none" w:sz="0" w:space="0" w:color="auto"/>
        <w:bottom w:val="none" w:sz="0" w:space="0" w:color="auto"/>
        <w:right w:val="none" w:sz="0" w:space="0" w:color="auto"/>
      </w:divBdr>
    </w:div>
    <w:div w:id="219219950">
      <w:bodyDiv w:val="1"/>
      <w:marLeft w:val="0"/>
      <w:marRight w:val="0"/>
      <w:marTop w:val="0"/>
      <w:marBottom w:val="0"/>
      <w:divBdr>
        <w:top w:val="none" w:sz="0" w:space="0" w:color="auto"/>
        <w:left w:val="none" w:sz="0" w:space="0" w:color="auto"/>
        <w:bottom w:val="none" w:sz="0" w:space="0" w:color="auto"/>
        <w:right w:val="none" w:sz="0" w:space="0" w:color="auto"/>
      </w:divBdr>
    </w:div>
    <w:div w:id="255476954">
      <w:bodyDiv w:val="1"/>
      <w:marLeft w:val="0"/>
      <w:marRight w:val="0"/>
      <w:marTop w:val="0"/>
      <w:marBottom w:val="0"/>
      <w:divBdr>
        <w:top w:val="none" w:sz="0" w:space="0" w:color="auto"/>
        <w:left w:val="none" w:sz="0" w:space="0" w:color="auto"/>
        <w:bottom w:val="none" w:sz="0" w:space="0" w:color="auto"/>
        <w:right w:val="none" w:sz="0" w:space="0" w:color="auto"/>
      </w:divBdr>
    </w:div>
    <w:div w:id="307590265">
      <w:bodyDiv w:val="1"/>
      <w:marLeft w:val="0"/>
      <w:marRight w:val="0"/>
      <w:marTop w:val="0"/>
      <w:marBottom w:val="0"/>
      <w:divBdr>
        <w:top w:val="none" w:sz="0" w:space="0" w:color="auto"/>
        <w:left w:val="none" w:sz="0" w:space="0" w:color="auto"/>
        <w:bottom w:val="none" w:sz="0" w:space="0" w:color="auto"/>
        <w:right w:val="none" w:sz="0" w:space="0" w:color="auto"/>
      </w:divBdr>
    </w:div>
    <w:div w:id="313729475">
      <w:bodyDiv w:val="1"/>
      <w:marLeft w:val="0"/>
      <w:marRight w:val="0"/>
      <w:marTop w:val="0"/>
      <w:marBottom w:val="0"/>
      <w:divBdr>
        <w:top w:val="none" w:sz="0" w:space="0" w:color="auto"/>
        <w:left w:val="none" w:sz="0" w:space="0" w:color="auto"/>
        <w:bottom w:val="none" w:sz="0" w:space="0" w:color="auto"/>
        <w:right w:val="none" w:sz="0" w:space="0" w:color="auto"/>
      </w:divBdr>
    </w:div>
    <w:div w:id="449975186">
      <w:bodyDiv w:val="1"/>
      <w:marLeft w:val="0"/>
      <w:marRight w:val="0"/>
      <w:marTop w:val="0"/>
      <w:marBottom w:val="0"/>
      <w:divBdr>
        <w:top w:val="none" w:sz="0" w:space="0" w:color="auto"/>
        <w:left w:val="none" w:sz="0" w:space="0" w:color="auto"/>
        <w:bottom w:val="none" w:sz="0" w:space="0" w:color="auto"/>
        <w:right w:val="none" w:sz="0" w:space="0" w:color="auto"/>
      </w:divBdr>
    </w:div>
    <w:div w:id="481583817">
      <w:bodyDiv w:val="1"/>
      <w:marLeft w:val="0"/>
      <w:marRight w:val="0"/>
      <w:marTop w:val="0"/>
      <w:marBottom w:val="0"/>
      <w:divBdr>
        <w:top w:val="none" w:sz="0" w:space="0" w:color="auto"/>
        <w:left w:val="none" w:sz="0" w:space="0" w:color="auto"/>
        <w:bottom w:val="none" w:sz="0" w:space="0" w:color="auto"/>
        <w:right w:val="none" w:sz="0" w:space="0" w:color="auto"/>
      </w:divBdr>
    </w:div>
    <w:div w:id="488206739">
      <w:bodyDiv w:val="1"/>
      <w:marLeft w:val="0"/>
      <w:marRight w:val="0"/>
      <w:marTop w:val="0"/>
      <w:marBottom w:val="0"/>
      <w:divBdr>
        <w:top w:val="none" w:sz="0" w:space="0" w:color="auto"/>
        <w:left w:val="none" w:sz="0" w:space="0" w:color="auto"/>
        <w:bottom w:val="none" w:sz="0" w:space="0" w:color="auto"/>
        <w:right w:val="none" w:sz="0" w:space="0" w:color="auto"/>
      </w:divBdr>
    </w:div>
    <w:div w:id="537859891">
      <w:bodyDiv w:val="1"/>
      <w:marLeft w:val="0"/>
      <w:marRight w:val="0"/>
      <w:marTop w:val="0"/>
      <w:marBottom w:val="0"/>
      <w:divBdr>
        <w:top w:val="none" w:sz="0" w:space="0" w:color="auto"/>
        <w:left w:val="none" w:sz="0" w:space="0" w:color="auto"/>
        <w:bottom w:val="none" w:sz="0" w:space="0" w:color="auto"/>
        <w:right w:val="none" w:sz="0" w:space="0" w:color="auto"/>
      </w:divBdr>
    </w:div>
    <w:div w:id="556281901">
      <w:bodyDiv w:val="1"/>
      <w:marLeft w:val="0"/>
      <w:marRight w:val="0"/>
      <w:marTop w:val="0"/>
      <w:marBottom w:val="0"/>
      <w:divBdr>
        <w:top w:val="none" w:sz="0" w:space="0" w:color="auto"/>
        <w:left w:val="none" w:sz="0" w:space="0" w:color="auto"/>
        <w:bottom w:val="none" w:sz="0" w:space="0" w:color="auto"/>
        <w:right w:val="none" w:sz="0" w:space="0" w:color="auto"/>
      </w:divBdr>
    </w:div>
    <w:div w:id="559246496">
      <w:bodyDiv w:val="1"/>
      <w:marLeft w:val="0"/>
      <w:marRight w:val="0"/>
      <w:marTop w:val="0"/>
      <w:marBottom w:val="0"/>
      <w:divBdr>
        <w:top w:val="none" w:sz="0" w:space="0" w:color="auto"/>
        <w:left w:val="none" w:sz="0" w:space="0" w:color="auto"/>
        <w:bottom w:val="none" w:sz="0" w:space="0" w:color="auto"/>
        <w:right w:val="none" w:sz="0" w:space="0" w:color="auto"/>
      </w:divBdr>
    </w:div>
    <w:div w:id="580142760">
      <w:bodyDiv w:val="1"/>
      <w:marLeft w:val="0"/>
      <w:marRight w:val="0"/>
      <w:marTop w:val="0"/>
      <w:marBottom w:val="0"/>
      <w:divBdr>
        <w:top w:val="none" w:sz="0" w:space="0" w:color="auto"/>
        <w:left w:val="none" w:sz="0" w:space="0" w:color="auto"/>
        <w:bottom w:val="none" w:sz="0" w:space="0" w:color="auto"/>
        <w:right w:val="none" w:sz="0" w:space="0" w:color="auto"/>
      </w:divBdr>
    </w:div>
    <w:div w:id="721830271">
      <w:bodyDiv w:val="1"/>
      <w:marLeft w:val="0"/>
      <w:marRight w:val="0"/>
      <w:marTop w:val="0"/>
      <w:marBottom w:val="0"/>
      <w:divBdr>
        <w:top w:val="none" w:sz="0" w:space="0" w:color="auto"/>
        <w:left w:val="none" w:sz="0" w:space="0" w:color="auto"/>
        <w:bottom w:val="none" w:sz="0" w:space="0" w:color="auto"/>
        <w:right w:val="none" w:sz="0" w:space="0" w:color="auto"/>
      </w:divBdr>
    </w:div>
    <w:div w:id="727462986">
      <w:bodyDiv w:val="1"/>
      <w:marLeft w:val="0"/>
      <w:marRight w:val="0"/>
      <w:marTop w:val="0"/>
      <w:marBottom w:val="0"/>
      <w:divBdr>
        <w:top w:val="none" w:sz="0" w:space="0" w:color="auto"/>
        <w:left w:val="none" w:sz="0" w:space="0" w:color="auto"/>
        <w:bottom w:val="none" w:sz="0" w:space="0" w:color="auto"/>
        <w:right w:val="none" w:sz="0" w:space="0" w:color="auto"/>
      </w:divBdr>
    </w:div>
    <w:div w:id="744956734">
      <w:bodyDiv w:val="1"/>
      <w:marLeft w:val="0"/>
      <w:marRight w:val="0"/>
      <w:marTop w:val="0"/>
      <w:marBottom w:val="0"/>
      <w:divBdr>
        <w:top w:val="none" w:sz="0" w:space="0" w:color="auto"/>
        <w:left w:val="none" w:sz="0" w:space="0" w:color="auto"/>
        <w:bottom w:val="none" w:sz="0" w:space="0" w:color="auto"/>
        <w:right w:val="none" w:sz="0" w:space="0" w:color="auto"/>
      </w:divBdr>
    </w:div>
    <w:div w:id="751009549">
      <w:bodyDiv w:val="1"/>
      <w:marLeft w:val="0"/>
      <w:marRight w:val="0"/>
      <w:marTop w:val="0"/>
      <w:marBottom w:val="0"/>
      <w:divBdr>
        <w:top w:val="none" w:sz="0" w:space="0" w:color="auto"/>
        <w:left w:val="none" w:sz="0" w:space="0" w:color="auto"/>
        <w:bottom w:val="none" w:sz="0" w:space="0" w:color="auto"/>
        <w:right w:val="none" w:sz="0" w:space="0" w:color="auto"/>
      </w:divBdr>
    </w:div>
    <w:div w:id="763766499">
      <w:bodyDiv w:val="1"/>
      <w:marLeft w:val="0"/>
      <w:marRight w:val="0"/>
      <w:marTop w:val="0"/>
      <w:marBottom w:val="0"/>
      <w:divBdr>
        <w:top w:val="none" w:sz="0" w:space="0" w:color="auto"/>
        <w:left w:val="none" w:sz="0" w:space="0" w:color="auto"/>
        <w:bottom w:val="none" w:sz="0" w:space="0" w:color="auto"/>
        <w:right w:val="none" w:sz="0" w:space="0" w:color="auto"/>
      </w:divBdr>
      <w:divsChild>
        <w:div w:id="113062723">
          <w:marLeft w:val="0"/>
          <w:marRight w:val="0"/>
          <w:marTop w:val="0"/>
          <w:marBottom w:val="0"/>
          <w:divBdr>
            <w:top w:val="none" w:sz="0" w:space="0" w:color="auto"/>
            <w:left w:val="none" w:sz="0" w:space="0" w:color="auto"/>
            <w:bottom w:val="none" w:sz="0" w:space="0" w:color="auto"/>
            <w:right w:val="none" w:sz="0" w:space="0" w:color="auto"/>
          </w:divBdr>
        </w:div>
      </w:divsChild>
    </w:div>
    <w:div w:id="794906729">
      <w:bodyDiv w:val="1"/>
      <w:marLeft w:val="0"/>
      <w:marRight w:val="0"/>
      <w:marTop w:val="0"/>
      <w:marBottom w:val="0"/>
      <w:divBdr>
        <w:top w:val="none" w:sz="0" w:space="0" w:color="auto"/>
        <w:left w:val="none" w:sz="0" w:space="0" w:color="auto"/>
        <w:bottom w:val="none" w:sz="0" w:space="0" w:color="auto"/>
        <w:right w:val="none" w:sz="0" w:space="0" w:color="auto"/>
      </w:divBdr>
    </w:div>
    <w:div w:id="816411987">
      <w:bodyDiv w:val="1"/>
      <w:marLeft w:val="0"/>
      <w:marRight w:val="0"/>
      <w:marTop w:val="0"/>
      <w:marBottom w:val="0"/>
      <w:divBdr>
        <w:top w:val="none" w:sz="0" w:space="0" w:color="auto"/>
        <w:left w:val="none" w:sz="0" w:space="0" w:color="auto"/>
        <w:bottom w:val="none" w:sz="0" w:space="0" w:color="auto"/>
        <w:right w:val="none" w:sz="0" w:space="0" w:color="auto"/>
      </w:divBdr>
    </w:div>
    <w:div w:id="912739462">
      <w:bodyDiv w:val="1"/>
      <w:marLeft w:val="0"/>
      <w:marRight w:val="0"/>
      <w:marTop w:val="0"/>
      <w:marBottom w:val="0"/>
      <w:divBdr>
        <w:top w:val="none" w:sz="0" w:space="0" w:color="auto"/>
        <w:left w:val="none" w:sz="0" w:space="0" w:color="auto"/>
        <w:bottom w:val="none" w:sz="0" w:space="0" w:color="auto"/>
        <w:right w:val="none" w:sz="0" w:space="0" w:color="auto"/>
      </w:divBdr>
    </w:div>
    <w:div w:id="924608360">
      <w:bodyDiv w:val="1"/>
      <w:marLeft w:val="0"/>
      <w:marRight w:val="0"/>
      <w:marTop w:val="0"/>
      <w:marBottom w:val="0"/>
      <w:divBdr>
        <w:top w:val="none" w:sz="0" w:space="0" w:color="auto"/>
        <w:left w:val="none" w:sz="0" w:space="0" w:color="auto"/>
        <w:bottom w:val="none" w:sz="0" w:space="0" w:color="auto"/>
        <w:right w:val="none" w:sz="0" w:space="0" w:color="auto"/>
      </w:divBdr>
    </w:div>
    <w:div w:id="1036079205">
      <w:bodyDiv w:val="1"/>
      <w:marLeft w:val="0"/>
      <w:marRight w:val="0"/>
      <w:marTop w:val="0"/>
      <w:marBottom w:val="0"/>
      <w:divBdr>
        <w:top w:val="none" w:sz="0" w:space="0" w:color="auto"/>
        <w:left w:val="none" w:sz="0" w:space="0" w:color="auto"/>
        <w:bottom w:val="none" w:sz="0" w:space="0" w:color="auto"/>
        <w:right w:val="none" w:sz="0" w:space="0" w:color="auto"/>
      </w:divBdr>
    </w:div>
    <w:div w:id="1045105938">
      <w:bodyDiv w:val="1"/>
      <w:marLeft w:val="0"/>
      <w:marRight w:val="0"/>
      <w:marTop w:val="0"/>
      <w:marBottom w:val="0"/>
      <w:divBdr>
        <w:top w:val="none" w:sz="0" w:space="0" w:color="auto"/>
        <w:left w:val="none" w:sz="0" w:space="0" w:color="auto"/>
        <w:bottom w:val="none" w:sz="0" w:space="0" w:color="auto"/>
        <w:right w:val="none" w:sz="0" w:space="0" w:color="auto"/>
      </w:divBdr>
    </w:div>
    <w:div w:id="1075980873">
      <w:bodyDiv w:val="1"/>
      <w:marLeft w:val="0"/>
      <w:marRight w:val="0"/>
      <w:marTop w:val="0"/>
      <w:marBottom w:val="0"/>
      <w:divBdr>
        <w:top w:val="none" w:sz="0" w:space="0" w:color="auto"/>
        <w:left w:val="none" w:sz="0" w:space="0" w:color="auto"/>
        <w:bottom w:val="none" w:sz="0" w:space="0" w:color="auto"/>
        <w:right w:val="none" w:sz="0" w:space="0" w:color="auto"/>
      </w:divBdr>
    </w:div>
    <w:div w:id="1077556293">
      <w:bodyDiv w:val="1"/>
      <w:marLeft w:val="0"/>
      <w:marRight w:val="0"/>
      <w:marTop w:val="0"/>
      <w:marBottom w:val="0"/>
      <w:divBdr>
        <w:top w:val="none" w:sz="0" w:space="0" w:color="auto"/>
        <w:left w:val="none" w:sz="0" w:space="0" w:color="auto"/>
        <w:bottom w:val="none" w:sz="0" w:space="0" w:color="auto"/>
        <w:right w:val="none" w:sz="0" w:space="0" w:color="auto"/>
      </w:divBdr>
    </w:div>
    <w:div w:id="1092360481">
      <w:bodyDiv w:val="1"/>
      <w:marLeft w:val="0"/>
      <w:marRight w:val="0"/>
      <w:marTop w:val="0"/>
      <w:marBottom w:val="0"/>
      <w:divBdr>
        <w:top w:val="none" w:sz="0" w:space="0" w:color="auto"/>
        <w:left w:val="none" w:sz="0" w:space="0" w:color="auto"/>
        <w:bottom w:val="none" w:sz="0" w:space="0" w:color="auto"/>
        <w:right w:val="none" w:sz="0" w:space="0" w:color="auto"/>
      </w:divBdr>
    </w:div>
    <w:div w:id="1120491450">
      <w:bodyDiv w:val="1"/>
      <w:marLeft w:val="0"/>
      <w:marRight w:val="0"/>
      <w:marTop w:val="0"/>
      <w:marBottom w:val="0"/>
      <w:divBdr>
        <w:top w:val="none" w:sz="0" w:space="0" w:color="auto"/>
        <w:left w:val="none" w:sz="0" w:space="0" w:color="auto"/>
        <w:bottom w:val="none" w:sz="0" w:space="0" w:color="auto"/>
        <w:right w:val="none" w:sz="0" w:space="0" w:color="auto"/>
      </w:divBdr>
    </w:div>
    <w:div w:id="1195190291">
      <w:bodyDiv w:val="1"/>
      <w:marLeft w:val="0"/>
      <w:marRight w:val="0"/>
      <w:marTop w:val="0"/>
      <w:marBottom w:val="0"/>
      <w:divBdr>
        <w:top w:val="none" w:sz="0" w:space="0" w:color="auto"/>
        <w:left w:val="none" w:sz="0" w:space="0" w:color="auto"/>
        <w:bottom w:val="none" w:sz="0" w:space="0" w:color="auto"/>
        <w:right w:val="none" w:sz="0" w:space="0" w:color="auto"/>
      </w:divBdr>
    </w:div>
    <w:div w:id="1210264486">
      <w:bodyDiv w:val="1"/>
      <w:marLeft w:val="0"/>
      <w:marRight w:val="0"/>
      <w:marTop w:val="0"/>
      <w:marBottom w:val="0"/>
      <w:divBdr>
        <w:top w:val="none" w:sz="0" w:space="0" w:color="auto"/>
        <w:left w:val="none" w:sz="0" w:space="0" w:color="auto"/>
        <w:bottom w:val="none" w:sz="0" w:space="0" w:color="auto"/>
        <w:right w:val="none" w:sz="0" w:space="0" w:color="auto"/>
      </w:divBdr>
    </w:div>
    <w:div w:id="1221092575">
      <w:bodyDiv w:val="1"/>
      <w:marLeft w:val="0"/>
      <w:marRight w:val="0"/>
      <w:marTop w:val="0"/>
      <w:marBottom w:val="0"/>
      <w:divBdr>
        <w:top w:val="none" w:sz="0" w:space="0" w:color="auto"/>
        <w:left w:val="none" w:sz="0" w:space="0" w:color="auto"/>
        <w:bottom w:val="none" w:sz="0" w:space="0" w:color="auto"/>
        <w:right w:val="none" w:sz="0" w:space="0" w:color="auto"/>
      </w:divBdr>
    </w:div>
    <w:div w:id="1231770047">
      <w:bodyDiv w:val="1"/>
      <w:marLeft w:val="0"/>
      <w:marRight w:val="0"/>
      <w:marTop w:val="0"/>
      <w:marBottom w:val="0"/>
      <w:divBdr>
        <w:top w:val="none" w:sz="0" w:space="0" w:color="auto"/>
        <w:left w:val="none" w:sz="0" w:space="0" w:color="auto"/>
        <w:bottom w:val="none" w:sz="0" w:space="0" w:color="auto"/>
        <w:right w:val="none" w:sz="0" w:space="0" w:color="auto"/>
      </w:divBdr>
    </w:div>
    <w:div w:id="1287927509">
      <w:bodyDiv w:val="1"/>
      <w:marLeft w:val="0"/>
      <w:marRight w:val="0"/>
      <w:marTop w:val="0"/>
      <w:marBottom w:val="0"/>
      <w:divBdr>
        <w:top w:val="none" w:sz="0" w:space="0" w:color="auto"/>
        <w:left w:val="none" w:sz="0" w:space="0" w:color="auto"/>
        <w:bottom w:val="none" w:sz="0" w:space="0" w:color="auto"/>
        <w:right w:val="none" w:sz="0" w:space="0" w:color="auto"/>
      </w:divBdr>
    </w:div>
    <w:div w:id="1328829550">
      <w:bodyDiv w:val="1"/>
      <w:marLeft w:val="0"/>
      <w:marRight w:val="0"/>
      <w:marTop w:val="0"/>
      <w:marBottom w:val="0"/>
      <w:divBdr>
        <w:top w:val="none" w:sz="0" w:space="0" w:color="auto"/>
        <w:left w:val="none" w:sz="0" w:space="0" w:color="auto"/>
        <w:bottom w:val="none" w:sz="0" w:space="0" w:color="auto"/>
        <w:right w:val="none" w:sz="0" w:space="0" w:color="auto"/>
      </w:divBdr>
    </w:div>
    <w:div w:id="1362895676">
      <w:bodyDiv w:val="1"/>
      <w:marLeft w:val="0"/>
      <w:marRight w:val="0"/>
      <w:marTop w:val="0"/>
      <w:marBottom w:val="0"/>
      <w:divBdr>
        <w:top w:val="none" w:sz="0" w:space="0" w:color="auto"/>
        <w:left w:val="none" w:sz="0" w:space="0" w:color="auto"/>
        <w:bottom w:val="none" w:sz="0" w:space="0" w:color="auto"/>
        <w:right w:val="none" w:sz="0" w:space="0" w:color="auto"/>
      </w:divBdr>
    </w:div>
    <w:div w:id="1435437360">
      <w:bodyDiv w:val="1"/>
      <w:marLeft w:val="0"/>
      <w:marRight w:val="0"/>
      <w:marTop w:val="0"/>
      <w:marBottom w:val="0"/>
      <w:divBdr>
        <w:top w:val="none" w:sz="0" w:space="0" w:color="auto"/>
        <w:left w:val="none" w:sz="0" w:space="0" w:color="auto"/>
        <w:bottom w:val="none" w:sz="0" w:space="0" w:color="auto"/>
        <w:right w:val="none" w:sz="0" w:space="0" w:color="auto"/>
      </w:divBdr>
    </w:div>
    <w:div w:id="1439255208">
      <w:bodyDiv w:val="1"/>
      <w:marLeft w:val="0"/>
      <w:marRight w:val="0"/>
      <w:marTop w:val="0"/>
      <w:marBottom w:val="0"/>
      <w:divBdr>
        <w:top w:val="none" w:sz="0" w:space="0" w:color="auto"/>
        <w:left w:val="none" w:sz="0" w:space="0" w:color="auto"/>
        <w:bottom w:val="none" w:sz="0" w:space="0" w:color="auto"/>
        <w:right w:val="none" w:sz="0" w:space="0" w:color="auto"/>
      </w:divBdr>
    </w:div>
    <w:div w:id="1476526171">
      <w:bodyDiv w:val="1"/>
      <w:marLeft w:val="0"/>
      <w:marRight w:val="0"/>
      <w:marTop w:val="0"/>
      <w:marBottom w:val="0"/>
      <w:divBdr>
        <w:top w:val="none" w:sz="0" w:space="0" w:color="auto"/>
        <w:left w:val="none" w:sz="0" w:space="0" w:color="auto"/>
        <w:bottom w:val="none" w:sz="0" w:space="0" w:color="auto"/>
        <w:right w:val="none" w:sz="0" w:space="0" w:color="auto"/>
      </w:divBdr>
    </w:div>
    <w:div w:id="1578511490">
      <w:bodyDiv w:val="1"/>
      <w:marLeft w:val="0"/>
      <w:marRight w:val="0"/>
      <w:marTop w:val="0"/>
      <w:marBottom w:val="0"/>
      <w:divBdr>
        <w:top w:val="none" w:sz="0" w:space="0" w:color="auto"/>
        <w:left w:val="none" w:sz="0" w:space="0" w:color="auto"/>
        <w:bottom w:val="none" w:sz="0" w:space="0" w:color="auto"/>
        <w:right w:val="none" w:sz="0" w:space="0" w:color="auto"/>
      </w:divBdr>
    </w:div>
    <w:div w:id="1580670692">
      <w:bodyDiv w:val="1"/>
      <w:marLeft w:val="0"/>
      <w:marRight w:val="0"/>
      <w:marTop w:val="0"/>
      <w:marBottom w:val="0"/>
      <w:divBdr>
        <w:top w:val="none" w:sz="0" w:space="0" w:color="auto"/>
        <w:left w:val="none" w:sz="0" w:space="0" w:color="auto"/>
        <w:bottom w:val="none" w:sz="0" w:space="0" w:color="auto"/>
        <w:right w:val="none" w:sz="0" w:space="0" w:color="auto"/>
      </w:divBdr>
    </w:div>
    <w:div w:id="1593389192">
      <w:bodyDiv w:val="1"/>
      <w:marLeft w:val="0"/>
      <w:marRight w:val="0"/>
      <w:marTop w:val="0"/>
      <w:marBottom w:val="0"/>
      <w:divBdr>
        <w:top w:val="none" w:sz="0" w:space="0" w:color="auto"/>
        <w:left w:val="none" w:sz="0" w:space="0" w:color="auto"/>
        <w:bottom w:val="none" w:sz="0" w:space="0" w:color="auto"/>
        <w:right w:val="none" w:sz="0" w:space="0" w:color="auto"/>
      </w:divBdr>
    </w:div>
    <w:div w:id="1643735537">
      <w:bodyDiv w:val="1"/>
      <w:marLeft w:val="0"/>
      <w:marRight w:val="0"/>
      <w:marTop w:val="0"/>
      <w:marBottom w:val="0"/>
      <w:divBdr>
        <w:top w:val="none" w:sz="0" w:space="0" w:color="auto"/>
        <w:left w:val="none" w:sz="0" w:space="0" w:color="auto"/>
        <w:bottom w:val="none" w:sz="0" w:space="0" w:color="auto"/>
        <w:right w:val="none" w:sz="0" w:space="0" w:color="auto"/>
      </w:divBdr>
    </w:div>
    <w:div w:id="1659533885">
      <w:bodyDiv w:val="1"/>
      <w:marLeft w:val="0"/>
      <w:marRight w:val="0"/>
      <w:marTop w:val="0"/>
      <w:marBottom w:val="0"/>
      <w:divBdr>
        <w:top w:val="none" w:sz="0" w:space="0" w:color="auto"/>
        <w:left w:val="none" w:sz="0" w:space="0" w:color="auto"/>
        <w:bottom w:val="none" w:sz="0" w:space="0" w:color="auto"/>
        <w:right w:val="none" w:sz="0" w:space="0" w:color="auto"/>
      </w:divBdr>
    </w:div>
    <w:div w:id="1758550730">
      <w:bodyDiv w:val="1"/>
      <w:marLeft w:val="0"/>
      <w:marRight w:val="0"/>
      <w:marTop w:val="0"/>
      <w:marBottom w:val="0"/>
      <w:divBdr>
        <w:top w:val="none" w:sz="0" w:space="0" w:color="auto"/>
        <w:left w:val="none" w:sz="0" w:space="0" w:color="auto"/>
        <w:bottom w:val="none" w:sz="0" w:space="0" w:color="auto"/>
        <w:right w:val="none" w:sz="0" w:space="0" w:color="auto"/>
      </w:divBdr>
    </w:div>
    <w:div w:id="1806464485">
      <w:bodyDiv w:val="1"/>
      <w:marLeft w:val="0"/>
      <w:marRight w:val="0"/>
      <w:marTop w:val="0"/>
      <w:marBottom w:val="0"/>
      <w:divBdr>
        <w:top w:val="none" w:sz="0" w:space="0" w:color="auto"/>
        <w:left w:val="none" w:sz="0" w:space="0" w:color="auto"/>
        <w:bottom w:val="none" w:sz="0" w:space="0" w:color="auto"/>
        <w:right w:val="none" w:sz="0" w:space="0" w:color="auto"/>
      </w:divBdr>
    </w:div>
    <w:div w:id="1809124520">
      <w:bodyDiv w:val="1"/>
      <w:marLeft w:val="0"/>
      <w:marRight w:val="0"/>
      <w:marTop w:val="0"/>
      <w:marBottom w:val="0"/>
      <w:divBdr>
        <w:top w:val="none" w:sz="0" w:space="0" w:color="auto"/>
        <w:left w:val="none" w:sz="0" w:space="0" w:color="auto"/>
        <w:bottom w:val="none" w:sz="0" w:space="0" w:color="auto"/>
        <w:right w:val="none" w:sz="0" w:space="0" w:color="auto"/>
      </w:divBdr>
    </w:div>
    <w:div w:id="1825244591">
      <w:bodyDiv w:val="1"/>
      <w:marLeft w:val="0"/>
      <w:marRight w:val="0"/>
      <w:marTop w:val="0"/>
      <w:marBottom w:val="0"/>
      <w:divBdr>
        <w:top w:val="none" w:sz="0" w:space="0" w:color="auto"/>
        <w:left w:val="none" w:sz="0" w:space="0" w:color="auto"/>
        <w:bottom w:val="none" w:sz="0" w:space="0" w:color="auto"/>
        <w:right w:val="none" w:sz="0" w:space="0" w:color="auto"/>
      </w:divBdr>
    </w:div>
    <w:div w:id="1867786479">
      <w:bodyDiv w:val="1"/>
      <w:marLeft w:val="0"/>
      <w:marRight w:val="0"/>
      <w:marTop w:val="0"/>
      <w:marBottom w:val="0"/>
      <w:divBdr>
        <w:top w:val="none" w:sz="0" w:space="0" w:color="auto"/>
        <w:left w:val="none" w:sz="0" w:space="0" w:color="auto"/>
        <w:bottom w:val="none" w:sz="0" w:space="0" w:color="auto"/>
        <w:right w:val="none" w:sz="0" w:space="0" w:color="auto"/>
      </w:divBdr>
    </w:div>
    <w:div w:id="1882279814">
      <w:bodyDiv w:val="1"/>
      <w:marLeft w:val="0"/>
      <w:marRight w:val="0"/>
      <w:marTop w:val="0"/>
      <w:marBottom w:val="0"/>
      <w:divBdr>
        <w:top w:val="none" w:sz="0" w:space="0" w:color="auto"/>
        <w:left w:val="none" w:sz="0" w:space="0" w:color="auto"/>
        <w:bottom w:val="none" w:sz="0" w:space="0" w:color="auto"/>
        <w:right w:val="none" w:sz="0" w:space="0" w:color="auto"/>
      </w:divBdr>
    </w:div>
    <w:div w:id="1883782056">
      <w:bodyDiv w:val="1"/>
      <w:marLeft w:val="0"/>
      <w:marRight w:val="0"/>
      <w:marTop w:val="0"/>
      <w:marBottom w:val="0"/>
      <w:divBdr>
        <w:top w:val="none" w:sz="0" w:space="0" w:color="auto"/>
        <w:left w:val="none" w:sz="0" w:space="0" w:color="auto"/>
        <w:bottom w:val="none" w:sz="0" w:space="0" w:color="auto"/>
        <w:right w:val="none" w:sz="0" w:space="0" w:color="auto"/>
      </w:divBdr>
    </w:div>
    <w:div w:id="1903446195">
      <w:bodyDiv w:val="1"/>
      <w:marLeft w:val="0"/>
      <w:marRight w:val="0"/>
      <w:marTop w:val="0"/>
      <w:marBottom w:val="0"/>
      <w:divBdr>
        <w:top w:val="none" w:sz="0" w:space="0" w:color="auto"/>
        <w:left w:val="none" w:sz="0" w:space="0" w:color="auto"/>
        <w:bottom w:val="none" w:sz="0" w:space="0" w:color="auto"/>
        <w:right w:val="none" w:sz="0" w:space="0" w:color="auto"/>
      </w:divBdr>
    </w:div>
    <w:div w:id="1915361077">
      <w:bodyDiv w:val="1"/>
      <w:marLeft w:val="0"/>
      <w:marRight w:val="0"/>
      <w:marTop w:val="0"/>
      <w:marBottom w:val="0"/>
      <w:divBdr>
        <w:top w:val="none" w:sz="0" w:space="0" w:color="auto"/>
        <w:left w:val="none" w:sz="0" w:space="0" w:color="auto"/>
        <w:bottom w:val="none" w:sz="0" w:space="0" w:color="auto"/>
        <w:right w:val="none" w:sz="0" w:space="0" w:color="auto"/>
      </w:divBdr>
    </w:div>
    <w:div w:id="1927035705">
      <w:bodyDiv w:val="1"/>
      <w:marLeft w:val="0"/>
      <w:marRight w:val="0"/>
      <w:marTop w:val="0"/>
      <w:marBottom w:val="0"/>
      <w:divBdr>
        <w:top w:val="none" w:sz="0" w:space="0" w:color="auto"/>
        <w:left w:val="none" w:sz="0" w:space="0" w:color="auto"/>
        <w:bottom w:val="none" w:sz="0" w:space="0" w:color="auto"/>
        <w:right w:val="none" w:sz="0" w:space="0" w:color="auto"/>
      </w:divBdr>
    </w:div>
    <w:div w:id="1928151711">
      <w:bodyDiv w:val="1"/>
      <w:marLeft w:val="0"/>
      <w:marRight w:val="0"/>
      <w:marTop w:val="0"/>
      <w:marBottom w:val="0"/>
      <w:divBdr>
        <w:top w:val="none" w:sz="0" w:space="0" w:color="auto"/>
        <w:left w:val="none" w:sz="0" w:space="0" w:color="auto"/>
        <w:bottom w:val="none" w:sz="0" w:space="0" w:color="auto"/>
        <w:right w:val="none" w:sz="0" w:space="0" w:color="auto"/>
      </w:divBdr>
    </w:div>
    <w:div w:id="1955364474">
      <w:bodyDiv w:val="1"/>
      <w:marLeft w:val="0"/>
      <w:marRight w:val="0"/>
      <w:marTop w:val="0"/>
      <w:marBottom w:val="0"/>
      <w:divBdr>
        <w:top w:val="none" w:sz="0" w:space="0" w:color="auto"/>
        <w:left w:val="none" w:sz="0" w:space="0" w:color="auto"/>
        <w:bottom w:val="none" w:sz="0" w:space="0" w:color="auto"/>
        <w:right w:val="none" w:sz="0" w:space="0" w:color="auto"/>
      </w:divBdr>
    </w:div>
    <w:div w:id="2005738393">
      <w:bodyDiv w:val="1"/>
      <w:marLeft w:val="0"/>
      <w:marRight w:val="0"/>
      <w:marTop w:val="0"/>
      <w:marBottom w:val="0"/>
      <w:divBdr>
        <w:top w:val="none" w:sz="0" w:space="0" w:color="auto"/>
        <w:left w:val="none" w:sz="0" w:space="0" w:color="auto"/>
        <w:bottom w:val="none" w:sz="0" w:space="0" w:color="auto"/>
        <w:right w:val="none" w:sz="0" w:space="0" w:color="auto"/>
      </w:divBdr>
    </w:div>
    <w:div w:id="2079084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sis.usda.gov/science-data" TargetMode="External"/><Relationship Id="rId21" Type="http://schemas.openxmlformats.org/officeDocument/2006/relationships/image" Target="media/image5.jpeg"/><Relationship Id="rId42" Type="http://schemas.openxmlformats.org/officeDocument/2006/relationships/hyperlink" Target="https://www.fs.usda.gov/treesearch/" TargetMode="External"/><Relationship Id="rId47" Type="http://schemas.openxmlformats.org/officeDocument/2006/relationships/image" Target="media/image12.jpeg"/><Relationship Id="rId63" Type="http://schemas.openxmlformats.org/officeDocument/2006/relationships/hyperlink" Target="https://gcc02.safelinks.protection.outlook.com/?url=https%3A%2F%2Fzenodo.org%2Frecords%2F8377224&amp;data=05%7C02%7Clinda.j.young%40usda.gov%7Ce808989f27054d6e567608dc103dc02c%7Ced5b36e701ee4ebc867ee03cfa0d4697%7C1%7C0%7C638403104602600505%7CUnknown%7CTWFpbGZsb3d8eyJWIjoiMC4wLjAwMDAiLCJQIjoiV2luMzIiLCJBTiI6Ik1haWwiLCJXVCI6Mn0%3D%7C3000%7C%7C%7C&amp;sdata=%2BOE7SEs1A0E3qJUm0l5aeSwFjAcP9J5Zi9N2cuFA4NQ%3D&amp;reserved=0" TargetMode="External"/><Relationship Id="rId68" Type="http://schemas.openxmlformats.org/officeDocument/2006/relationships/hyperlink" Target="https://gcc02.safelinks.protection.outlook.com/?url=https%3A%2F%2F0633e92166c0a27ea1aa-ab47878a9e45eb9e2f15be38a59f867e.ssl.cf1.rackcdn.com%2FJTJLFYSY-2258730-1828534-Upload-1669668827.pdf&amp;data=05%7C01%7Clinda.j.young%40usda.gov%7Cac04220273f3434d6d7c08dbbddecb6c%7Ced5b36e701ee4ebc867ee03cfa0d4697%7C1%7C0%7C638312536812743159%7CUnknown%7CTWFpbGZsb3d8eyJWIjoiMC4wLjAwMDAiLCJQIjoiV2luMzIiLCJBTiI6Ik1haWwiLCJXVCI6Mn0%3D%7C3000%7C%7C%7C&amp;sdata=EP1OLtXuR%2Bj3XyjbqzkQKAI9W2YHyGM9BqShDznAisY%3D&amp;reserved=0" TargetMode="External"/><Relationship Id="rId84" Type="http://schemas.openxmlformats.org/officeDocument/2006/relationships/hyperlink" Target="https://websoilsurvey.nrcs.usda.gov/app/" TargetMode="External"/><Relationship Id="rId89" Type="http://schemas.openxmlformats.org/officeDocument/2006/relationships/hyperlink" Target="https://www.nrcs.usda.gov/about/partner-with-us/national-cooperative-soil-survey" TargetMode="External"/><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cfsph.iastate.edu/IICAB/" TargetMode="External"/><Relationship Id="rId29" Type="http://schemas.openxmlformats.org/officeDocument/2006/relationships/hyperlink" Target="https://www.fsis.usda.gov/guidelines/2023-0002" TargetMode="External"/><Relationship Id="rId107" Type="http://schemas.openxmlformats.org/officeDocument/2006/relationships/hyperlink" Target="https://www.nrisurvey.org/lucid/" TargetMode="External"/><Relationship Id="rId11" Type="http://schemas.openxmlformats.org/officeDocument/2006/relationships/hyperlink" Target="https://www.aphis.usda.gov/aphis/ourfocus/internationalservices" TargetMode="External"/><Relationship Id="rId24" Type="http://schemas.openxmlformats.org/officeDocument/2006/relationships/image" Target="media/image7.png"/><Relationship Id="rId32" Type="http://schemas.openxmlformats.org/officeDocument/2006/relationships/hyperlink" Target="https://www.fsis.usda.gov/guidelines/2023-0005" TargetMode="External"/><Relationship Id="rId37" Type="http://schemas.openxmlformats.org/officeDocument/2006/relationships/hyperlink" Target="https://www.fsis.usda.gov/news-events/publications/microbiology-laboratory-guidebook" TargetMode="External"/><Relationship Id="rId40" Type="http://schemas.openxmlformats.org/officeDocument/2006/relationships/hyperlink" Target="https://www.fsis.usda.gov/science-data/research-priorities" TargetMode="External"/><Relationship Id="rId45" Type="http://schemas.openxmlformats.org/officeDocument/2006/relationships/image" Target="media/image11.jpeg"/><Relationship Id="rId53" Type="http://schemas.openxmlformats.org/officeDocument/2006/relationships/hyperlink" Target="https://www.nass.usda.gov/Research_and_Science/Crop_Progress_Gridded_Layers/index.php" TargetMode="External"/><Relationship Id="rId58" Type="http://schemas.openxmlformats.org/officeDocument/2006/relationships/hyperlink" Target="https://doi.org/10.3233/SJI-220087" TargetMode="External"/><Relationship Id="rId66" Type="http://schemas.openxmlformats.org/officeDocument/2006/relationships/hyperlink" Target="https://doi.org/10.5281/zenodo.8383519" TargetMode="External"/><Relationship Id="rId74" Type="http://schemas.openxmlformats.org/officeDocument/2006/relationships/hyperlink" Target="https://doi.org/10.5281/zenodo.10001731" TargetMode="External"/><Relationship Id="rId79" Type="http://schemas.openxmlformats.org/officeDocument/2006/relationships/hyperlink" Target="https://zheli.users.earthengine.app/view/crop-drought-assessment" TargetMode="External"/><Relationship Id="rId87" Type="http://schemas.openxmlformats.org/officeDocument/2006/relationships/hyperlink" Target="https://www.nrcs.usda.gov/resources/data-and-reports/soil-climate-analysis-network" TargetMode="External"/><Relationship Id="rId102" Type="http://schemas.openxmlformats.org/officeDocument/2006/relationships/hyperlink" Target="https://cig.sc.egov.usda.gov/?utm_source=nrcs-cig&amp;utm_medium=site&amp;utm_campaign=obv-redirect" TargetMode="External"/><Relationship Id="rId110" Type="http://schemas.openxmlformats.org/officeDocument/2006/relationships/hyperlink" Target="https://cig.sc.egov.usda.gov/cig-projects" TargetMode="External"/><Relationship Id="rId5" Type="http://schemas.openxmlformats.org/officeDocument/2006/relationships/webSettings" Target="webSettings.xml"/><Relationship Id="rId61" Type="http://schemas.openxmlformats.org/officeDocument/2006/relationships/hyperlink" Target="https://gcc02.safelinks.protection.outlook.com/?url=https%3A%2F%2Fdoi.org%2F10.1016%2Fj.rse.2023.113729&amp;data=05%7C01%7Clinda.j.young%40usda.gov%7C3401fce18fd24610155308dbbdf291df%7Ced5b36e701ee4ebc867ee03cfa0d4697%7C1%7C0%7C638312621743896044%7CUnknown%7CTWFpbGZsb3d8eyJWIjoiMC4wLjAwMDAiLCJQIjoiV2luMzIiLCJBTiI6Ik1haWwiLCJXVCI6Mn0%3D%7C3000%7C%7C%7C&amp;sdata=u3bTz52oyuyht14Sb3rOlgYJntppJ6Tj9tEuRJv1JXg%3D&amp;reserved=0" TargetMode="External"/><Relationship Id="rId82" Type="http://schemas.openxmlformats.org/officeDocument/2006/relationships/hyperlink" Target="https://gcc02.safelinks.protection.outlook.com/?url=https%3A%2F%2Fzheli.users.earthengine.app%2Fview%2Fcrop-wildfire-assessment&amp;data=05%7C01%7Clinda.j.young%40usda.gov%7C49c6000cf80b4ef7f5f308dbbdf0f1a2%7Ced5b36e701ee4ebc867ee03cfa0d4697%7C1%7C0%7C638312614759247279%7CUnknown%7CTWFpbGZsb3d8eyJWIjoiMC4wLjAwMDAiLCJQIjoiV2luMzIiLCJBTiI6Ik1haWwiLCJXVCI6Mn0%3D%7C3000%7C%7C%7C&amp;sdata=JVjJHLjSVNUOMwmCr7DPE38IPzK%2BumkVSvy2Z7eotPs%3D&amp;reserved=0" TargetMode="External"/><Relationship Id="rId90" Type="http://schemas.openxmlformats.org/officeDocument/2006/relationships/hyperlink" Target="https://www.nrcs.usda.gov/nri" TargetMode="External"/><Relationship Id="rId95" Type="http://schemas.openxmlformats.org/officeDocument/2006/relationships/hyperlink" Target="https://directives.sc.egov.usda.gov/landingpage/35014" TargetMode="External"/><Relationship Id="rId19" Type="http://schemas.openxmlformats.org/officeDocument/2006/relationships/image" Target="media/image4.jpeg"/><Relationship Id="rId14" Type="http://schemas.openxmlformats.org/officeDocument/2006/relationships/hyperlink" Target="https://www.aphis.usda.gov/aphis/dashboards/tableau/amr" TargetMode="External"/><Relationship Id="rId22" Type="http://schemas.openxmlformats.org/officeDocument/2006/relationships/image" Target="cid:image003.jpg@01DA3E53.EA7AB950" TargetMode="External"/><Relationship Id="rId27" Type="http://schemas.openxmlformats.org/officeDocument/2006/relationships/hyperlink" Target="https://www.fsis.usda.gov/inspection/compliance-guidance/new-technology/new-technology-information-table" TargetMode="External"/><Relationship Id="rId30" Type="http://schemas.openxmlformats.org/officeDocument/2006/relationships/hyperlink" Target="https://www.fsis.usda.gov/guidelines/2023-0003" TargetMode="External"/><Relationship Id="rId35" Type="http://schemas.openxmlformats.org/officeDocument/2006/relationships/hyperlink" Target="https://www.fsis.usda.gov/sites/default/files/media_file/documents/Breakfast_Study_Report_Executive_Summary.pdf" TargetMode="External"/><Relationship Id="rId43" Type="http://schemas.openxmlformats.org/officeDocument/2006/relationships/image" Target="media/image9.png"/><Relationship Id="rId48" Type="http://schemas.openxmlformats.org/officeDocument/2006/relationships/hyperlink" Target="https://www.fs.usda.gov/inside-fs/delivering-mission/apply/national-technology-and-development-program-fighting-fire-and" TargetMode="External"/><Relationship Id="rId56" Type="http://schemas.openxmlformats.org/officeDocument/2006/relationships/hyperlink" Target="https://www.nass.usda.gov/Research_and_Science/Crop-Sequence-Boundaries/index.php" TargetMode="External"/><Relationship Id="rId64" Type="http://schemas.openxmlformats.org/officeDocument/2006/relationships/hyperlink" Target="https://gcc02.safelinks.protection.outlook.com/?url=https%3A%2F%2F0633e92166c0a27ea1aa-ab47878a9e45eb9e2f15be38a59f867e.ssl.cf1.rackcdn.com%2FJTJLFYSY-2258821-1828624-Upload-1669674380.pdf&amp;data=05%7C02%7Clinda.j.young%40usda.gov%7C1ff9f58c115e44de594108dc1072f465%7Ced5b36e701ee4ebc867ee03cfa0d4697%7C1%7C0%7C638403333104417994%7CUnknown%7CTWFpbGZsb3d8eyJWIjoiMC4wLjAwMDAiLCJQIjoiV2luMzIiLCJBTiI6Ik1haWwiLCJXVCI6Mn0%3D%7C3000%7C%7C%7C&amp;sdata=GqcHITifaa7eIotKmTR1EhP56IvMKMbJvAI9s1reGss%3D&amp;reserved=0" TargetMode="External"/><Relationship Id="rId69" Type="http://schemas.openxmlformats.org/officeDocument/2006/relationships/hyperlink" Target="https://gcc02.safelinks.protection.outlook.com/?url=https%3A%2F%2Funece.org%2Fsites%2Fdefault%2Ffiles%2F2022-10%2FSDE2022_S1b_USA_Lipke_D_.pdf&amp;data=05%7C01%7Clinda.j.young%40usda.gov%7C9626b4d2189344f6249408dbbf8b1b3b%7Ced5b36e701ee4ebc867ee03cfa0d4697%7C1%7C0%7C638314376760940783%7CUnknown%7CTWFpbGZsb3d8eyJWIjoiMC4wLjAwMDAiLCJQIjoiV2luMzIiLCJBTiI6Ik1haWwiLCJXVCI6Mn0%3D%7C3000%7C%7C%7C&amp;sdata=nl2q%2F4BM6ODTEAnb2HC2IL7BFQqwqI3PX72wooQ2y40%3D&amp;reserved=0" TargetMode="External"/><Relationship Id="rId77" Type="http://schemas.openxmlformats.org/officeDocument/2006/relationships/hyperlink" Target="https://zenodo.org/records/8392828" TargetMode="External"/><Relationship Id="rId100" Type="http://schemas.openxmlformats.org/officeDocument/2006/relationships/hyperlink" Target="https://www.nrcs.usda.gov/ceap" TargetMode="External"/><Relationship Id="rId105" Type="http://schemas.openxmlformats.org/officeDocument/2006/relationships/hyperlink" Target="https://www.nrcs.usda.gov/programs-initiatives/sswsf-snow-survey-and-water-supply-forecasting-program" TargetMode="External"/><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croplandcros.scinet.usda.gov" TargetMode="External"/><Relationship Id="rId72" Type="http://schemas.openxmlformats.org/officeDocument/2006/relationships/hyperlink" Target="https://gcc02.safelinks.protection.outlook.com/?url=https%3A%2F%2Fzenodo.org%2Frecords%2F8383528&amp;data=05%7C02%7Clinda.j.young%40usda.gov%7Cbd5b405dd85244f0f8af08dc10430705%7Ced5b36e701ee4ebc867ee03cfa0d4697%7C1%7C0%7C638403127262924700%7CUnknown%7CTWFpbGZsb3d8eyJWIjoiMC4wLjAwMDAiLCJQIjoiV2luMzIiLCJBTiI6Ik1haWwiLCJXVCI6Mn0%3D%7C3000%7C%7C%7C&amp;sdata=O4W79YWDZY2hD2HIlQmJBDc6ao%2FeML5VPrbw3Isbifk%3D&amp;reserved=0" TargetMode="External"/><Relationship Id="rId80" Type="http://schemas.openxmlformats.org/officeDocument/2006/relationships/hyperlink" Target="https://gcc02.safelinks.protection.outlook.com/?url=https%3A%2F%2Fzheli.users.earthengine.app%2Fview%2Fcdl-pre-release-qaqc&amp;data=05%7C01%7Clinda.j.young%40usda.gov%7C49c6000cf80b4ef7f5f308dbbdf0f1a2%7Ced5b36e701ee4ebc867ee03cfa0d4697%7C1%7C0%7C638312614759247279%7CUnknown%7CTWFpbGZsb3d8eyJWIjoiMC4wLjAwMDAiLCJQIjoiV2luMzIiLCJBTiI6Ik1haWwiLCJXVCI6Mn0%3D%7C3000%7C%7C%7C&amp;sdata=VorxRawKoXm9G%2Fq82VWCphWqo2yID%2FcXgSUG%2BjKkN%2FU%3D&amp;reserved=0" TargetMode="External"/><Relationship Id="rId85" Type="http://schemas.openxmlformats.org/officeDocument/2006/relationships/hyperlink" Target="https://plants.usda.gov/home" TargetMode="External"/><Relationship Id="rId93" Type="http://schemas.openxmlformats.org/officeDocument/2006/relationships/hyperlink" Target="https://www.nrcs.usda.gov/getting-assistance/conservation-practices" TargetMode="External"/><Relationship Id="rId98" Type="http://schemas.openxmlformats.org/officeDocument/2006/relationships/hyperlink" Target="https://www.nrcs.usda.gov/programs-initiatives/ewp-emergency-watershed-protection" TargetMode="External"/><Relationship Id="rId3" Type="http://schemas.openxmlformats.org/officeDocument/2006/relationships/styles" Target="styles.xml"/><Relationship Id="rId12" Type="http://schemas.openxmlformats.org/officeDocument/2006/relationships/hyperlink" Target="https://idtools.org" TargetMode="External"/><Relationship Id="rId17" Type="http://schemas.openxmlformats.org/officeDocument/2006/relationships/hyperlink" Target="https://www.aphis.usda.gov/aphis/dashboards/tableau/asf-csf-exec-summary-dashboard" TargetMode="External"/><Relationship Id="rId25" Type="http://schemas.openxmlformats.org/officeDocument/2006/relationships/image" Target="media/image8.jpeg"/><Relationship Id="rId33" Type="http://schemas.openxmlformats.org/officeDocument/2006/relationships/hyperlink" Target="https://www.fsis.usda.gov/policy/fsis-guidelines" TargetMode="External"/><Relationship Id="rId38" Type="http://schemas.openxmlformats.org/officeDocument/2006/relationships/hyperlink" Target="https://www.fsis.usda.gov/news-events/publications/chemistry-laboratory-guidebook" TargetMode="External"/><Relationship Id="rId46" Type="http://schemas.openxmlformats.org/officeDocument/2006/relationships/hyperlink" Target="https://www.fs.usda.gov/inside-fs/delivering-mission/apply/introducing-charboss-new-mobile-biochar-production-machine" TargetMode="External"/><Relationship Id="rId59" Type="http://schemas.openxmlformats.org/officeDocument/2006/relationships/hyperlink" Target="https://gcc02.safelinks.protection.outlook.com/?url=https%3A%2F%2Fdoi.org%2F10.1109%2FTGRS.2023.3247343&amp;data=05%7C01%7Clinda.j.young%40usda.gov%7C3401fce18fd24610155308dbbdf291df%7Ced5b36e701ee4ebc867ee03cfa0d4697%7C1%7C0%7C638312621743896044%7CUnknown%7CTWFpbGZsb3d8eyJWIjoiMC4wLjAwMDAiLCJQIjoiV2luMzIiLCJBTiI6Ik1haWwiLCJXVCI6Mn0%3D%7C3000%7C%7C%7C&amp;sdata=gjxSumrMdH8sClBlgzajOmZ3irYqqtmVrFqC1pz7Jpo%3D&amp;reserved=0" TargetMode="External"/><Relationship Id="rId67" Type="http://schemas.openxmlformats.org/officeDocument/2006/relationships/hyperlink" Target="https://doi.org/10.5281/zenodo.10031681" TargetMode="External"/><Relationship Id="rId103" Type="http://schemas.openxmlformats.org/officeDocument/2006/relationships/hyperlink" Target="https://www.nrcs.usda.gov/conservation-basics/conservation-by-state/pennsylvania/damwatch" TargetMode="External"/><Relationship Id="rId108" Type="http://schemas.openxmlformats.org/officeDocument/2006/relationships/hyperlink" Target="https://www.nrcs.usda.gov/ceap" TargetMode="External"/><Relationship Id="rId20" Type="http://schemas.openxmlformats.org/officeDocument/2006/relationships/image" Target="cid:image001.jpg@01DA3E4A.7A72B210" TargetMode="External"/><Relationship Id="rId41" Type="http://schemas.openxmlformats.org/officeDocument/2006/relationships/hyperlink" Target="https://www.fs.usda.gov/research/" TargetMode="External"/><Relationship Id="rId54" Type="http://schemas.openxmlformats.org/officeDocument/2006/relationships/hyperlink" Target="https://www.nass.usda.gov/Research_and_Science/Disaster-Analysis/index.php" TargetMode="External"/><Relationship Id="rId62" Type="http://schemas.openxmlformats.org/officeDocument/2006/relationships/hyperlink" Target="https://gcc02.safelinks.protection.outlook.com/?url=https%3A%2F%2Fdoi.org%2F10.1016%2Fj.compag.2023.108199&amp;data=05%7C01%7Clinda.j.young%40usda.gov%7C3401fce18fd24610155308dbbdf291df%7Ced5b36e701ee4ebc867ee03cfa0d4697%7C1%7C0%7C638312621743896044%7CUnknown%7CTWFpbGZsb3d8eyJWIjoiMC4wLjAwMDAiLCJQIjoiV2luMzIiLCJBTiI6Ik1haWwiLCJXVCI6Mn0%3D%7C3000%7C%7C%7C&amp;sdata=hvxYGL04JcnXzgDcll32Z4OEfBAXP3mCGIJL3O5z1C8%3D&amp;reserved=0" TargetMode="External"/><Relationship Id="rId70" Type="http://schemas.openxmlformats.org/officeDocument/2006/relationships/hyperlink" Target="https://gcc02.safelinks.protection.outlook.com/?url=http%3A%2F%2Fwww.asasrms.org%2FProceedings%2Fy2022%2Ffiles%2F322650_162128.pdf&amp;data=05%7C02%7Clinda.j.young%40usda.gov%7Cd5f0afb3b3574ed6c0a408dc1056e09e%7Ced5b36e701ee4ebc867ee03cfa0d4697%7C1%7C0%7C638403212527875295%7CUnknown%7CTWFpbGZsb3d8eyJWIjoiMC4wLjAwMDAiLCJQIjoiV2luMzIiLCJBTiI6Ik1haWwiLCJXVCI6Mn0%3D%7C3000%7C%7C%7C&amp;sdata=bjcj%2F6%2F%2FQiW8Zyl30Mh5ND%2FqHWR5YCXgzKCID62um%2BY%3D&amp;reserved=0" TargetMode="External"/><Relationship Id="rId75" Type="http://schemas.openxmlformats.org/officeDocument/2006/relationships/hyperlink" Target="https://gcc02.safelinks.protection.outlook.com/?url=https%3A%2F%2Fdoi.org%2F10.1109%2FIGARSS52108.2023.10283282&amp;data=05%7C02%7Clinda.j.young%40usda.gov%7C1e71f5de022f40e968a208dc105495b4%7Ced5b36e701ee4ebc867ee03cfa0d4697%7C1%7C0%7C638403202668518624%7CUnknown%7CTWFpbGZsb3d8eyJWIjoiMC4wLjAwMDAiLCJQIjoiV2luMzIiLCJBTiI6Ik1haWwiLCJXVCI6Mn0%3D%7C3000%7C%7C%7C&amp;sdata=ezosp0HVqbsxzEdkS20xprI1DN%2Bwyd3pHFfWNXMjYI4%3D&amp;reserved=0" TargetMode="External"/><Relationship Id="rId83" Type="http://schemas.openxmlformats.org/officeDocument/2006/relationships/hyperlink" Target="https://www.nrcs.usda.gov/" TargetMode="External"/><Relationship Id="rId88" Type="http://schemas.openxmlformats.org/officeDocument/2006/relationships/hyperlink" Target="https://www.nrcs.usda.gov/resources/data-and-reports/web-soil-survey" TargetMode="External"/><Relationship Id="rId91" Type="http://schemas.openxmlformats.org/officeDocument/2006/relationships/hyperlink" Target="https://www.nrcs.usda.gov/plant-materials" TargetMode="External"/><Relationship Id="rId96" Type="http://schemas.openxmlformats.org/officeDocument/2006/relationships/hyperlink" Target="https://directives.sc.egov.usda.gov/49986.wba" TargetMode="External"/><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phis.usda.gov/aphis/ourfocus/onehealth/one-health-sarscov2-in-animals" TargetMode="External"/><Relationship Id="rId23" Type="http://schemas.openxmlformats.org/officeDocument/2006/relationships/image" Target="media/image6.jpeg"/><Relationship Id="rId28" Type="http://schemas.openxmlformats.org/officeDocument/2006/relationships/hyperlink" Target="https://www.fsis.usda.gov/guidelines/2023-0001" TargetMode="External"/><Relationship Id="rId36" Type="http://schemas.openxmlformats.org/officeDocument/2006/relationships/hyperlink" Target="https://www.foodsafety.gov/" TargetMode="External"/><Relationship Id="rId49" Type="http://schemas.openxmlformats.org/officeDocument/2006/relationships/image" Target="media/image13.jpg"/><Relationship Id="rId57" Type="http://schemas.openxmlformats.org/officeDocument/2006/relationships/hyperlink" Target="https://doi.org/10.1016/j.compag.2023.107768" TargetMode="External"/><Relationship Id="rId106" Type="http://schemas.openxmlformats.org/officeDocument/2006/relationships/hyperlink" Target="https://nwcc-apps.sc.egov.usda.gov/imap/" TargetMode="External"/><Relationship Id="rId114" Type="http://schemas.openxmlformats.org/officeDocument/2006/relationships/theme" Target="theme/theme1.xml"/><Relationship Id="rId10" Type="http://schemas.openxmlformats.org/officeDocument/2006/relationships/hyperlink" Target="http://www.aphis.usda.gov/biotechnology/index.shtml" TargetMode="External"/><Relationship Id="rId31" Type="http://schemas.openxmlformats.org/officeDocument/2006/relationships/hyperlink" Target="https://www.fsis.usda.gov/guidelines/2023-0004" TargetMode="External"/><Relationship Id="rId44" Type="http://schemas.openxmlformats.org/officeDocument/2006/relationships/image" Target="media/image10.png"/><Relationship Id="rId52" Type="http://schemas.openxmlformats.org/officeDocument/2006/relationships/hyperlink" Target="https://cloud.csiss.gmu.edu/Crop-CASMA" TargetMode="External"/><Relationship Id="rId60" Type="http://schemas.openxmlformats.org/officeDocument/2006/relationships/hyperlink" Target="https://doi.org/10.6339/23-JDS1098" TargetMode="External"/><Relationship Id="rId65" Type="http://schemas.openxmlformats.org/officeDocument/2006/relationships/hyperlink" Target="https://gcc02.safelinks.protection.outlook.com/?url=http%3A%2F%2Fwww.asasrms.org%2FProceedings%2Fy2022%2Ffiles%2F322951_161688.pdf&amp;data=05%7C02%7Clinda.j.young%40usda.gov%7C93fd068061164439494708dc104b5694%7Ced5b36e701ee4ebc867ee03cfa0d4697%7C1%7C0%7C638403162956554633%7CUnknown%7CTWFpbGZsb3d8eyJWIjoiMC4wLjAwMDAiLCJQIjoiV2luMzIiLCJBTiI6Ik1haWwiLCJXVCI6Mn0%3D%7C3000%7C%7C%7C&amp;sdata=ekWC4aIAf%2FohIdtyn78NWNmsqmRpzgjazUn26ndiwno%3D&amp;reserved=0" TargetMode="External"/><Relationship Id="rId73" Type="http://schemas.openxmlformats.org/officeDocument/2006/relationships/hyperlink" Target="https://gcc02.safelinks.protection.outlook.com/?url=https%3A%2F%2Fwww.nass.usda.gov%2FEducation_and_Outreach%2FReports%2C_Presentations_and_Conferences%2Freports%2Fconferences%2FJSM-2022%2FsartoreetalJSM2022.pdf&amp;data=05%7C02%7Clinda.j.young%40usda.gov%7C8a8323aa84df45bd023608dc10676f36%7Ced5b36e701ee4ebc867ee03cfa0d4697%7C1%7C0%7C638403283629815915%7CUnknown%7CTWFpbGZsb3d8eyJWIjoiMC4wLjAwMDAiLCJQIjoiV2luMzIiLCJBTiI6Ik1haWwiLCJXVCI6Mn0%3D%7C3000%7C%7C%7C&amp;sdata=xQwTPvRLeBuThiVFZSrJJZm93D%2BT%2B1NPdq8HnqWFiEg%3D&amp;reserved=0" TargetMode="External"/><Relationship Id="rId78" Type="http://schemas.openxmlformats.org/officeDocument/2006/relationships/hyperlink" Target="https://www.nass.usda.gov/Education_and_Outreach/Reports,_Presentations_and_Conferences/reports/QAS%20sample%20methodology%20review%20final%20report.pdf" TargetMode="External"/><Relationship Id="rId81" Type="http://schemas.openxmlformats.org/officeDocument/2006/relationships/hyperlink" Target="https://gcc02.safelinks.protection.outlook.com/?url=https%3A%2F%2Fzheli.users.earthengine.app%2Fview%2Fflood-detection-and-monitoring-system-v17-beta&amp;data=05%7C01%7Clinda.j.young%40usda.gov%7C49c6000cf80b4ef7f5f308dbbdf0f1a2%7Ced5b36e701ee4ebc867ee03cfa0d4697%7C1%7C0%7C638312614759247279%7CUnknown%7CTWFpbGZsb3d8eyJWIjoiMC4wLjAwMDAiLCJQIjoiV2luMzIiLCJBTiI6Ik1haWwiLCJXVCI6Mn0%3D%7C3000%7C%7C%7C&amp;sdata=JCeyXcN3%2BOD62rSsugVtmlPl9Nd3H0A3zu9ztAcjx3E%3D&amp;reserved=0" TargetMode="External"/><Relationship Id="rId86" Type="http://schemas.openxmlformats.org/officeDocument/2006/relationships/hyperlink" Target="https://edit.jornada.nmsu.edu/" TargetMode="External"/><Relationship Id="rId94" Type="http://schemas.openxmlformats.org/officeDocument/2006/relationships/hyperlink" Target="https://directives.sc.egov.usda.gov/" TargetMode="External"/><Relationship Id="rId99" Type="http://schemas.openxmlformats.org/officeDocument/2006/relationships/image" Target="media/image16.png"/><Relationship Id="rId101" Type="http://schemas.openxmlformats.org/officeDocument/2006/relationships/hyperlink" Target="http://conservationwebinars.net" TargetMode="External"/><Relationship Id="rId4" Type="http://schemas.openxmlformats.org/officeDocument/2006/relationships/settings" Target="settings.xml"/><Relationship Id="rId9" Type="http://schemas.openxmlformats.org/officeDocument/2006/relationships/hyperlink" Target="http://www.nist.gov/tpo/publications/upload/USDA-Tech-Transfer-Plan.pdf" TargetMode="External"/><Relationship Id="rId13" Type="http://schemas.openxmlformats.org/officeDocument/2006/relationships/image" Target="media/image2.jpeg"/><Relationship Id="rId18" Type="http://schemas.openxmlformats.org/officeDocument/2006/relationships/image" Target="media/image3.jpeg"/><Relationship Id="rId39" Type="http://schemas.openxmlformats.org/officeDocument/2006/relationships/hyperlink" Target="https://www.fsis.usda.gov/sites/default/files/media_file/documents/31-23.pdf" TargetMode="External"/><Relationship Id="rId109" Type="http://schemas.openxmlformats.org/officeDocument/2006/relationships/image" Target="media/image17.jpeg"/><Relationship Id="rId34" Type="http://schemas.openxmlformats.org/officeDocument/2006/relationships/hyperlink" Target="https://www.fsis.usda.gov/sites/default/files/media_file/documents/Breakfast_Study_Report_Executive_Summary.pdf" TargetMode="External"/><Relationship Id="rId50" Type="http://schemas.openxmlformats.org/officeDocument/2006/relationships/image" Target="media/image14.tmp"/><Relationship Id="rId55" Type="http://schemas.openxmlformats.org/officeDocument/2006/relationships/hyperlink" Target="https://www.nass.usda.gov/Research_and_Science/Crop-Sequence-Boundaries/index.php" TargetMode="External"/><Relationship Id="rId76" Type="http://schemas.openxmlformats.org/officeDocument/2006/relationships/hyperlink" Target="https://ieeexplore.ieee.org/document/10233404" TargetMode="External"/><Relationship Id="rId97" Type="http://schemas.openxmlformats.org/officeDocument/2006/relationships/hyperlink" Target="https://directives.sc.egov.usda.gov/48655.wba" TargetMode="External"/><Relationship Id="rId104" Type="http://schemas.openxmlformats.org/officeDocument/2006/relationships/hyperlink" Target="https://www.nrcs.usda.gov/programs-initiatives/sswsf-snow-survey-and-water-supply-forecasting-program/national-water-and" TargetMode="External"/><Relationship Id="rId7" Type="http://schemas.openxmlformats.org/officeDocument/2006/relationships/endnotes" Target="endnotes.xml"/><Relationship Id="rId71" Type="http://schemas.openxmlformats.org/officeDocument/2006/relationships/hyperlink" Target="https://ssca.org.in/specialproceedings.html" TargetMode="External"/><Relationship Id="rId92"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ley.Kapple\OneDrive%20-%20USDA\Desktop\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2B0A94-238F-4E0F-8918-BEB990F68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1</TotalTime>
  <Pages>220</Pages>
  <Words>98652</Words>
  <Characters>562321</Characters>
  <Application>Microsoft Office Word</Application>
  <DocSecurity>0</DocSecurity>
  <Lines>4686</Lines>
  <Paragraphs>1319</Paragraphs>
  <ScaleCrop>false</ScaleCrop>
  <HeadingPairs>
    <vt:vector size="2" baseType="variant">
      <vt:variant>
        <vt:lpstr>Title</vt:lpstr>
      </vt:variant>
      <vt:variant>
        <vt:i4>1</vt:i4>
      </vt:variant>
    </vt:vector>
  </HeadingPairs>
  <TitlesOfParts>
    <vt:vector size="1" baseType="lpstr">
      <vt:lpstr>FY 2023 Annual Report on Technology Transfer</vt:lpstr>
    </vt:vector>
  </TitlesOfParts>
  <Company>USDA/ARS</Company>
  <LinksUpToDate>false</LinksUpToDate>
  <CharactersWithSpaces>659654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FY 2023 Annual Report on Technology Transfer</dc:title>
  <dc:creator>Kapple, Kiley (CTR) - OCIO-DISC, Lincoln, NE</dc:creator>
  <cp:keywords>Template</cp:keywords>
  <cp:lastModifiedBy>Goodes, Dennis - REE-ARS</cp:lastModifiedBy>
  <cp:revision>2</cp:revision>
  <cp:lastPrinted>2024-06-04T12:05:00Z</cp:lastPrinted>
  <dcterms:created xsi:type="dcterms:W3CDTF">2024-08-29T01:23:00Z</dcterms:created>
  <dcterms:modified xsi:type="dcterms:W3CDTF">2024-08-29T01:23:00Z</dcterms:modified>
</cp:coreProperties>
</file>